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10. Initial Test Strategy</w:t>
      </w:r>
    </w:p>
    <w:p>
      <w:r>
        <w:t>Use unit tests for each business rule and integration tests for full command-file scenarios. Each test should record BR ID, input, expected output and actual result. Include positive, negative and boundary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Test group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Coverage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Domain validation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Missing fields, invalid grade, invalid headcount, invalid source, min CTC &gt; max.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State transitions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Legal/illegal transitions; exact score thresholds; score &lt; 2.0 rejection.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Scheduler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Window boundary, overlaps, 14-minute gap, daily cap, L2 grade, weekends and holidays.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Offer calculator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CTC caps/floor, 110% threshold, bonus eligibility, INTERNAL exemption, agency/referral fee.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Approvals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All matrix tiers, CFO append, rejection, working-day SLA, VP/CFO no-skip.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Lifecycle/headcount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Day 7/day 8, decline release, final headcount, waitlist tie-break, requisition ageing.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Reports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Stage counts, pending approvers and requisition risk for given dates.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