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CAPSTONE PROJECT</w:t>
        <w:br/>
        <w:t>PS-055: Recruitment ATS with Interview Scheduling and Offer Approval Matrix</w:t>
        <w:br/>
        <w:t>Team T058 | Java 17</w:t>
      </w:r>
    </w:p>
    <w:p>
      <w:pPr>
        <w:pStyle w:val="Heading1"/>
      </w:pPr>
      <w:r>
        <w:t>11. Java 17 Project Setup Recommendation</w:t>
      </w:r>
    </w:p>
    <w:p>
      <w:r>
        <w:t>Suggested structure for the repository (Maven is recommended but not mandatory):</w:t>
      </w:r>
    </w:p>
    <w:p>
      <w:r>
        <w:rPr>
          <w:rFonts w:ascii="Consolas" w:hAnsi="Consolas"/>
          <w:sz w:val="18"/>
        </w:rPr>
        <w:t>T058-PS-055/</w:t>
        <w:br/>
        <w:t xml:space="preserve">  pom.xml</w:t>
        <w:br/>
        <w:t xml:space="preserve">  README.md</w:t>
        <w:br/>
        <w:t xml:space="preserve">  docs/</w:t>
        <w:br/>
        <w:t xml:space="preserve">    week1-design.pdf</w:t>
        <w:br/>
        <w:t xml:space="preserve">    decision-log.md</w:t>
        <w:br/>
        <w:t xml:space="preserve">  src/main/java/...</w:t>
        <w:br/>
        <w:t xml:space="preserve">    model/</w:t>
        <w:br/>
        <w:t xml:space="preserve">    service/</w:t>
        <w:br/>
        <w:t xml:space="preserve">    rules/</w:t>
        <w:br/>
        <w:t xml:space="preserve">    io/</w:t>
        <w:br/>
        <w:t xml:space="preserve">  src/test/java/...</w:t>
      </w:r>
    </w:p>
    <w:p>
      <w:r>
        <w:t>Use Java enums for fixed values such as candidate stages, candidate sources, interview rounds, approval decisions and statuses. Use java.time types (LocalDate, LocalDateTime, LocalTime) for dates and scheduling. Use BigDecimal for CTC and money calculations to avoid floating-point rounding issues. Use JUnit 5 for unit tests.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