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Apex Digital SA — Service Packages Blueprint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Currency Architecture: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ZAR (South African Rand) |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Ecosystem Version: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v3.0 |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Classification: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Internal Operational Workspace Alignment (Not Client-Facing)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This blueprint establishes absolute operational and nomenclature consistency across the Apex Digital SA ecosystem. To preserve white-label agency integrity and build bulletproof client trust, all internal or wholesale partner classifications are scrubbed. A strict separation is enforced between Build Packages (Starter, Standard, Pro) and Ecosystem Maintenance Models (Essentials, Visibility, Partner).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Master Alignment Matrix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Every client proposal, legal Service Level Agreement (SLA), discovery script, and onboarding tracker must align strictly to this environment classification map. No legacy terminology or hybrid overlap is permitted.</w:t>
      </w:r>
    </w:p>
    <w:tbl>
      <w:tblPr>
        <w:tblStyle w:val="Table1"/>
        <w:tblW w:w="9360.0" w:type="dxa"/>
        <w:jc w:val="left"/>
        <w:tblBorders>
          <w:top w:color="ccdcff" w:space="0" w:sz="6" w:val="single"/>
          <w:left w:color="ccdcff" w:space="0" w:sz="6" w:val="single"/>
          <w:bottom w:color="ccdcff" w:space="0" w:sz="6" w:val="single"/>
          <w:right w:color="ccdcff" w:space="0" w:sz="6" w:val="single"/>
          <w:insideH w:color="ccdcff" w:space="0" w:sz="6" w:val="single"/>
          <w:insideV w:color="ccdcff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e6f0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  <w:rtl w:val="0"/>
              </w:rPr>
              <w:t xml:space="preserve">Operational Environment</w:t>
            </w:r>
          </w:p>
        </w:tc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e6f0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  <w:rtl w:val="0"/>
              </w:rPr>
              <w:t xml:space="preserve">Tier 1 Baseline</w:t>
            </w:r>
          </w:p>
        </w:tc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e6f0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  <w:rtl w:val="0"/>
              </w:rPr>
              <w:t xml:space="preserve">Tier 2 Intermediate</w:t>
            </w:r>
          </w:p>
        </w:tc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e6f0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  <w:rtl w:val="0"/>
              </w:rPr>
              <w:t xml:space="preserve">Tier 3 Enterprise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Development &amp; Platforms (Builds)</w:t>
            </w:r>
          </w:p>
        </w:tc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Starter</w:t>
            </w:r>
          </w:p>
        </w:tc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Standard</w:t>
            </w:r>
          </w:p>
        </w:tc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Infrastructure &amp; Optimization (Monthly)</w:t>
            </w:r>
          </w:p>
        </w:tc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Essentials</w:t>
            </w:r>
          </w:p>
        </w:tc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Visibility</w:t>
            </w:r>
          </w:p>
        </w:tc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Partner</w:t>
            </w:r>
          </w:p>
        </w:tc>
      </w:tr>
    </w:tbl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300" w:lin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 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Product Line 1 — Sovereign Sites (Bespoke Development)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Custom-coded web infrastructure with zero platform dependencies or third-party theme vulnerabilities. The client retains absolute ownership of the master source directory and database manifestations upon final milestone sign-off. Engineered primarily for corporate service firms where digital trust commands premium acquisition margins.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Sovereign Starter — R1,500 to R3,000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Scope parameters: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1–2 pages custom layouts (typically Home or high-converting landing architecture + Contact).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Engineering standard: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Fully hand-coded from initial authorized prototype directions; zero commercial pre-made builders.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Core feature stack: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Mobile-first response parameters, asynchronous client communication forms, data submission logging.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Search optimization: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Baseline technical health deployment, including precise meta-tag configurations, image alt-text properties, semantic document outlines, and programmatic XML sitemaps.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Cloud configuration: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Preferred Tier 1 Cloud Infrastructure recommended.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Onboarding transition path: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Automatically maps into the monthly Essentials maintenance framework.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Sovereign Standard — R5,000 to R9,500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Scope parameters: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5 comprehensive pages (Home, Corporate Profile/About, Core Services, Vertically-Aligned Niche Solution Asset, Contact/Intake).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Integrations: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1–2 niche operational API endpoints or active interface embeds designed to reduce internal business friction.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Regulatory compliance: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Programmatic South African POPIA data governance compliance metrics, native secure cookie selection layers, and customized privacy policy directories.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Performance tuning: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Full optimization of assets, responsive scaling, and WebP graphical compression scripts.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Cloud configuration: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Preferred Tier 2 Cloud Infrastructure recommended.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Onboarding transition path: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Maps natively into the monthly Visibility performance tier.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Vertical-Specific Integration Schema Reference:</w:t>
      </w:r>
    </w:p>
    <w:tbl>
      <w:tblPr>
        <w:tblStyle w:val="Table2"/>
        <w:tblW w:w="9360.0" w:type="dxa"/>
        <w:jc w:val="left"/>
        <w:tblBorders>
          <w:top w:color="ccdcff" w:space="0" w:sz="6" w:val="single"/>
          <w:left w:color="ccdcff" w:space="0" w:sz="6" w:val="single"/>
          <w:bottom w:color="ccdcff" w:space="0" w:sz="6" w:val="single"/>
          <w:right w:color="ccdcff" w:space="0" w:sz="6" w:val="single"/>
          <w:insideH w:color="ccdcff" w:space="0" w:sz="6" w:val="single"/>
          <w:insideV w:color="ccdcff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e6f0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  <w:rtl w:val="0"/>
              </w:rPr>
              <w:t xml:space="preserve">Vertical Market</w:t>
            </w:r>
          </w:p>
        </w:tc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e6f0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  <w:rtl w:val="0"/>
              </w:rPr>
              <w:t xml:space="preserve">Bespoke Integration Suite &amp; Core Change Vector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Medical Aesthetics &amp; Spas</w:t>
            </w:r>
          </w:p>
        </w:tc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Frictionless appointment booking engine wrappers and interactive before-and-after clinical comparison sliders.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Legal &amp; Advisory Services</w:t>
            </w:r>
          </w:p>
        </w:tc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Encrypted secure onboarding intake structures and centralized down-routing corporate resource vaults.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Home Services &amp; Technical Trades</w:t>
            </w:r>
          </w:p>
        </w:tc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Floating instant communication mechanics and structured geolocated quote routing templates.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High-End Automotive Showrooms</w:t>
            </w:r>
          </w:p>
        </w:tc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Dynamic inventory categorization engines, dark-mode styling matrix, and high-intent inquiry routing.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Fitness Centers &amp; Commercial Gyms</w:t>
            </w:r>
          </w:p>
        </w:tc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Real-time automated scheduling matrices, digital membership onboarding forms, and localized social proof layouts.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Freight, Fleet &amp; Industrial Logistics</w:t>
            </w:r>
          </w:p>
        </w:tc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Bespoke multi-step consignment quote logic tables, fleet capacity display sheets, and live tracking interface gateways.</w:t>
            </w:r>
          </w:p>
        </w:tc>
      </w:tr>
    </w:tbl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00" w:lin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 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Sovereign Pro (Fractional CTO Layer) — R10,000 to R15,000+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Scope parameters: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Fully comprehensive corporate digital hub consisting of 5–8 high-fidelity pages. Includes extensive multi-location support arrays, asynchronous video stream processing, and custom Blog/CMS nodes.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Advanced features: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Intelligent data parsing layers (AI Admin Shield pipeline integration) and absolute optimization of Core Web Vitals to satisfy strict latency policies.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Bundled value inclusions: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Ships with our complete Once-off SEO Baseline campaign entirely deployed at launch, alongside the first month of Partner-tier maintenance fully credited.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Cloud configuration: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Mandated implementation on Preferred Tier 2 or Tier 3 Cloud Infrastructure.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Onboarding transition path: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Transitions seamlessly to the monthly recurring Partner SLA alignment.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Pro Tier Pricing Value Stack Alignment Table:</w:t>
      </w:r>
    </w:p>
    <w:tbl>
      <w:tblPr>
        <w:tblStyle w:val="Table3"/>
        <w:tblW w:w="9360.0" w:type="dxa"/>
        <w:jc w:val="left"/>
        <w:tblBorders>
          <w:top w:color="ccdcff" w:space="0" w:sz="6" w:val="single"/>
          <w:left w:color="ccdcff" w:space="0" w:sz="6" w:val="single"/>
          <w:bottom w:color="ccdcff" w:space="0" w:sz="6" w:val="single"/>
          <w:right w:color="ccdcff" w:space="0" w:sz="6" w:val="single"/>
          <w:insideH w:color="ccdcff" w:space="0" w:sz="6" w:val="single"/>
          <w:insideV w:color="ccdcff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e6f0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  <w:rtl w:val="0"/>
              </w:rPr>
              <w:t xml:space="preserve">Sovereign Architecture Line Item Component</w:t>
            </w:r>
          </w:p>
        </w:tc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e6f0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  <w:rtl w:val="0"/>
              </w:rPr>
              <w:t xml:space="preserve">Standard Retail Valuation (ZAR)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Custom 5–8 Page Hand-Coded Sovereign Platform Build</w:t>
            </w:r>
          </w:p>
        </w:tc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R6,000+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Specialized Niche Integration Suite &amp; Secure API Framework</w:t>
            </w:r>
          </w:p>
        </w:tc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R1,500+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Bespoke Once-off SEO Baseline Campaign &amp; Indexing Architecture</w:t>
            </w:r>
          </w:p>
        </w:tc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R2,500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f9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  <w:rtl w:val="0"/>
              </w:rPr>
              <w:t xml:space="preserve">Cumulative True Stacked Operational Value</w:t>
            </w:r>
          </w:p>
        </w:tc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f9f9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  <w:rtl w:val="0"/>
              </w:rPr>
              <w:t xml:space="preserve">R1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hd w:fill="auto" w:val="clear"/>
                <w:rtl w:val="0"/>
              </w:rPr>
              <w:t xml:space="preserve">,600+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f0f4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  <w:rtl w:val="0"/>
              </w:rPr>
              <w:t xml:space="preserve">Bespoke Package Position (Agreed Price Range)</w:t>
            </w:r>
          </w:p>
        </w:tc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f0f4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  <w:rtl w:val="0"/>
              </w:rPr>
              <w:t xml:space="preserve">R10,000 – R15,000</w:t>
            </w:r>
          </w:p>
        </w:tc>
      </w:tr>
    </w:tbl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300" w:lin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 </w:t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Product Line 2 — Managed Platform Builds (Content Priority)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Optimized deployments utilizing content-management platforms for firms mandating absolute internal administrative autonomy and frequent verbal text updates. Extensively hardened by Apex Digital to strip out bloated software scripts and prevent layout shift drops.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WordPress Core — R3,500 to R5,500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Scope parameters: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3–5 structural semantic pages deployed on optimized systems.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Hardenings: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Specialized script minification, style consolidation, and caching rules.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Upkeep tracking: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Defaults to Essentials or Visibility monthly maintenance parameters.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WordPress Business — R6,000 to R10,000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Scope parameters: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5–10 structured pages featuring advanced operational styling overrides.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Inclusions: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Niche data intake capture tools, automated calendar link components, full POPIA policy configurations, and baseline on-page mapping.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Upkeep tracking: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Recommends Visibility or Partner monthly SLA execution.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 </w:t>
      </w:r>
    </w:p>
    <w:p w:rsidR="00000000" w:rsidDel="00000000" w:rsidP="00000000" w:rsidRDefault="00000000" w:rsidRPr="00000000" w14:paraId="0000005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Product Line 3 — E-Commerce Platfom Builds (Transactional Retail)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High-conversion digital commerce architectures configured specifically for high-velocity local inventory distribution, international checkout handling, and programmatic shipping optimization.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Launch Store — R4,450 to R7,500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Catalog compilation: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Manual setup, structural organization, and configuration of up to 15 core products (with complete like-for-like variant and description matching).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Transactional processing: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Integration of secure South African payment clearing gateways (PayFast, Yoco, or native standard alternatives).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Logistics automation: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Standard automated carrier aggregation systems setup (e.g., Bob Go mapping to local express lines).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Legal architecture: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Compliance-ready POPIA frameworks, mandatory cookie consent notice systems, and specialized client-facing returns/exchange logic pages.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SEO baseline: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Complete product-level optimization schema, alt-text assignment arrays, and metadata definitions.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Infrastructure options: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Client-billed platform subscriptions or setup on Preferred Tier 3 Cloud Infrastructure.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Upkeep tracking: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Managed post-launch via the Essentials framework.</w:t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Growth Store — R9,000 to R15,000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Scope parameters: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Everything included in the Launch Store architecture, scaled for extensive enterprise footprints.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Catalog scaling: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Dynamic sorting and execution for up to 50 distinct inventory lines with deep facet filters.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Advanced mechanisms: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Multi-currency transaction processing, multi-step cross-border logistics mapping, volumetric weight calculation scripts to prevent margin leakage, and automated abandon-cart conversion tracking layers.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Upkeep tracking: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Governed securely via the Visibility or Partner monthly frameworks.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 </w:t>
      </w:r>
    </w:p>
    <w:p w:rsidR="00000000" w:rsidDel="00000000" w:rsidP="00000000" w:rsidRDefault="00000000" w:rsidRPr="00000000" w14:paraId="000000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Product Line 4 — Custom Digital Tools &amp; Intelligent AI Operations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High-impact structural scripts designed to eliminate frictional administrative tasks, isolate data leaks, and inject automated reasoning into legacy business workflows. Quoted strictly on a per-project basis depending on workflow endpoints.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Administrative Shield (AI Automation Engine):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Zero-cost tech stack execution (Google Forms + Google Sheets + Apps Script) calling advanced API instances. Safely extracts unstructured inputs (messy WhatsApp audio text, scans, random client emails) into isolated JSON structures, publishing cleanly to a secure executive tracker. Includes localized South African communication prompt modules.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Interactive Quote &amp; Pricing Calculators: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Frontend calculations modules that display real-time transactional variables to prospective clients, automatically capturing data intent parameters prior to quote generation.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Custom Product Configurators: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Fully customized graphical choices panels allowing buyers to visualize design configurations, initials, and stamp dimensions before ordering.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AI Booking &amp; Scheduling Automation: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Automated logic layers built over booking interfaces to systematically route questions, handle scheduling blocks, and qualify opportunities automatically.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 </w:t>
      </w:r>
    </w:p>
    <w:p w:rsidR="00000000" w:rsidDel="00000000" w:rsidP="00000000" w:rsidRDefault="00000000" w:rsidRPr="00000000" w14:paraId="0000006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Product Line 5 — Custom App Development &amp; Enterprise Infrastructure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Bespoke complex engineering workflows for systems that have entirely outgrown commercial SaaS limits. Backed by local Durban consulting oversight paired with advanced international development execution capabilities.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Minimum Engagement Threshold: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R25,000 per assignment.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Bespoke MVP Prototyping: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R45,000 to R85,000. Rapid functional layout builds to validate commercial premises before massive scaling.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Full-Scale Mobile/Web Applications: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R120,000 to R350,000+. Native iOS, Android, and web-platform integrations powered by clean database management layers.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Stand-Alone Engineering Labor Rates: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Strategic standalone consulting or custom software modification blocks are billed strictly at R750 to R1,200/hour to isolate margins.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 </w:t>
      </w:r>
    </w:p>
    <w:p w:rsidR="00000000" w:rsidDel="00000000" w:rsidP="00000000" w:rsidRDefault="00000000" w:rsidRPr="00000000" w14:paraId="0000007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Monthly Ecosystem Management &amp; Advanced Support Tiers (SLAs)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Continuous performance tracking, administrative upkeep, firewall defense, and organic positioning. Governed strictly by a flat **No-Rollover Resource Allocation Policy** and processed systematically in **15-minute batched operational increments**. Standalone out-of-scope modifications are billed at a uniform **R350/hour** across all environments.</w:t>
      </w:r>
    </w:p>
    <w:p w:rsidR="00000000" w:rsidDel="00000000" w:rsidP="00000000" w:rsidRDefault="00000000" w:rsidRPr="00000000" w14:paraId="000000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Essentials Tier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Financial framing: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Option A (Hosted via Preferred Infrastructure): R650 – R750 / month | Option B (Independently Hosted): R850 – R1,000 / month.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Upkeep allocations: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Weekly software framework patches, 24/7 endpoint monitoring, cloud backups.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Support response window: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Includes 1 hour of monthly technical change assistance for minor copy or layout modifications. standard 48-business-hour turnaround queue.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SEO component (Option A only):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Core engine visibility upkeep, metadata indexing validation, sitemap verification.</w:t>
      </w:r>
    </w:p>
    <w:p w:rsidR="00000000" w:rsidDel="00000000" w:rsidP="00000000" w:rsidRDefault="00000000" w:rsidRPr="00000000" w14:paraId="000000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Visibility Tier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Financial framing: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Option A (Hosted via Preferred Infrastructure): R1,500 – R2,000 / month | Option B (Independently Hosted): R1,850 – R2,250 / month.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Upkeep allocations: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Advanced structural query tuning, deep database performance cleaning, and asset optimization audits.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Support response window: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Includes 3 hours of monthly layout manipulation or functional testing blocks. Fast-tracked 24-business-hour turnaround queue.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Analytics governance: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Monthly detailed "Site Health" performance reporting tracking latency metrics and volume patterns.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SEO component (Option A only):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Strategic monthly organic tracking and structural homepage metadata refinement.</w:t>
      </w:r>
    </w:p>
    <w:p w:rsidR="00000000" w:rsidDel="00000000" w:rsidP="00000000" w:rsidRDefault="00000000" w:rsidRPr="00000000" w14:paraId="0000007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Partner Tier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Financial framing: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Option A (Hosted via Preferred Infrastructure): R3,600 – R4,500 / month | Option B (Independently Hosted): R4,000 – R4,750 / month.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Upkeep allocations: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Real-time firewall threat mitigation, dedicated container environments, live application redundancy channels.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Support response window: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Includes 5 hours of priority operational code allocation. High-priority critical queue with response under 10 business hours.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Strategic consulting: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In-depth quarterly system architecture reviews and tech strategy forecasting calls.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SEO component (Option A only):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Entirely bundles the **SEO Local Starter (Plan 1)** framework. Covers active management and optimization of 2 major landing folders monthly, comprehensive Google Business Profile structural marketing, monthly competitive keyword mapping, local citations expansion, and end-to-end inbound contact tracking logs.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 </w:t>
      </w:r>
    </w:p>
    <w:p w:rsidR="00000000" w:rsidDel="00000000" w:rsidP="00000000" w:rsidRDefault="00000000" w:rsidRPr="00000000" w14:paraId="0000008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 Core Price Matrix Overview</w:t>
      </w:r>
    </w:p>
    <w:tbl>
      <w:tblPr>
        <w:tblStyle w:val="Table4"/>
        <w:tblW w:w="9360.0" w:type="dxa"/>
        <w:jc w:val="left"/>
        <w:tblBorders>
          <w:top w:color="ccdcff" w:space="0" w:sz="6" w:val="single"/>
          <w:left w:color="ccdcff" w:space="0" w:sz="6" w:val="single"/>
          <w:bottom w:color="ccdcff" w:space="0" w:sz="6" w:val="single"/>
          <w:right w:color="ccdcff" w:space="0" w:sz="6" w:val="single"/>
          <w:insideH w:color="ccdcff" w:space="0" w:sz="6" w:val="single"/>
          <w:insideV w:color="ccdcff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e6f0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  <w:rtl w:val="0"/>
              </w:rPr>
              <w:t xml:space="preserve">Ecosystem Assignment Package Title</w:t>
            </w:r>
          </w:p>
        </w:tc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e6f0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  <w:rtl w:val="0"/>
              </w:rPr>
              <w:t xml:space="preserve">Investment Valuation Reference Scale (ZAR)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Sovereign Starter Build</w:t>
            </w:r>
          </w:p>
        </w:tc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R1,500 – R3,000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Sovereign Standard Build</w:t>
            </w:r>
          </w:p>
        </w:tc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R5,000 – R9,500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Sovereign Pro Build (Stacked Value Alignment)</w:t>
            </w:r>
          </w:p>
        </w:tc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R10,000 – R15,000+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WordPress Core Platform Build</w:t>
            </w:r>
          </w:p>
        </w:tc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R3,500 – R5,500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WordPress Business Platform Build</w:t>
            </w:r>
          </w:p>
        </w:tc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R6,000 – R10,000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E-Com Launch Store Setup (Missing Tier Restored)</w:t>
            </w:r>
          </w:p>
        </w:tc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R4,500 – R7,500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E-Com Growth Store Setup</w:t>
            </w:r>
          </w:p>
        </w:tc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R9,000 – R15,000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Bespoke Digital / AI Automation Implementations</w:t>
            </w:r>
          </w:p>
        </w:tc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Quoted per deployment scale (Base R5,000+)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Bespoke MVP Software Prototype</w:t>
            </w:r>
          </w:p>
        </w:tc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R45,000 – R85,000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Enterprise Application Architecture</w:t>
            </w:r>
          </w:p>
        </w:tc>
        <w:tc>
          <w:tcPr>
            <w:tcBorders>
              <w:top w:color="ccdcff" w:space="0" w:sz="6" w:val="single"/>
              <w:left w:color="ccdcff" w:space="0" w:sz="6" w:val="single"/>
              <w:bottom w:color="ccdcff" w:space="0" w:sz="6" w:val="single"/>
              <w:right w:color="ccdcff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R120,000 – R350,000+</w:t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