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E7A" w:rsidRPr="00B745D8" w:rsidRDefault="00B745D8" w:rsidP="00B745D8">
      <w:pPr>
        <w:spacing w:line="240" w:lineRule="auto"/>
        <w:jc w:val="center"/>
        <w:rPr>
          <w:rFonts w:ascii="Times New Roman" w:hAnsi="Times New Roman" w:cs="Times New Roman"/>
          <w:b/>
          <w:i/>
          <w:sz w:val="48"/>
          <w:szCs w:val="48"/>
        </w:rPr>
      </w:pPr>
      <w:r w:rsidRPr="00B745D8">
        <w:rPr>
          <w:rFonts w:ascii="Times New Roman" w:hAnsi="Times New Roman" w:cs="Times New Roman"/>
          <w:b/>
          <w:i/>
          <w:sz w:val="48"/>
          <w:szCs w:val="48"/>
        </w:rPr>
        <w:t xml:space="preserve">Khái niệm và đặc điểm thuế </w:t>
      </w:r>
      <w:proofErr w:type="gramStart"/>
      <w:r w:rsidRPr="00B745D8">
        <w:rPr>
          <w:rFonts w:ascii="Times New Roman" w:hAnsi="Times New Roman" w:cs="Times New Roman"/>
          <w:b/>
          <w:i/>
          <w:sz w:val="48"/>
          <w:szCs w:val="48"/>
        </w:rPr>
        <w:t>GTGT :</w:t>
      </w:r>
      <w:proofErr w:type="gramEnd"/>
    </w:p>
    <w:p w:rsidR="00B745D8" w:rsidRPr="00B745D8" w:rsidRDefault="00B745D8" w:rsidP="00B745D8">
      <w:pPr>
        <w:pStyle w:val="ListParagraph"/>
        <w:numPr>
          <w:ilvl w:val="0"/>
          <w:numId w:val="1"/>
        </w:numPr>
        <w:spacing w:line="276" w:lineRule="auto"/>
        <w:rPr>
          <w:rFonts w:ascii="Times New Roman" w:hAnsi="Times New Roman" w:cs="Times New Roman"/>
          <w:b/>
          <w:sz w:val="26"/>
          <w:szCs w:val="26"/>
        </w:rPr>
      </w:pPr>
      <w:r w:rsidRPr="00B745D8">
        <w:rPr>
          <w:rFonts w:ascii="Times New Roman" w:hAnsi="Times New Roman" w:cs="Times New Roman"/>
          <w:b/>
          <w:sz w:val="26"/>
          <w:szCs w:val="26"/>
        </w:rPr>
        <w:t xml:space="preserve">Khái </w:t>
      </w:r>
      <w:proofErr w:type="gramStart"/>
      <w:r w:rsidRPr="00B745D8">
        <w:rPr>
          <w:rFonts w:ascii="Times New Roman" w:hAnsi="Times New Roman" w:cs="Times New Roman"/>
          <w:b/>
          <w:sz w:val="26"/>
          <w:szCs w:val="26"/>
        </w:rPr>
        <w:t>niệm :</w:t>
      </w:r>
      <w:proofErr w:type="gramEnd"/>
    </w:p>
    <w:p w:rsidR="00B745D8" w:rsidRPr="00B745D8" w:rsidRDefault="00B745D8" w:rsidP="00B745D8">
      <w:pPr>
        <w:pStyle w:val="NormalWeb"/>
        <w:shd w:val="clear" w:color="auto" w:fill="FFFFFF"/>
        <w:spacing w:before="0" w:beforeAutospacing="0" w:after="312" w:afterAutospacing="0"/>
        <w:jc w:val="both"/>
        <w:rPr>
          <w:color w:val="333333"/>
          <w:sz w:val="26"/>
          <w:szCs w:val="26"/>
        </w:rPr>
      </w:pPr>
      <w:r w:rsidRPr="00B745D8">
        <w:rPr>
          <w:color w:val="000000"/>
          <w:sz w:val="26"/>
          <w:szCs w:val="26"/>
        </w:rPr>
        <w:t> Thuế giá trị gia tăng là thuế tính trên giá trị tăng thêm của hàng hóa, dịch vụ phát sinh trong quá trình từ sản xuất, lưu thông đến tiêu dùng.</w:t>
      </w:r>
    </w:p>
    <w:p w:rsidR="00B745D8" w:rsidRPr="00B745D8" w:rsidRDefault="00B745D8" w:rsidP="00B745D8">
      <w:pPr>
        <w:pStyle w:val="NormalWeb"/>
        <w:shd w:val="clear" w:color="auto" w:fill="FFFFFF"/>
        <w:spacing w:before="0" w:beforeAutospacing="0" w:after="312" w:afterAutospacing="0"/>
        <w:jc w:val="both"/>
        <w:rPr>
          <w:color w:val="000000"/>
          <w:sz w:val="26"/>
          <w:szCs w:val="26"/>
        </w:rPr>
      </w:pPr>
      <w:r w:rsidRPr="00B745D8">
        <w:rPr>
          <w:color w:val="000000"/>
          <w:sz w:val="26"/>
          <w:szCs w:val="26"/>
        </w:rPr>
        <w:t>Phần giá trị tăng thêm của hàng hóa, dịch vụ là chênh lệch giữa giá bán ra của hàng hóa, dịch vụ với giá mua vào tương ứng trong kỳ tính thuế. </w:t>
      </w:r>
    </w:p>
    <w:p w:rsidR="00B745D8" w:rsidRPr="00B745D8" w:rsidRDefault="00B745D8" w:rsidP="00B745D8">
      <w:pPr>
        <w:pStyle w:val="ListParagraph"/>
        <w:numPr>
          <w:ilvl w:val="0"/>
          <w:numId w:val="1"/>
        </w:numPr>
        <w:spacing w:line="276" w:lineRule="auto"/>
        <w:rPr>
          <w:rFonts w:ascii="Times New Roman" w:hAnsi="Times New Roman" w:cs="Times New Roman"/>
          <w:b/>
          <w:sz w:val="26"/>
          <w:szCs w:val="26"/>
        </w:rPr>
      </w:pPr>
      <w:r w:rsidRPr="00B745D8">
        <w:rPr>
          <w:rFonts w:ascii="Times New Roman" w:hAnsi="Times New Roman" w:cs="Times New Roman"/>
          <w:b/>
          <w:sz w:val="26"/>
          <w:szCs w:val="26"/>
        </w:rPr>
        <w:t xml:space="preserve">Đặc </w:t>
      </w:r>
      <w:proofErr w:type="gramStart"/>
      <w:r w:rsidRPr="00B745D8">
        <w:rPr>
          <w:rFonts w:ascii="Times New Roman" w:hAnsi="Times New Roman" w:cs="Times New Roman"/>
          <w:b/>
          <w:sz w:val="26"/>
          <w:szCs w:val="26"/>
        </w:rPr>
        <w:t>điểm :</w:t>
      </w:r>
      <w:bookmarkStart w:id="0" w:name="_GoBack"/>
      <w:bookmarkEnd w:id="0"/>
      <w:proofErr w:type="gramEnd"/>
    </w:p>
    <w:p w:rsidR="00B745D8" w:rsidRPr="00B745D8" w:rsidRDefault="00B745D8" w:rsidP="00B745D8">
      <w:pPr>
        <w:shd w:val="clear" w:color="auto" w:fill="FFFFFF"/>
        <w:spacing w:after="312" w:line="276" w:lineRule="auto"/>
        <w:jc w:val="both"/>
        <w:rPr>
          <w:rFonts w:ascii="Times New Roman" w:eastAsia="Times New Roman" w:hAnsi="Times New Roman" w:cs="Times New Roman"/>
          <w:color w:val="333333"/>
          <w:sz w:val="26"/>
          <w:szCs w:val="26"/>
        </w:rPr>
      </w:pPr>
      <w:r w:rsidRPr="00B745D8">
        <w:rPr>
          <w:rFonts w:ascii="Times New Roman" w:eastAsia="Times New Roman" w:hAnsi="Times New Roman" w:cs="Times New Roman"/>
          <w:color w:val="000000"/>
          <w:sz w:val="26"/>
          <w:szCs w:val="26"/>
        </w:rPr>
        <w:t>Thuế giá trị gia tăng có những đặc điểm sau:</w:t>
      </w:r>
    </w:p>
    <w:p w:rsidR="00B745D8" w:rsidRPr="00B745D8" w:rsidRDefault="00B745D8" w:rsidP="00B745D8">
      <w:pPr>
        <w:shd w:val="clear" w:color="auto" w:fill="FFFFFF"/>
        <w:spacing w:after="120" w:line="276" w:lineRule="auto"/>
        <w:jc w:val="both"/>
        <w:outlineLvl w:val="2"/>
        <w:rPr>
          <w:rFonts w:ascii="Times New Roman" w:eastAsia="Times New Roman" w:hAnsi="Times New Roman" w:cs="Times New Roman"/>
          <w:b/>
          <w:bCs/>
          <w:color w:val="A02627"/>
          <w:sz w:val="26"/>
          <w:szCs w:val="26"/>
        </w:rPr>
      </w:pPr>
      <w:r w:rsidRPr="00B745D8">
        <w:rPr>
          <w:rFonts w:ascii="Times New Roman" w:eastAsia="Times New Roman" w:hAnsi="Times New Roman" w:cs="Times New Roman"/>
          <w:b/>
          <w:bCs/>
          <w:color w:val="000000"/>
          <w:sz w:val="26"/>
          <w:szCs w:val="26"/>
        </w:rPr>
        <w:t>2.1. Thuế giá trị gia tăng có đối tượng chịu thuế là rất rộng</w:t>
      </w:r>
    </w:p>
    <w:p w:rsidR="00B745D8" w:rsidRPr="00B745D8" w:rsidRDefault="00B745D8" w:rsidP="00B745D8">
      <w:pPr>
        <w:shd w:val="clear" w:color="auto" w:fill="FFFFFF"/>
        <w:spacing w:after="312" w:line="276" w:lineRule="auto"/>
        <w:jc w:val="both"/>
        <w:rPr>
          <w:rFonts w:ascii="Times New Roman" w:eastAsia="Times New Roman" w:hAnsi="Times New Roman" w:cs="Times New Roman"/>
          <w:color w:val="333333"/>
          <w:sz w:val="26"/>
          <w:szCs w:val="26"/>
        </w:rPr>
      </w:pPr>
      <w:r w:rsidRPr="00B745D8">
        <w:rPr>
          <w:rFonts w:ascii="Times New Roman" w:eastAsia="Times New Roman" w:hAnsi="Times New Roman" w:cs="Times New Roman"/>
          <w:color w:val="000000"/>
          <w:sz w:val="26"/>
          <w:szCs w:val="26"/>
        </w:rPr>
        <w:t>Hầu như hàng hóa, dịch vụ sử dụng cho sản xuất, kinh doanh và tiêu dùng ở Việt Nam là đối tượng chịu thuế giá trị gia tăng. Mọi cá nhân, tổ chức đều sẽ phải chịu thuế giá trị gia tăng. </w:t>
      </w:r>
    </w:p>
    <w:p w:rsidR="00B745D8" w:rsidRPr="00B745D8" w:rsidRDefault="00B745D8" w:rsidP="00B745D8">
      <w:pPr>
        <w:shd w:val="clear" w:color="auto" w:fill="FFFFFF"/>
        <w:spacing w:after="120" w:line="276" w:lineRule="auto"/>
        <w:jc w:val="both"/>
        <w:outlineLvl w:val="2"/>
        <w:rPr>
          <w:rFonts w:ascii="Times New Roman" w:eastAsia="Times New Roman" w:hAnsi="Times New Roman" w:cs="Times New Roman"/>
          <w:b/>
          <w:bCs/>
          <w:color w:val="A02627"/>
          <w:sz w:val="26"/>
          <w:szCs w:val="26"/>
        </w:rPr>
      </w:pPr>
      <w:r w:rsidRPr="00B745D8">
        <w:rPr>
          <w:rFonts w:ascii="Times New Roman" w:eastAsia="Times New Roman" w:hAnsi="Times New Roman" w:cs="Times New Roman"/>
          <w:b/>
          <w:bCs/>
          <w:color w:val="000000"/>
          <w:sz w:val="26"/>
          <w:szCs w:val="26"/>
        </w:rPr>
        <w:t>2.2. Thuế giá trị gia tăng là loại thuế gián thu</w:t>
      </w:r>
    </w:p>
    <w:p w:rsidR="00B745D8" w:rsidRPr="00B745D8" w:rsidRDefault="00B745D8" w:rsidP="00B745D8">
      <w:pPr>
        <w:shd w:val="clear" w:color="auto" w:fill="FFFFFF"/>
        <w:spacing w:after="312" w:line="276" w:lineRule="auto"/>
        <w:jc w:val="both"/>
        <w:rPr>
          <w:rFonts w:ascii="Times New Roman" w:eastAsia="Times New Roman" w:hAnsi="Times New Roman" w:cs="Times New Roman"/>
          <w:color w:val="333333"/>
          <w:sz w:val="26"/>
          <w:szCs w:val="26"/>
        </w:rPr>
      </w:pPr>
      <w:r w:rsidRPr="00B745D8">
        <w:rPr>
          <w:rFonts w:ascii="Times New Roman" w:eastAsia="Times New Roman" w:hAnsi="Times New Roman" w:cs="Times New Roman"/>
          <w:color w:val="000000"/>
          <w:sz w:val="26"/>
          <w:szCs w:val="26"/>
        </w:rPr>
        <w:t xml:space="preserve">Tính gián thu của loại thuế này được thể hiện chỗ người mua hàng hóa, dịch vụ là người sẽ phải chịu loại thuế này thông qua việc mua bán hàng hóa. Người mua sẽ không phải nộp thuế trực tiếp vào ngân sách nhà nước. Mà sẽ trả thuế thông qua việc thanh toán hàng hóa, dịch vụ. Người mua sẽ thanh toán cho người bán. Người bán sẽ nộp thuế tại ngân sách </w:t>
      </w:r>
      <w:proofErr w:type="gramStart"/>
      <w:r w:rsidRPr="00B745D8">
        <w:rPr>
          <w:rFonts w:ascii="Times New Roman" w:eastAsia="Times New Roman" w:hAnsi="Times New Roman" w:cs="Times New Roman"/>
          <w:color w:val="000000"/>
          <w:sz w:val="26"/>
          <w:szCs w:val="26"/>
        </w:rPr>
        <w:t>nhà  nước</w:t>
      </w:r>
      <w:proofErr w:type="gramEnd"/>
      <w:r w:rsidRPr="00B745D8">
        <w:rPr>
          <w:rFonts w:ascii="Times New Roman" w:eastAsia="Times New Roman" w:hAnsi="Times New Roman" w:cs="Times New Roman"/>
          <w:color w:val="000000"/>
          <w:sz w:val="26"/>
          <w:szCs w:val="26"/>
        </w:rPr>
        <w:t xml:space="preserve">. Người tiêu dùng sẽ là người chịu </w:t>
      </w:r>
      <w:proofErr w:type="gramStart"/>
      <w:r w:rsidRPr="00B745D8">
        <w:rPr>
          <w:rFonts w:ascii="Times New Roman" w:eastAsia="Times New Roman" w:hAnsi="Times New Roman" w:cs="Times New Roman"/>
          <w:color w:val="000000"/>
          <w:sz w:val="26"/>
          <w:szCs w:val="26"/>
        </w:rPr>
        <w:t>thuế  nặng</w:t>
      </w:r>
      <w:proofErr w:type="gramEnd"/>
      <w:r w:rsidRPr="00B745D8">
        <w:rPr>
          <w:rFonts w:ascii="Times New Roman" w:eastAsia="Times New Roman" w:hAnsi="Times New Roman" w:cs="Times New Roman"/>
          <w:color w:val="000000"/>
          <w:sz w:val="26"/>
          <w:szCs w:val="26"/>
        </w:rPr>
        <w:t xml:space="preserve"> nhất. </w:t>
      </w:r>
    </w:p>
    <w:p w:rsidR="00B745D8" w:rsidRPr="00B745D8" w:rsidRDefault="00B745D8" w:rsidP="00B745D8">
      <w:pPr>
        <w:shd w:val="clear" w:color="auto" w:fill="FFFFFF"/>
        <w:spacing w:after="120" w:line="276" w:lineRule="auto"/>
        <w:jc w:val="both"/>
        <w:outlineLvl w:val="2"/>
        <w:rPr>
          <w:rFonts w:ascii="Times New Roman" w:eastAsia="Times New Roman" w:hAnsi="Times New Roman" w:cs="Times New Roman"/>
          <w:b/>
          <w:bCs/>
          <w:color w:val="A02627"/>
          <w:sz w:val="26"/>
          <w:szCs w:val="26"/>
        </w:rPr>
      </w:pPr>
      <w:r w:rsidRPr="00B745D8">
        <w:rPr>
          <w:rFonts w:ascii="Times New Roman" w:eastAsia="Times New Roman" w:hAnsi="Times New Roman" w:cs="Times New Roman"/>
          <w:b/>
          <w:bCs/>
          <w:color w:val="000000"/>
          <w:sz w:val="26"/>
          <w:szCs w:val="26"/>
        </w:rPr>
        <w:t>2.3. Thuế giá trị gia tăng đánh vào hầu hết các khâu</w:t>
      </w:r>
    </w:p>
    <w:p w:rsidR="00B745D8" w:rsidRPr="00B745D8" w:rsidRDefault="00B745D8" w:rsidP="00B745D8">
      <w:pPr>
        <w:shd w:val="clear" w:color="auto" w:fill="FFFFFF"/>
        <w:spacing w:after="312" w:line="276" w:lineRule="auto"/>
        <w:jc w:val="both"/>
        <w:rPr>
          <w:rFonts w:ascii="Times New Roman" w:eastAsia="Times New Roman" w:hAnsi="Times New Roman" w:cs="Times New Roman"/>
          <w:color w:val="333333"/>
          <w:sz w:val="26"/>
          <w:szCs w:val="26"/>
        </w:rPr>
      </w:pPr>
      <w:r w:rsidRPr="00B745D8">
        <w:rPr>
          <w:rFonts w:ascii="Times New Roman" w:eastAsia="Times New Roman" w:hAnsi="Times New Roman" w:cs="Times New Roman"/>
          <w:color w:val="000000"/>
          <w:sz w:val="26"/>
          <w:szCs w:val="26"/>
        </w:rPr>
        <w:t>Thuế giá trị gia tăng đánh vào phần giá trị tăng thêm của hàng hóa phát sinh ở các giai đoạn. Từ khâu sản xuất, lưu thông, tới khâu tiêu dùng. Và ở khâu tiêu dùng, người tiêu dùng sẽ là người trả thuế thông qua việc thanh toán. </w:t>
      </w:r>
    </w:p>
    <w:p w:rsidR="00B745D8" w:rsidRPr="00B745D8" w:rsidRDefault="00B745D8" w:rsidP="00B745D8">
      <w:pPr>
        <w:shd w:val="clear" w:color="auto" w:fill="FFFFFF"/>
        <w:spacing w:after="120" w:line="276" w:lineRule="auto"/>
        <w:jc w:val="both"/>
        <w:outlineLvl w:val="2"/>
        <w:rPr>
          <w:rFonts w:ascii="Times New Roman" w:eastAsia="Times New Roman" w:hAnsi="Times New Roman" w:cs="Times New Roman"/>
          <w:b/>
          <w:bCs/>
          <w:color w:val="A02627"/>
          <w:sz w:val="26"/>
          <w:szCs w:val="26"/>
        </w:rPr>
      </w:pPr>
      <w:r w:rsidRPr="00B745D8">
        <w:rPr>
          <w:rFonts w:ascii="Times New Roman" w:eastAsia="Times New Roman" w:hAnsi="Times New Roman" w:cs="Times New Roman"/>
          <w:b/>
          <w:bCs/>
          <w:color w:val="000000"/>
          <w:sz w:val="26"/>
          <w:szCs w:val="26"/>
        </w:rPr>
        <w:t>2.4. Phạm vi của thuế giá trị gia tăng</w:t>
      </w:r>
    </w:p>
    <w:p w:rsidR="00B745D8" w:rsidRPr="00B745D8" w:rsidRDefault="00B745D8" w:rsidP="00B745D8">
      <w:pPr>
        <w:shd w:val="clear" w:color="auto" w:fill="FFFFFF"/>
        <w:spacing w:after="312" w:line="276" w:lineRule="auto"/>
        <w:jc w:val="both"/>
        <w:rPr>
          <w:rFonts w:ascii="Times New Roman" w:eastAsia="Times New Roman" w:hAnsi="Times New Roman" w:cs="Times New Roman"/>
          <w:color w:val="333333"/>
          <w:sz w:val="26"/>
          <w:szCs w:val="26"/>
        </w:rPr>
      </w:pPr>
      <w:r w:rsidRPr="00B745D8">
        <w:rPr>
          <w:rFonts w:ascii="Times New Roman" w:eastAsia="Times New Roman" w:hAnsi="Times New Roman" w:cs="Times New Roman"/>
          <w:color w:val="000000"/>
          <w:sz w:val="26"/>
          <w:szCs w:val="26"/>
        </w:rPr>
        <w:t>Đối tượng chịu thuế là người tiêu dùng trong phạm vi lãnh thổ Quốc gia. Bởi vì không những hàng hóa xuất khẩu chịu thuế suất GTGT 0% ở khâu xuất khẩu và vẫn được khấu trừ thuế GTGT đầu vào trước đó.</w:t>
      </w:r>
    </w:p>
    <w:p w:rsidR="00B745D8" w:rsidRPr="00B745D8" w:rsidRDefault="00B745D8" w:rsidP="00B745D8">
      <w:pPr>
        <w:spacing w:line="276" w:lineRule="auto"/>
        <w:rPr>
          <w:rFonts w:ascii="Times New Roman" w:hAnsi="Times New Roman" w:cs="Times New Roman"/>
          <w:b/>
          <w:sz w:val="26"/>
          <w:szCs w:val="26"/>
        </w:rPr>
      </w:pPr>
    </w:p>
    <w:sectPr w:rsidR="00B745D8" w:rsidRPr="00B7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39CD"/>
    <w:multiLevelType w:val="hybridMultilevel"/>
    <w:tmpl w:val="F4CAA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D8"/>
    <w:rsid w:val="001B3E76"/>
    <w:rsid w:val="00B745D8"/>
    <w:rsid w:val="00FB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1E56"/>
  <w15:chartTrackingRefBased/>
  <w15:docId w15:val="{24E67F9C-D2CE-417E-B415-36CF0291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4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45D8"/>
    <w:rPr>
      <w:rFonts w:ascii="Times New Roman" w:eastAsia="Times New Roman" w:hAnsi="Times New Roman" w:cs="Times New Roman"/>
      <w:b/>
      <w:bCs/>
      <w:sz w:val="27"/>
      <w:szCs w:val="27"/>
    </w:rPr>
  </w:style>
  <w:style w:type="character" w:styleId="Strong">
    <w:name w:val="Strong"/>
    <w:basedOn w:val="DefaultParagraphFont"/>
    <w:uiPriority w:val="22"/>
    <w:qFormat/>
    <w:rsid w:val="00B745D8"/>
    <w:rPr>
      <w:b/>
      <w:bCs/>
    </w:rPr>
  </w:style>
  <w:style w:type="paragraph" w:styleId="ListParagraph">
    <w:name w:val="List Paragraph"/>
    <w:basedOn w:val="Normal"/>
    <w:uiPriority w:val="34"/>
    <w:qFormat/>
    <w:rsid w:val="00B7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829692">
      <w:bodyDiv w:val="1"/>
      <w:marLeft w:val="0"/>
      <w:marRight w:val="0"/>
      <w:marTop w:val="0"/>
      <w:marBottom w:val="0"/>
      <w:divBdr>
        <w:top w:val="none" w:sz="0" w:space="0" w:color="auto"/>
        <w:left w:val="none" w:sz="0" w:space="0" w:color="auto"/>
        <w:bottom w:val="none" w:sz="0" w:space="0" w:color="auto"/>
        <w:right w:val="none" w:sz="0" w:space="0" w:color="auto"/>
      </w:divBdr>
    </w:div>
    <w:div w:id="1412770472">
      <w:bodyDiv w:val="1"/>
      <w:marLeft w:val="0"/>
      <w:marRight w:val="0"/>
      <w:marTop w:val="0"/>
      <w:marBottom w:val="0"/>
      <w:divBdr>
        <w:top w:val="none" w:sz="0" w:space="0" w:color="auto"/>
        <w:left w:val="none" w:sz="0" w:space="0" w:color="auto"/>
        <w:bottom w:val="none" w:sz="0" w:space="0" w:color="auto"/>
        <w:right w:val="none" w:sz="0" w:space="0" w:color="auto"/>
      </w:divBdr>
    </w:div>
    <w:div w:id="1554460212">
      <w:bodyDiv w:val="1"/>
      <w:marLeft w:val="0"/>
      <w:marRight w:val="0"/>
      <w:marTop w:val="0"/>
      <w:marBottom w:val="0"/>
      <w:divBdr>
        <w:top w:val="none" w:sz="0" w:space="0" w:color="auto"/>
        <w:left w:val="none" w:sz="0" w:space="0" w:color="auto"/>
        <w:bottom w:val="none" w:sz="0" w:space="0" w:color="auto"/>
        <w:right w:val="none" w:sz="0" w:space="0" w:color="auto"/>
      </w:divBdr>
    </w:div>
    <w:div w:id="19687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2022-03-06T17:37:00Z</dcterms:created>
  <dcterms:modified xsi:type="dcterms:W3CDTF">2022-03-06T17:43:00Z</dcterms:modified>
</cp:coreProperties>
</file>