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4BDA" w:rsidRPr="002D4BDA" w:rsidRDefault="002D4BDA" w:rsidP="002D4BDA">
      <w:pPr>
        <w:rPr>
          <w:b/>
          <w:bCs/>
        </w:rPr>
      </w:pPr>
      <w:r w:rsidRPr="002D4BDA">
        <w:rPr>
          <w:b/>
          <w:bCs/>
        </w:rPr>
        <w:t>Restored Roots Furniture Business Plan</w:t>
      </w:r>
    </w:p>
    <w:p w:rsidR="002D4BDA" w:rsidRPr="002D4BDA" w:rsidRDefault="002D4BDA" w:rsidP="002D4BDA">
      <w:pPr>
        <w:rPr>
          <w:b/>
          <w:bCs/>
        </w:rPr>
      </w:pPr>
      <w:r w:rsidRPr="002D4BDA">
        <w:rPr>
          <w:b/>
          <w:bCs/>
        </w:rPr>
        <w:t>Executive Summary</w:t>
      </w:r>
    </w:p>
    <w:p w:rsidR="002D4BDA" w:rsidRPr="002D4BDA" w:rsidRDefault="002D4BDA" w:rsidP="002D4BDA">
      <w:r w:rsidRPr="002D4BDA">
        <w:t>Restored Roots Furniture is a part-time, family-run furniture restoration business operating from the upstairs of the bank barn on a 50-acre orchard in Wantage, NJ. Led by an experienced professional with a passion for woodworking, the business sources discarded wood furniture (e.g., Adirondack chairs, dining tables, chairs, dressers) from bulk trash pickup days and social media platforms (e.g., Facebook groups) in affluent communities around Kinnelon, NJ (household income $150,000+). Restored pieces are sold through Wantage and Kinnelon farmstands (60% of sales), online marketplaces (40%), and eventually small businesses (e.g., restaurants, boutiques). Operating 10 days/month for restoration and 2–3 days/month for sourcing, with family labor (three teenage children), the business projects 2026 revenues of $48,000 (240 pieces at $200 avg.) and an EBITDA of $34,800, scaling to $96,000 revenue by 2029 with hired help. Startup costs of $15,000 are funded by family cash, using the existing GMC Sierra for pickups/deliveries. The venture integrates with Colonial Cider’s website and farmstand, leveraging grassroots marketing and orchard insurance for low overhead.</w:t>
      </w:r>
    </w:p>
    <w:p w:rsidR="002D4BDA" w:rsidRPr="002D4BDA" w:rsidRDefault="002D4BDA" w:rsidP="002D4BDA">
      <w:pPr>
        <w:rPr>
          <w:b/>
          <w:bCs/>
        </w:rPr>
      </w:pPr>
      <w:r w:rsidRPr="002D4BDA">
        <w:rPr>
          <w:b/>
          <w:bCs/>
        </w:rPr>
        <w:t>Company Description</w:t>
      </w:r>
    </w:p>
    <w:p w:rsidR="002D4BDA" w:rsidRPr="002D4BDA" w:rsidRDefault="002D4BDA" w:rsidP="002D4BDA">
      <w:pPr>
        <w:numPr>
          <w:ilvl w:val="0"/>
          <w:numId w:val="1"/>
        </w:numPr>
      </w:pPr>
      <w:r w:rsidRPr="002D4BDA">
        <w:rPr>
          <w:b/>
          <w:bCs/>
        </w:rPr>
        <w:t>Business Name</w:t>
      </w:r>
      <w:r w:rsidRPr="002D4BDA">
        <w:t>: Restored Roots Furniture</w:t>
      </w:r>
    </w:p>
    <w:p w:rsidR="002D4BDA" w:rsidRPr="002D4BDA" w:rsidRDefault="002D4BDA" w:rsidP="002D4BDA">
      <w:pPr>
        <w:numPr>
          <w:ilvl w:val="0"/>
          <w:numId w:val="1"/>
        </w:numPr>
      </w:pPr>
      <w:r w:rsidRPr="002D4BDA">
        <w:rPr>
          <w:b/>
          <w:bCs/>
        </w:rPr>
        <w:t>Location</w:t>
      </w:r>
      <w:r w:rsidRPr="002D4BDA">
        <w:t>: Upstairs of bank barn, 25 Clove Road, Wantage, NJ 07461; secondary sales at Kinnelon farmstand</w:t>
      </w:r>
    </w:p>
    <w:p w:rsidR="002D4BDA" w:rsidRPr="002D4BDA" w:rsidRDefault="002D4BDA" w:rsidP="002D4BDA">
      <w:pPr>
        <w:numPr>
          <w:ilvl w:val="0"/>
          <w:numId w:val="1"/>
        </w:numPr>
      </w:pPr>
      <w:r w:rsidRPr="002D4BDA">
        <w:rPr>
          <w:b/>
          <w:bCs/>
        </w:rPr>
        <w:t>Legal Structure</w:t>
      </w:r>
      <w:r w:rsidRPr="002D4BDA">
        <w:t>: Sole Proprietorship (under Colonial Cider LLC for simplicity)</w:t>
      </w:r>
    </w:p>
    <w:p w:rsidR="002D4BDA" w:rsidRPr="002D4BDA" w:rsidRDefault="002D4BDA" w:rsidP="002D4BDA">
      <w:pPr>
        <w:numPr>
          <w:ilvl w:val="0"/>
          <w:numId w:val="1"/>
        </w:numPr>
      </w:pPr>
      <w:r w:rsidRPr="002D4BDA">
        <w:rPr>
          <w:b/>
          <w:bCs/>
        </w:rPr>
        <w:t>Vision</w:t>
      </w:r>
      <w:r w:rsidRPr="002D4BDA">
        <w:t>: To transform discarded furniture into cherished, sustainable pieces, enhancing the family’s farm-based lifestyle and community engagement.</w:t>
      </w:r>
    </w:p>
    <w:p w:rsidR="002D4BDA" w:rsidRPr="002D4BDA" w:rsidRDefault="002D4BDA" w:rsidP="002D4BDA">
      <w:pPr>
        <w:numPr>
          <w:ilvl w:val="0"/>
          <w:numId w:val="1"/>
        </w:numPr>
      </w:pPr>
      <w:r w:rsidRPr="002D4BDA">
        <w:rPr>
          <w:b/>
          <w:bCs/>
        </w:rPr>
        <w:t>Mission</w:t>
      </w:r>
      <w:r w:rsidRPr="002D4BDA">
        <w:t>: To restore high-quality wood furniture sourced from affluent NJ communities, offering unique, eco-friendly pieces while fostering family collaboration and creative expression.</w:t>
      </w:r>
    </w:p>
    <w:p w:rsidR="002D4BDA" w:rsidRPr="002D4BDA" w:rsidRDefault="002D4BDA" w:rsidP="002D4BDA">
      <w:pPr>
        <w:numPr>
          <w:ilvl w:val="0"/>
          <w:numId w:val="1"/>
        </w:numPr>
      </w:pPr>
      <w:r w:rsidRPr="002D4BDA">
        <w:rPr>
          <w:b/>
          <w:bCs/>
        </w:rPr>
        <w:t>Objectives</w:t>
      </w:r>
      <w:r w:rsidRPr="002D4BDA">
        <w:t>:</w:t>
      </w:r>
    </w:p>
    <w:p w:rsidR="002D4BDA" w:rsidRPr="002D4BDA" w:rsidRDefault="002D4BDA" w:rsidP="002D4BDA">
      <w:pPr>
        <w:numPr>
          <w:ilvl w:val="1"/>
          <w:numId w:val="1"/>
        </w:numPr>
      </w:pPr>
      <w:r w:rsidRPr="002D4BDA">
        <w:t>Restore and sell 20–30 pieces/month (240–360 pieces/year) by 2026.</w:t>
      </w:r>
    </w:p>
    <w:p w:rsidR="002D4BDA" w:rsidRPr="002D4BDA" w:rsidRDefault="002D4BDA" w:rsidP="002D4BDA">
      <w:pPr>
        <w:numPr>
          <w:ilvl w:val="1"/>
          <w:numId w:val="1"/>
        </w:numPr>
      </w:pPr>
      <w:r w:rsidRPr="002D4BDA">
        <w:t>Achieve $48,000 revenue in 2026, scaling to $96,000 by 2029 with hired labor.</w:t>
      </w:r>
    </w:p>
    <w:p w:rsidR="002D4BDA" w:rsidRPr="002D4BDA" w:rsidRDefault="002D4BDA" w:rsidP="002D4BDA">
      <w:pPr>
        <w:numPr>
          <w:ilvl w:val="1"/>
          <w:numId w:val="1"/>
        </w:numPr>
      </w:pPr>
      <w:r w:rsidRPr="002D4BDA">
        <w:t>Leverage Kinnelon community ties for sourcing and sales in Sussex, Morris, and beyond.</w:t>
      </w:r>
    </w:p>
    <w:p w:rsidR="002D4BDA" w:rsidRPr="002D4BDA" w:rsidRDefault="002D4BDA" w:rsidP="002D4BDA">
      <w:pPr>
        <w:numPr>
          <w:ilvl w:val="1"/>
          <w:numId w:val="1"/>
        </w:numPr>
      </w:pPr>
      <w:r w:rsidRPr="002D4BDA">
        <w:t>Fund startup with $15,000 family cash, integrating with Colonial Cider operations.</w:t>
      </w:r>
    </w:p>
    <w:p w:rsidR="002D4BDA" w:rsidRPr="002D4BDA" w:rsidRDefault="002D4BDA" w:rsidP="002D4BDA">
      <w:pPr>
        <w:numPr>
          <w:ilvl w:val="0"/>
          <w:numId w:val="1"/>
        </w:numPr>
      </w:pPr>
      <w:r w:rsidRPr="002D4BDA">
        <w:rPr>
          <w:b/>
          <w:bCs/>
        </w:rPr>
        <w:lastRenderedPageBreak/>
        <w:t>Unique Selling Proposition</w:t>
      </w:r>
      <w:r w:rsidRPr="002D4BDA">
        <w:t>: Family-run, eco-friendly restoration of high-quality wood furniture sourced from affluent areas, sold at competitive prices with a sustainability narrative, integrated with the farm’s cidery and agritourism.</w:t>
      </w:r>
    </w:p>
    <w:p w:rsidR="002D4BDA" w:rsidRPr="002D4BDA" w:rsidRDefault="002D4BDA" w:rsidP="002D4BDA">
      <w:pPr>
        <w:rPr>
          <w:b/>
          <w:bCs/>
        </w:rPr>
      </w:pPr>
      <w:r w:rsidRPr="002D4BDA">
        <w:rPr>
          <w:b/>
          <w:bCs/>
        </w:rPr>
        <w:t>Market Analysis</w:t>
      </w:r>
    </w:p>
    <w:p w:rsidR="002D4BDA" w:rsidRPr="002D4BDA" w:rsidRDefault="002D4BDA" w:rsidP="002D4BDA">
      <w:pPr>
        <w:rPr>
          <w:b/>
          <w:bCs/>
        </w:rPr>
      </w:pPr>
      <w:r w:rsidRPr="002D4BDA">
        <w:rPr>
          <w:b/>
          <w:bCs/>
        </w:rPr>
        <w:t>Industry Overview</w:t>
      </w:r>
    </w:p>
    <w:p w:rsidR="002D4BDA" w:rsidRPr="002D4BDA" w:rsidRDefault="002D4BDA" w:rsidP="002D4BDA">
      <w:pPr>
        <w:numPr>
          <w:ilvl w:val="0"/>
          <w:numId w:val="2"/>
        </w:numPr>
      </w:pPr>
      <w:r w:rsidRPr="002D4BDA">
        <w:t>The U.S. secondhand furniture market is projected to reach $16 billion by 2028 (6% CAGR), driven by demand for sustainable, vintage, and custom decor.</w:t>
      </w:r>
    </w:p>
    <w:p w:rsidR="002D4BDA" w:rsidRPr="002D4BDA" w:rsidRDefault="002D4BDA" w:rsidP="002D4BDA">
      <w:pPr>
        <w:numPr>
          <w:ilvl w:val="0"/>
          <w:numId w:val="2"/>
        </w:numPr>
      </w:pPr>
      <w:r w:rsidRPr="002D4BDA">
        <w:t>Affluent communities in Kinnelon and surrounding areas (Morris, Sussex, Bergen, Passaic, Hunterdon) discard high-quality furniture during bulk pickups, providing low-cost sourcing.</w:t>
      </w:r>
    </w:p>
    <w:p w:rsidR="002D4BDA" w:rsidRPr="002D4BDA" w:rsidRDefault="002D4BDA" w:rsidP="002D4BDA">
      <w:pPr>
        <w:numPr>
          <w:ilvl w:val="0"/>
          <w:numId w:val="2"/>
        </w:numPr>
      </w:pPr>
      <w:r w:rsidRPr="002D4BDA">
        <w:t>Local demand is strong, fueled by eco-conscious trends and high disposable incomes ($150,000+ households).</w:t>
      </w:r>
    </w:p>
    <w:p w:rsidR="002D4BDA" w:rsidRPr="002D4BDA" w:rsidRDefault="002D4BDA" w:rsidP="002D4BDA">
      <w:pPr>
        <w:rPr>
          <w:b/>
          <w:bCs/>
        </w:rPr>
      </w:pPr>
      <w:r w:rsidRPr="002D4BDA">
        <w:rPr>
          <w:b/>
          <w:bCs/>
        </w:rPr>
        <w:t>Target Market</w:t>
      </w:r>
    </w:p>
    <w:p w:rsidR="002D4BDA" w:rsidRPr="002D4BDA" w:rsidRDefault="002D4BDA" w:rsidP="002D4BDA">
      <w:pPr>
        <w:numPr>
          <w:ilvl w:val="0"/>
          <w:numId w:val="3"/>
        </w:numPr>
      </w:pPr>
      <w:r w:rsidRPr="002D4BDA">
        <w:rPr>
          <w:b/>
          <w:bCs/>
        </w:rPr>
        <w:t>Demographics</w:t>
      </w:r>
      <w:r w:rsidRPr="002D4BDA">
        <w:t>: Adults 30–65, household income $150,000+, homeowners, small businesses (e.g., farm-to-table restaurants, boutiques).</w:t>
      </w:r>
    </w:p>
    <w:p w:rsidR="002D4BDA" w:rsidRPr="002D4BDA" w:rsidRDefault="002D4BDA" w:rsidP="002D4BDA">
      <w:pPr>
        <w:numPr>
          <w:ilvl w:val="0"/>
          <w:numId w:val="3"/>
        </w:numPr>
      </w:pPr>
      <w:r w:rsidRPr="002D4BDA">
        <w:rPr>
          <w:b/>
          <w:bCs/>
        </w:rPr>
        <w:t>Psychographics</w:t>
      </w:r>
      <w:r w:rsidRPr="002D4BDA">
        <w:t>: Value sustainability, vintage aesthetics, local craftsmanship; enjoy unique decor and farm-based experiences.</w:t>
      </w:r>
    </w:p>
    <w:p w:rsidR="002D4BDA" w:rsidRPr="002D4BDA" w:rsidRDefault="002D4BDA" w:rsidP="002D4BDA">
      <w:pPr>
        <w:numPr>
          <w:ilvl w:val="0"/>
          <w:numId w:val="3"/>
        </w:numPr>
      </w:pPr>
      <w:r w:rsidRPr="002D4BDA">
        <w:rPr>
          <w:b/>
          <w:bCs/>
        </w:rPr>
        <w:t>Geographic Focus</w:t>
      </w:r>
      <w:r w:rsidRPr="002D4BDA">
        <w:t>:</w:t>
      </w:r>
    </w:p>
    <w:p w:rsidR="002D4BDA" w:rsidRPr="002D4BDA" w:rsidRDefault="002D4BDA" w:rsidP="002D4BDA">
      <w:pPr>
        <w:numPr>
          <w:ilvl w:val="1"/>
          <w:numId w:val="3"/>
        </w:numPr>
      </w:pPr>
      <w:r w:rsidRPr="002D4BDA">
        <w:rPr>
          <w:b/>
          <w:bCs/>
        </w:rPr>
        <w:t>2025–2026</w:t>
      </w:r>
      <w:r w:rsidRPr="002D4BDA">
        <w:t>: Sussex, Morris counties (Wantage/Kinnelon farmstands, local sales).</w:t>
      </w:r>
    </w:p>
    <w:p w:rsidR="002D4BDA" w:rsidRPr="002D4BDA" w:rsidRDefault="002D4BDA" w:rsidP="002D4BDA">
      <w:pPr>
        <w:numPr>
          <w:ilvl w:val="1"/>
          <w:numId w:val="3"/>
        </w:numPr>
      </w:pPr>
      <w:r w:rsidRPr="002D4BDA">
        <w:rPr>
          <w:b/>
          <w:bCs/>
        </w:rPr>
        <w:t>2027–2028</w:t>
      </w:r>
      <w:r w:rsidRPr="002D4BDA">
        <w:t>: Bergen, Passaic, Hunterdon counties.</w:t>
      </w:r>
    </w:p>
    <w:p w:rsidR="002D4BDA" w:rsidRPr="002D4BDA" w:rsidRDefault="002D4BDA" w:rsidP="002D4BDA">
      <w:pPr>
        <w:numPr>
          <w:ilvl w:val="1"/>
          <w:numId w:val="3"/>
        </w:numPr>
      </w:pPr>
      <w:r w:rsidRPr="002D4BDA">
        <w:rPr>
          <w:b/>
          <w:bCs/>
        </w:rPr>
        <w:t>2029</w:t>
      </w:r>
      <w:r w:rsidRPr="002D4BDA">
        <w:t>: Explore small business accounts (e.g., restaurants, boutiques).</w:t>
      </w:r>
    </w:p>
    <w:p w:rsidR="002D4BDA" w:rsidRPr="002D4BDA" w:rsidRDefault="002D4BDA" w:rsidP="002D4BDA">
      <w:pPr>
        <w:rPr>
          <w:b/>
          <w:bCs/>
        </w:rPr>
      </w:pPr>
      <w:r w:rsidRPr="002D4BDA">
        <w:rPr>
          <w:b/>
          <w:bCs/>
        </w:rPr>
        <w:t>Market Segmentation</w:t>
      </w:r>
    </w:p>
    <w:p w:rsidR="002D4BDA" w:rsidRPr="002D4BDA" w:rsidRDefault="002D4BDA" w:rsidP="002D4BDA">
      <w:pPr>
        <w:numPr>
          <w:ilvl w:val="0"/>
          <w:numId w:val="4"/>
        </w:numPr>
      </w:pPr>
      <w:r w:rsidRPr="002D4BDA">
        <w:rPr>
          <w:b/>
          <w:bCs/>
        </w:rPr>
        <w:t>Direct Consumers</w:t>
      </w:r>
      <w:r w:rsidRPr="002D4BDA">
        <w:t>: Wantage farmstand (30%), Kinnelon farmstand (30%), cidery events, agritourism visitors.</w:t>
      </w:r>
    </w:p>
    <w:p w:rsidR="002D4BDA" w:rsidRPr="002D4BDA" w:rsidRDefault="002D4BDA" w:rsidP="002D4BDA">
      <w:pPr>
        <w:numPr>
          <w:ilvl w:val="0"/>
          <w:numId w:val="4"/>
        </w:numPr>
      </w:pPr>
      <w:r w:rsidRPr="002D4BDA">
        <w:rPr>
          <w:b/>
          <w:bCs/>
        </w:rPr>
        <w:t>Online Buyers</w:t>
      </w:r>
      <w:r w:rsidRPr="002D4BDA">
        <w:t>: Facebook Marketplace, Etsy, NJ buy/sell groups (40%).</w:t>
      </w:r>
    </w:p>
    <w:p w:rsidR="002D4BDA" w:rsidRPr="002D4BDA" w:rsidRDefault="002D4BDA" w:rsidP="002D4BDA">
      <w:pPr>
        <w:numPr>
          <w:ilvl w:val="0"/>
          <w:numId w:val="4"/>
        </w:numPr>
      </w:pPr>
      <w:r w:rsidRPr="002D4BDA">
        <w:rPr>
          <w:b/>
          <w:bCs/>
        </w:rPr>
        <w:t>Small Businesses</w:t>
      </w:r>
      <w:r w:rsidRPr="002D4BDA">
        <w:t>: Restaurants, cafes, boutiques seeking unique decor (potential growth by 2029).</w:t>
      </w:r>
    </w:p>
    <w:p w:rsidR="002D4BDA" w:rsidRPr="002D4BDA" w:rsidRDefault="002D4BDA" w:rsidP="002D4BDA">
      <w:pPr>
        <w:rPr>
          <w:b/>
          <w:bCs/>
        </w:rPr>
      </w:pPr>
      <w:r w:rsidRPr="002D4BDA">
        <w:rPr>
          <w:b/>
          <w:bCs/>
        </w:rPr>
        <w:t>Competitive Analysis</w:t>
      </w:r>
    </w:p>
    <w:p w:rsidR="002D4BDA" w:rsidRPr="002D4BDA" w:rsidRDefault="002D4BDA" w:rsidP="002D4BDA">
      <w:pPr>
        <w:numPr>
          <w:ilvl w:val="0"/>
          <w:numId w:val="5"/>
        </w:numPr>
      </w:pPr>
      <w:r w:rsidRPr="002D4BDA">
        <w:rPr>
          <w:b/>
          <w:bCs/>
        </w:rPr>
        <w:t>Morris Habitat for Humanity ReStore (Randolph, Morris County)</w:t>
      </w:r>
      <w:r w:rsidRPr="002D4BDA">
        <w:t>:</w:t>
      </w:r>
    </w:p>
    <w:p w:rsidR="002D4BDA" w:rsidRPr="002D4BDA" w:rsidRDefault="002D4BDA" w:rsidP="002D4BDA">
      <w:pPr>
        <w:numPr>
          <w:ilvl w:val="1"/>
          <w:numId w:val="5"/>
        </w:numPr>
      </w:pPr>
      <w:r w:rsidRPr="002D4BDA">
        <w:rPr>
          <w:b/>
          <w:bCs/>
        </w:rPr>
        <w:lastRenderedPageBreak/>
        <w:t>Model</w:t>
      </w:r>
      <w:r w:rsidRPr="002D4BDA">
        <w:t>: Nonprofit selling donated furniture (antiques, cabinets, sofas) at discount prices to fund affordable housing. Accepts donations and offers pickup services.</w:t>
      </w:r>
    </w:p>
    <w:p w:rsidR="002D4BDA" w:rsidRPr="002D4BDA" w:rsidRDefault="002D4BDA" w:rsidP="002D4BDA">
      <w:pPr>
        <w:numPr>
          <w:ilvl w:val="1"/>
          <w:numId w:val="5"/>
        </w:numPr>
      </w:pPr>
      <w:r w:rsidRPr="002D4BDA">
        <w:rPr>
          <w:b/>
          <w:bCs/>
        </w:rPr>
        <w:t>Strengths</w:t>
      </w:r>
      <w:r w:rsidRPr="002D4BDA">
        <w:t>: Large inventory, community goodwill, low prices ($50–$500), established since 2007.</w:t>
      </w:r>
    </w:p>
    <w:p w:rsidR="002D4BDA" w:rsidRPr="002D4BDA" w:rsidRDefault="002D4BDA" w:rsidP="002D4BDA">
      <w:pPr>
        <w:numPr>
          <w:ilvl w:val="1"/>
          <w:numId w:val="5"/>
        </w:numPr>
      </w:pPr>
      <w:r w:rsidRPr="002D4BDA">
        <w:rPr>
          <w:b/>
          <w:bCs/>
        </w:rPr>
        <w:t>Weaknesses</w:t>
      </w:r>
      <w:r w:rsidRPr="002D4BDA">
        <w:t>: Broad focus (not just wood furniture), less emphasis on high-end restoration, nonprofit model limits premium pricing.</w:t>
      </w:r>
    </w:p>
    <w:p w:rsidR="002D4BDA" w:rsidRPr="002D4BDA" w:rsidRDefault="002D4BDA" w:rsidP="002D4BDA">
      <w:pPr>
        <w:numPr>
          <w:ilvl w:val="1"/>
          <w:numId w:val="5"/>
        </w:numPr>
      </w:pPr>
      <w:r w:rsidRPr="002D4BDA">
        <w:rPr>
          <w:b/>
          <w:bCs/>
        </w:rPr>
        <w:t>Differentiation</w:t>
      </w:r>
      <w:r w:rsidRPr="002D4BDA">
        <w:t>: Restored Roots focuses on artisanal, high-quality wood restorations with a vintage aesthetic, targeting affluent buyers vs. ReStore’s bargain focus.</w:t>
      </w:r>
    </w:p>
    <w:p w:rsidR="002D4BDA" w:rsidRPr="002D4BDA" w:rsidRDefault="002D4BDA" w:rsidP="002D4BDA">
      <w:pPr>
        <w:numPr>
          <w:ilvl w:val="0"/>
          <w:numId w:val="5"/>
        </w:numPr>
      </w:pPr>
      <w:r w:rsidRPr="002D4BDA">
        <w:rPr>
          <w:b/>
          <w:bCs/>
        </w:rPr>
        <w:t>Heirloom Refinishing (Rockaway, Morris County)</w:t>
      </w:r>
      <w:r w:rsidRPr="002D4BDA">
        <w:t>:</w:t>
      </w:r>
    </w:p>
    <w:p w:rsidR="002D4BDA" w:rsidRPr="002D4BDA" w:rsidRDefault="002D4BDA" w:rsidP="002D4BDA">
      <w:pPr>
        <w:numPr>
          <w:ilvl w:val="1"/>
          <w:numId w:val="5"/>
        </w:numPr>
      </w:pPr>
      <w:r w:rsidRPr="002D4BDA">
        <w:rPr>
          <w:b/>
          <w:bCs/>
        </w:rPr>
        <w:t>Model</w:t>
      </w:r>
      <w:r w:rsidRPr="002D4BDA">
        <w:t>: Full-service furniture refinishing since 1972, specializing in antiques and custom repairs in a 5,000 sq. ft. facility. Serves Morris, Sussex, and metro areas.</w:t>
      </w:r>
    </w:p>
    <w:p w:rsidR="002D4BDA" w:rsidRPr="002D4BDA" w:rsidRDefault="002D4BDA" w:rsidP="002D4BDA">
      <w:pPr>
        <w:numPr>
          <w:ilvl w:val="1"/>
          <w:numId w:val="5"/>
        </w:numPr>
      </w:pPr>
      <w:r w:rsidRPr="002D4BDA">
        <w:rPr>
          <w:b/>
          <w:bCs/>
        </w:rPr>
        <w:t>Strengths</w:t>
      </w:r>
      <w:r w:rsidRPr="002D4BDA">
        <w:t>: 60+ years of experience, skilled craftsmen, high-end restorations (e.g., roll-top desks, piano benches), in-home estimates.</w:t>
      </w:r>
    </w:p>
    <w:p w:rsidR="002D4BDA" w:rsidRPr="002D4BDA" w:rsidRDefault="002D4BDA" w:rsidP="002D4BDA">
      <w:pPr>
        <w:numPr>
          <w:ilvl w:val="1"/>
          <w:numId w:val="5"/>
        </w:numPr>
      </w:pPr>
      <w:r w:rsidRPr="002D4BDA">
        <w:rPr>
          <w:b/>
          <w:bCs/>
        </w:rPr>
        <w:t>Weaknesses</w:t>
      </w:r>
      <w:r w:rsidRPr="002D4BDA">
        <w:t>: Higher pricing ($500–$2,000+), less focus on upcycling discarded furniture, no integration with farm-based sales.</w:t>
      </w:r>
    </w:p>
    <w:p w:rsidR="002D4BDA" w:rsidRPr="002D4BDA" w:rsidRDefault="002D4BDA" w:rsidP="002D4BDA">
      <w:pPr>
        <w:numPr>
          <w:ilvl w:val="1"/>
          <w:numId w:val="5"/>
        </w:numPr>
      </w:pPr>
      <w:r w:rsidRPr="002D4BDA">
        <w:rPr>
          <w:b/>
          <w:bCs/>
        </w:rPr>
        <w:t>Differentiation</w:t>
      </w:r>
      <w:r w:rsidRPr="002D4BDA">
        <w:t>: Restored Roots sources free furniture, offers mid-range pricing ($150–$1,200), and leverages farmstand/agritourism synergy.</w:t>
      </w:r>
    </w:p>
    <w:p w:rsidR="002D4BDA" w:rsidRPr="002D4BDA" w:rsidRDefault="002D4BDA" w:rsidP="002D4BDA">
      <w:pPr>
        <w:numPr>
          <w:ilvl w:val="0"/>
          <w:numId w:val="5"/>
        </w:numPr>
      </w:pPr>
      <w:r w:rsidRPr="002D4BDA">
        <w:rPr>
          <w:b/>
          <w:bCs/>
        </w:rPr>
        <w:t>Old World Furniture Restoration (Franklin Lakes, Bergen County)</w:t>
      </w:r>
      <w:r w:rsidRPr="002D4BDA">
        <w:t>:</w:t>
      </w:r>
    </w:p>
    <w:p w:rsidR="002D4BDA" w:rsidRPr="002D4BDA" w:rsidRDefault="002D4BDA" w:rsidP="002D4BDA">
      <w:pPr>
        <w:numPr>
          <w:ilvl w:val="1"/>
          <w:numId w:val="5"/>
        </w:numPr>
      </w:pPr>
      <w:r w:rsidRPr="002D4BDA">
        <w:rPr>
          <w:b/>
          <w:bCs/>
        </w:rPr>
        <w:t>Model</w:t>
      </w:r>
      <w:r w:rsidRPr="002D4BDA">
        <w:t>: 60+ years of antique and furniture restoration, serving Sussex, Morris, Bergen, and Passaic. Operates from a workshop, focusing on heirlooms.</w:t>
      </w:r>
    </w:p>
    <w:p w:rsidR="002D4BDA" w:rsidRPr="002D4BDA" w:rsidRDefault="002D4BDA" w:rsidP="002D4BDA">
      <w:pPr>
        <w:numPr>
          <w:ilvl w:val="1"/>
          <w:numId w:val="5"/>
        </w:numPr>
      </w:pPr>
      <w:r w:rsidRPr="002D4BDA">
        <w:rPr>
          <w:b/>
          <w:bCs/>
        </w:rPr>
        <w:t>Strengths</w:t>
      </w:r>
      <w:r w:rsidRPr="002D4BDA">
        <w:t>: Decades of expertise, personalized service, serves high-end clients in affluent areas.</w:t>
      </w:r>
    </w:p>
    <w:p w:rsidR="002D4BDA" w:rsidRPr="002D4BDA" w:rsidRDefault="002D4BDA" w:rsidP="002D4BDA">
      <w:pPr>
        <w:numPr>
          <w:ilvl w:val="1"/>
          <w:numId w:val="5"/>
        </w:numPr>
      </w:pPr>
      <w:r w:rsidRPr="002D4BDA">
        <w:rPr>
          <w:b/>
          <w:bCs/>
        </w:rPr>
        <w:t>Weaknesses</w:t>
      </w:r>
      <w:r w:rsidRPr="002D4BDA">
        <w:t>: Limited pickup/delivery outside core areas, higher costs due to custom work, no upcycling of discarded furniture.</w:t>
      </w:r>
    </w:p>
    <w:p w:rsidR="002D4BDA" w:rsidRPr="002D4BDA" w:rsidRDefault="002D4BDA" w:rsidP="002D4BDA">
      <w:pPr>
        <w:numPr>
          <w:ilvl w:val="1"/>
          <w:numId w:val="5"/>
        </w:numPr>
      </w:pPr>
      <w:r w:rsidRPr="002D4BDA">
        <w:rPr>
          <w:b/>
          <w:bCs/>
        </w:rPr>
        <w:t>Differentiation</w:t>
      </w:r>
      <w:r w:rsidRPr="002D4BDA">
        <w:t>: Restored Roots uses free sourcing, integrates with farm events, and targets broader consumer/small business markets.</w:t>
      </w:r>
    </w:p>
    <w:p w:rsidR="002D4BDA" w:rsidRPr="002D4BDA" w:rsidRDefault="002D4BDA" w:rsidP="002D4BDA">
      <w:pPr>
        <w:numPr>
          <w:ilvl w:val="0"/>
          <w:numId w:val="5"/>
        </w:numPr>
      </w:pPr>
      <w:r w:rsidRPr="002D4BDA">
        <w:rPr>
          <w:b/>
          <w:bCs/>
        </w:rPr>
        <w:t>A Furniture Guy (Bergen County)</w:t>
      </w:r>
      <w:r w:rsidRPr="002D4BDA">
        <w:t>:</w:t>
      </w:r>
    </w:p>
    <w:p w:rsidR="002D4BDA" w:rsidRPr="002D4BDA" w:rsidRDefault="002D4BDA" w:rsidP="002D4BDA">
      <w:pPr>
        <w:numPr>
          <w:ilvl w:val="1"/>
          <w:numId w:val="5"/>
        </w:numPr>
      </w:pPr>
      <w:r w:rsidRPr="002D4BDA">
        <w:rPr>
          <w:b/>
          <w:bCs/>
        </w:rPr>
        <w:t>Model</w:t>
      </w:r>
      <w:r w:rsidRPr="002D4BDA">
        <w:t>: 15+ years of personalized furniture restoration/repair, serving Morris, Sussex, Bergen, and Passaic, with pickup/delivery for residential and commercial clients.</w:t>
      </w:r>
    </w:p>
    <w:p w:rsidR="002D4BDA" w:rsidRPr="002D4BDA" w:rsidRDefault="002D4BDA" w:rsidP="002D4BDA">
      <w:pPr>
        <w:numPr>
          <w:ilvl w:val="1"/>
          <w:numId w:val="5"/>
        </w:numPr>
      </w:pPr>
      <w:r w:rsidRPr="002D4BDA">
        <w:rPr>
          <w:b/>
          <w:bCs/>
        </w:rPr>
        <w:lastRenderedPageBreak/>
        <w:t>Strengths</w:t>
      </w:r>
      <w:r w:rsidRPr="002D4BDA">
        <w:t>: Strong client relationships (e.g., hotels, country clubs), flexible service model, free estimates.</w:t>
      </w:r>
    </w:p>
    <w:p w:rsidR="002D4BDA" w:rsidRPr="002D4BDA" w:rsidRDefault="002D4BDA" w:rsidP="002D4BDA">
      <w:pPr>
        <w:numPr>
          <w:ilvl w:val="1"/>
          <w:numId w:val="5"/>
        </w:numPr>
      </w:pPr>
      <w:r w:rsidRPr="002D4BDA">
        <w:rPr>
          <w:b/>
          <w:bCs/>
        </w:rPr>
        <w:t>Weaknesses</w:t>
      </w:r>
      <w:r w:rsidRPr="002D4BDA">
        <w:t>: Less focus on upcycling, smaller operation, higher service fees for premium work.</w:t>
      </w:r>
    </w:p>
    <w:p w:rsidR="002D4BDA" w:rsidRPr="002D4BDA" w:rsidRDefault="002D4BDA" w:rsidP="002D4BDA">
      <w:pPr>
        <w:numPr>
          <w:ilvl w:val="1"/>
          <w:numId w:val="5"/>
        </w:numPr>
      </w:pPr>
      <w:r w:rsidRPr="002D4BDA">
        <w:rPr>
          <w:b/>
          <w:bCs/>
        </w:rPr>
        <w:t>Differentiation</w:t>
      </w:r>
      <w:r w:rsidRPr="002D4BDA">
        <w:t>: Restored Roots’ low-cost sourcing and farm-based sales create competitive pricing and unique customer access.</w:t>
      </w:r>
    </w:p>
    <w:p w:rsidR="002D4BDA" w:rsidRPr="002D4BDA" w:rsidRDefault="002D4BDA" w:rsidP="002D4BDA">
      <w:pPr>
        <w:numPr>
          <w:ilvl w:val="0"/>
          <w:numId w:val="5"/>
        </w:numPr>
      </w:pPr>
      <w:r w:rsidRPr="002D4BDA">
        <w:rPr>
          <w:b/>
          <w:bCs/>
        </w:rPr>
        <w:t>Similar Models</w:t>
      </w:r>
      <w:r w:rsidRPr="002D4BDA">
        <w:t xml:space="preserve">: No direct competitors in Morris/Sussex counties focus specifically on upcycling discarded furniture from bulk pickups for artisanal restoration. Most (e.g., Furniture Medic, Maxwell’s) focus on high-end antiques or commercial repairs, not free-sourced upcycling. Local junk removal services (e.g., Junkin’ Irishman, </w:t>
      </w:r>
      <w:proofErr w:type="spellStart"/>
      <w:r w:rsidRPr="002D4BDA">
        <w:t>JunkDoctors</w:t>
      </w:r>
      <w:proofErr w:type="spellEnd"/>
      <w:r w:rsidRPr="002D4BDA">
        <w:t>) handle furniture disposal but do not restore, offering a sourcing opportunity.</w:t>
      </w:r>
    </w:p>
    <w:p w:rsidR="002D4BDA" w:rsidRPr="002D4BDA" w:rsidRDefault="002D4BDA" w:rsidP="002D4BDA">
      <w:pPr>
        <w:rPr>
          <w:b/>
          <w:bCs/>
        </w:rPr>
      </w:pPr>
      <w:r w:rsidRPr="002D4BDA">
        <w:rPr>
          <w:b/>
          <w:bCs/>
        </w:rPr>
        <w:t>SWOT Analysis</w:t>
      </w:r>
    </w:p>
    <w:p w:rsidR="002D4BDA" w:rsidRPr="002D4BDA" w:rsidRDefault="002D4BDA" w:rsidP="002D4BDA">
      <w:pPr>
        <w:numPr>
          <w:ilvl w:val="0"/>
          <w:numId w:val="6"/>
        </w:numPr>
      </w:pPr>
      <w:r w:rsidRPr="002D4BDA">
        <w:rPr>
          <w:b/>
          <w:bCs/>
        </w:rPr>
        <w:t>Strengths</w:t>
      </w:r>
      <w:r w:rsidRPr="002D4BDA">
        <w:t>: Free sourcing, no rent (barn space), family labor, Kinnelon community ties, integration with Colonial Cider.</w:t>
      </w:r>
    </w:p>
    <w:p w:rsidR="002D4BDA" w:rsidRPr="002D4BDA" w:rsidRDefault="002D4BDA" w:rsidP="002D4BDA">
      <w:pPr>
        <w:numPr>
          <w:ilvl w:val="0"/>
          <w:numId w:val="6"/>
        </w:numPr>
      </w:pPr>
      <w:r w:rsidRPr="002D4BDA">
        <w:rPr>
          <w:b/>
          <w:bCs/>
        </w:rPr>
        <w:t>Weaknesses</w:t>
      </w:r>
      <w:r w:rsidRPr="002D4BDA">
        <w:t>: Limited work schedule (12–13 days/month), reliance on variable furniture quality, initial equipment costs.</w:t>
      </w:r>
    </w:p>
    <w:p w:rsidR="002D4BDA" w:rsidRPr="002D4BDA" w:rsidRDefault="002D4BDA" w:rsidP="002D4BDA">
      <w:pPr>
        <w:numPr>
          <w:ilvl w:val="0"/>
          <w:numId w:val="6"/>
        </w:numPr>
      </w:pPr>
      <w:r w:rsidRPr="002D4BDA">
        <w:rPr>
          <w:b/>
          <w:bCs/>
        </w:rPr>
        <w:t>Opportunities</w:t>
      </w:r>
      <w:r w:rsidRPr="002D4BDA">
        <w:t>: Growing demand for sustainable furniture, small business sales potential, online market expansion, farm event synergy.</w:t>
      </w:r>
    </w:p>
    <w:p w:rsidR="002D4BDA" w:rsidRPr="002D4BDA" w:rsidRDefault="002D4BDA" w:rsidP="002D4BDA">
      <w:pPr>
        <w:numPr>
          <w:ilvl w:val="0"/>
          <w:numId w:val="6"/>
        </w:numPr>
      </w:pPr>
      <w:r w:rsidRPr="002D4BDA">
        <w:rPr>
          <w:b/>
          <w:bCs/>
        </w:rPr>
        <w:t>Threats</w:t>
      </w:r>
      <w:r w:rsidRPr="002D4BDA">
        <w:t>: Competition from established restorers, regulatory hurdles (e.g., bulk pickup permits), seasonal demand fluctuations.</w:t>
      </w:r>
    </w:p>
    <w:p w:rsidR="002D4BDA" w:rsidRPr="002D4BDA" w:rsidRDefault="002D4BDA" w:rsidP="002D4BDA">
      <w:pPr>
        <w:rPr>
          <w:b/>
          <w:bCs/>
        </w:rPr>
      </w:pPr>
      <w:r w:rsidRPr="002D4BDA">
        <w:rPr>
          <w:b/>
          <w:bCs/>
        </w:rPr>
        <w:t>Organization and Management</w:t>
      </w:r>
    </w:p>
    <w:p w:rsidR="002D4BDA" w:rsidRPr="002D4BDA" w:rsidRDefault="002D4BDA" w:rsidP="002D4BDA">
      <w:pPr>
        <w:numPr>
          <w:ilvl w:val="0"/>
          <w:numId w:val="7"/>
        </w:numPr>
      </w:pPr>
      <w:r w:rsidRPr="002D4BDA">
        <w:rPr>
          <w:b/>
          <w:bCs/>
        </w:rPr>
        <w:t>Ownership</w:t>
      </w:r>
      <w:r w:rsidRPr="002D4BDA">
        <w:t>: Sole proprietorship under Colonial Cider LLC.</w:t>
      </w:r>
    </w:p>
    <w:p w:rsidR="002D4BDA" w:rsidRPr="002D4BDA" w:rsidRDefault="002D4BDA" w:rsidP="002D4BDA">
      <w:pPr>
        <w:numPr>
          <w:ilvl w:val="0"/>
          <w:numId w:val="7"/>
        </w:numPr>
      </w:pPr>
      <w:r w:rsidRPr="002D4BDA">
        <w:rPr>
          <w:b/>
          <w:bCs/>
        </w:rPr>
        <w:t>Key Team</w:t>
      </w:r>
      <w:r w:rsidRPr="002D4BDA">
        <w:t>:</w:t>
      </w:r>
    </w:p>
    <w:p w:rsidR="002D4BDA" w:rsidRPr="002D4BDA" w:rsidRDefault="002D4BDA" w:rsidP="002D4BDA">
      <w:pPr>
        <w:numPr>
          <w:ilvl w:val="1"/>
          <w:numId w:val="7"/>
        </w:numPr>
      </w:pPr>
      <w:r w:rsidRPr="002D4BDA">
        <w:rPr>
          <w:b/>
          <w:bCs/>
        </w:rPr>
        <w:t>Owner/Operator</w:t>
      </w:r>
      <w:r w:rsidRPr="002D4BDA">
        <w:t>: Your wife, leveraging woodworking skills and Kinnelon community ties for sourcing/sales.</w:t>
      </w:r>
    </w:p>
    <w:p w:rsidR="002D4BDA" w:rsidRPr="002D4BDA" w:rsidRDefault="002D4BDA" w:rsidP="002D4BDA">
      <w:pPr>
        <w:numPr>
          <w:ilvl w:val="1"/>
          <w:numId w:val="7"/>
        </w:numPr>
      </w:pPr>
      <w:r w:rsidRPr="002D4BDA">
        <w:rPr>
          <w:b/>
          <w:bCs/>
        </w:rPr>
        <w:t>Family Support</w:t>
      </w:r>
      <w:r w:rsidRPr="002D4BDA">
        <w:t>: Three teenage children assist with pickups, sanding, manual labor (5–10 hours/month each).</w:t>
      </w:r>
    </w:p>
    <w:p w:rsidR="002D4BDA" w:rsidRPr="002D4BDA" w:rsidRDefault="002D4BDA" w:rsidP="002D4BDA">
      <w:pPr>
        <w:numPr>
          <w:ilvl w:val="1"/>
          <w:numId w:val="7"/>
        </w:numPr>
      </w:pPr>
      <w:r w:rsidRPr="002D4BDA">
        <w:rPr>
          <w:b/>
          <w:bCs/>
        </w:rPr>
        <w:t>Future Hiring</w:t>
      </w:r>
      <w:r w:rsidRPr="002D4BDA">
        <w:t>: Part-time labor (1–2 workers, ~20 hours/month) by 2027 to scale production, allowing your wife to focus on management.</w:t>
      </w:r>
    </w:p>
    <w:p w:rsidR="002D4BDA" w:rsidRPr="002D4BDA" w:rsidRDefault="002D4BDA" w:rsidP="002D4BDA">
      <w:pPr>
        <w:numPr>
          <w:ilvl w:val="0"/>
          <w:numId w:val="7"/>
        </w:numPr>
      </w:pPr>
      <w:r w:rsidRPr="002D4BDA">
        <w:rPr>
          <w:b/>
          <w:bCs/>
        </w:rPr>
        <w:t>Organizational Structure</w:t>
      </w:r>
      <w:r w:rsidRPr="002D4BDA">
        <w:t>: Family-driven, with owner managing restoration/sales, children handling labor, and hired help for growth.</w:t>
      </w:r>
    </w:p>
    <w:p w:rsidR="002D4BDA" w:rsidRPr="002D4BDA" w:rsidRDefault="002D4BDA" w:rsidP="002D4BDA">
      <w:pPr>
        <w:rPr>
          <w:b/>
          <w:bCs/>
        </w:rPr>
      </w:pPr>
      <w:r w:rsidRPr="002D4BDA">
        <w:rPr>
          <w:b/>
          <w:bCs/>
        </w:rPr>
        <w:lastRenderedPageBreak/>
        <w:t>Products or Services</w:t>
      </w:r>
    </w:p>
    <w:p w:rsidR="002D4BDA" w:rsidRPr="002D4BDA" w:rsidRDefault="002D4BDA" w:rsidP="002D4BDA">
      <w:pPr>
        <w:numPr>
          <w:ilvl w:val="0"/>
          <w:numId w:val="8"/>
        </w:numPr>
      </w:pPr>
      <w:r w:rsidRPr="002D4BDA">
        <w:rPr>
          <w:b/>
          <w:bCs/>
        </w:rPr>
        <w:t>Core Products</w:t>
      </w:r>
      <w:r w:rsidRPr="002D4BDA">
        <w:t>:</w:t>
      </w:r>
    </w:p>
    <w:p w:rsidR="002D4BDA" w:rsidRPr="002D4BDA" w:rsidRDefault="002D4BDA" w:rsidP="002D4BDA">
      <w:pPr>
        <w:numPr>
          <w:ilvl w:val="1"/>
          <w:numId w:val="8"/>
        </w:numPr>
      </w:pPr>
      <w:r w:rsidRPr="002D4BDA">
        <w:rPr>
          <w:b/>
          <w:bCs/>
        </w:rPr>
        <w:t>Adirondack Chairs</w:t>
      </w:r>
      <w:r w:rsidRPr="002D4BDA">
        <w:t>: Refinished or rebuilt, $150–$250 each.</w:t>
      </w:r>
    </w:p>
    <w:p w:rsidR="002D4BDA" w:rsidRPr="002D4BDA" w:rsidRDefault="002D4BDA" w:rsidP="002D4BDA">
      <w:pPr>
        <w:numPr>
          <w:ilvl w:val="1"/>
          <w:numId w:val="8"/>
        </w:numPr>
      </w:pPr>
      <w:r w:rsidRPr="002D4BDA">
        <w:rPr>
          <w:b/>
          <w:bCs/>
        </w:rPr>
        <w:t>Dining Tables/Chairs</w:t>
      </w:r>
      <w:r w:rsidRPr="002D4BDA">
        <w:t>: Restored sets, $500–$1,200 per set.</w:t>
      </w:r>
    </w:p>
    <w:p w:rsidR="002D4BDA" w:rsidRPr="002D4BDA" w:rsidRDefault="002D4BDA" w:rsidP="002D4BDA">
      <w:pPr>
        <w:numPr>
          <w:ilvl w:val="1"/>
          <w:numId w:val="8"/>
        </w:numPr>
      </w:pPr>
      <w:r w:rsidRPr="002D4BDA">
        <w:rPr>
          <w:b/>
          <w:bCs/>
        </w:rPr>
        <w:t>Dressers</w:t>
      </w:r>
      <w:r w:rsidRPr="002D4BDA">
        <w:t>: Refinished or upcycled, $300–$600 each.</w:t>
      </w:r>
    </w:p>
    <w:p w:rsidR="002D4BDA" w:rsidRPr="002D4BDA" w:rsidRDefault="002D4BDA" w:rsidP="002D4BDA">
      <w:pPr>
        <w:numPr>
          <w:ilvl w:val="0"/>
          <w:numId w:val="8"/>
        </w:numPr>
      </w:pPr>
      <w:r w:rsidRPr="002D4BDA">
        <w:rPr>
          <w:b/>
          <w:bCs/>
        </w:rPr>
        <w:t>Sourcing Strategy</w:t>
      </w:r>
      <w:r w:rsidRPr="002D4BDA">
        <w:t xml:space="preserve">: Free furniture from bulk trash pickups in Kinnelon, Morris, Sussex (2–3 days/month); supplemented via Facebook groups, </w:t>
      </w:r>
      <w:proofErr w:type="spellStart"/>
      <w:r w:rsidRPr="002D4BDA">
        <w:t>Nextdoor</w:t>
      </w:r>
      <w:proofErr w:type="spellEnd"/>
      <w:r w:rsidRPr="002D4BDA">
        <w:t>.</w:t>
      </w:r>
    </w:p>
    <w:p w:rsidR="002D4BDA" w:rsidRPr="002D4BDA" w:rsidRDefault="002D4BDA" w:rsidP="002D4BDA">
      <w:pPr>
        <w:numPr>
          <w:ilvl w:val="0"/>
          <w:numId w:val="8"/>
        </w:numPr>
      </w:pPr>
      <w:r w:rsidRPr="002D4BDA">
        <w:rPr>
          <w:b/>
          <w:bCs/>
        </w:rPr>
        <w:t>Restoration Process</w:t>
      </w:r>
      <w:r w:rsidRPr="002D4BDA">
        <w:t>: Cleaning, sanding, refinishing, repairs (4–8 hours/piece); eco-friendly finishes (water-based stains, waxes).</w:t>
      </w:r>
    </w:p>
    <w:p w:rsidR="002D4BDA" w:rsidRPr="002D4BDA" w:rsidRDefault="002D4BDA" w:rsidP="002D4BDA">
      <w:pPr>
        <w:numPr>
          <w:ilvl w:val="0"/>
          <w:numId w:val="8"/>
        </w:numPr>
      </w:pPr>
      <w:r w:rsidRPr="002D4BDA">
        <w:rPr>
          <w:b/>
          <w:bCs/>
        </w:rPr>
        <w:t>Sales Channels</w:t>
      </w:r>
      <w:r w:rsidRPr="002D4BDA">
        <w:t>:</w:t>
      </w:r>
    </w:p>
    <w:p w:rsidR="002D4BDA" w:rsidRPr="002D4BDA" w:rsidRDefault="002D4BDA" w:rsidP="002D4BDA">
      <w:pPr>
        <w:numPr>
          <w:ilvl w:val="1"/>
          <w:numId w:val="8"/>
        </w:numPr>
      </w:pPr>
      <w:r w:rsidRPr="002D4BDA">
        <w:rPr>
          <w:b/>
          <w:bCs/>
        </w:rPr>
        <w:t>Direct (60%)</w:t>
      </w:r>
      <w:r w:rsidRPr="002D4BDA">
        <w:t>: Wantage farmstand (30%), Kinnelon farmstand (30%), cidery events.</w:t>
      </w:r>
    </w:p>
    <w:p w:rsidR="002D4BDA" w:rsidRPr="002D4BDA" w:rsidRDefault="002D4BDA" w:rsidP="002D4BDA">
      <w:pPr>
        <w:numPr>
          <w:ilvl w:val="1"/>
          <w:numId w:val="8"/>
        </w:numPr>
      </w:pPr>
      <w:r w:rsidRPr="002D4BDA">
        <w:rPr>
          <w:b/>
          <w:bCs/>
        </w:rPr>
        <w:t>Online (40%)</w:t>
      </w:r>
      <w:r w:rsidRPr="002D4BDA">
        <w:t>: Facebook Marketplace, Etsy, NJ buy/sell groups.</w:t>
      </w:r>
    </w:p>
    <w:p w:rsidR="002D4BDA" w:rsidRPr="002D4BDA" w:rsidRDefault="002D4BDA" w:rsidP="002D4BDA">
      <w:pPr>
        <w:numPr>
          <w:ilvl w:val="1"/>
          <w:numId w:val="8"/>
        </w:numPr>
      </w:pPr>
      <w:r w:rsidRPr="002D4BDA">
        <w:rPr>
          <w:b/>
          <w:bCs/>
        </w:rPr>
        <w:t>Small Businesses</w:t>
      </w:r>
      <w:r w:rsidRPr="002D4BDA">
        <w:t>: Restaurants, cafes, boutiques (targeting 10–20 accounts by 2029).</w:t>
      </w:r>
    </w:p>
    <w:p w:rsidR="002D4BDA" w:rsidRPr="002D4BDA" w:rsidRDefault="002D4BDA" w:rsidP="002D4BDA">
      <w:pPr>
        <w:numPr>
          <w:ilvl w:val="0"/>
          <w:numId w:val="8"/>
        </w:numPr>
      </w:pPr>
      <w:r w:rsidRPr="002D4BDA">
        <w:rPr>
          <w:b/>
          <w:bCs/>
        </w:rPr>
        <w:t>Pricing Strategy</w:t>
      </w:r>
      <w:r w:rsidRPr="002D4BDA">
        <w:t>: Mid-range ($150–$1,200) for eco-conscious consumers; premium pricing ($500–$2,000) for small business custom orders.</w:t>
      </w:r>
    </w:p>
    <w:p w:rsidR="002D4BDA" w:rsidRPr="002D4BDA" w:rsidRDefault="002D4BDA" w:rsidP="002D4BDA">
      <w:pPr>
        <w:rPr>
          <w:b/>
          <w:bCs/>
        </w:rPr>
      </w:pPr>
      <w:r w:rsidRPr="002D4BDA">
        <w:rPr>
          <w:b/>
          <w:bCs/>
        </w:rPr>
        <w:t>Marketing and Sales Strategy</w:t>
      </w:r>
    </w:p>
    <w:p w:rsidR="002D4BDA" w:rsidRPr="002D4BDA" w:rsidRDefault="002D4BDA" w:rsidP="002D4BDA">
      <w:pPr>
        <w:rPr>
          <w:b/>
          <w:bCs/>
        </w:rPr>
      </w:pPr>
      <w:r w:rsidRPr="002D4BDA">
        <w:rPr>
          <w:b/>
          <w:bCs/>
        </w:rPr>
        <w:t>Marketing Plan</w:t>
      </w:r>
    </w:p>
    <w:p w:rsidR="002D4BDA" w:rsidRPr="002D4BDA" w:rsidRDefault="002D4BDA" w:rsidP="002D4BDA">
      <w:pPr>
        <w:numPr>
          <w:ilvl w:val="0"/>
          <w:numId w:val="9"/>
        </w:numPr>
      </w:pPr>
      <w:r w:rsidRPr="002D4BDA">
        <w:rPr>
          <w:b/>
          <w:bCs/>
        </w:rPr>
        <w:t>Brand Positioning</w:t>
      </w:r>
      <w:r w:rsidRPr="002D4BDA">
        <w:t>: Eco-friendly, family-crafted furniture with a vintage aesthetic, integrated with Colonial Cider’s historical narrative.</w:t>
      </w:r>
    </w:p>
    <w:p w:rsidR="002D4BDA" w:rsidRPr="002D4BDA" w:rsidRDefault="002D4BDA" w:rsidP="002D4BDA">
      <w:pPr>
        <w:numPr>
          <w:ilvl w:val="0"/>
          <w:numId w:val="9"/>
        </w:numPr>
      </w:pPr>
      <w:r w:rsidRPr="002D4BDA">
        <w:rPr>
          <w:b/>
          <w:bCs/>
        </w:rPr>
        <w:t>Channels</w:t>
      </w:r>
      <w:r w:rsidRPr="002D4BDA">
        <w:t>:</w:t>
      </w:r>
    </w:p>
    <w:p w:rsidR="002D4BDA" w:rsidRPr="002D4BDA" w:rsidRDefault="002D4BDA" w:rsidP="002D4BDA">
      <w:pPr>
        <w:numPr>
          <w:ilvl w:val="1"/>
          <w:numId w:val="9"/>
        </w:numPr>
      </w:pPr>
      <w:r w:rsidRPr="002D4BDA">
        <w:rPr>
          <w:b/>
          <w:bCs/>
        </w:rPr>
        <w:t>Direct</w:t>
      </w:r>
      <w:r w:rsidRPr="002D4BDA">
        <w:t>: Wantage/Kinnelon farmstands, cidery events, agritourism.</w:t>
      </w:r>
    </w:p>
    <w:p w:rsidR="002D4BDA" w:rsidRPr="002D4BDA" w:rsidRDefault="002D4BDA" w:rsidP="002D4BDA">
      <w:pPr>
        <w:numPr>
          <w:ilvl w:val="1"/>
          <w:numId w:val="9"/>
        </w:numPr>
      </w:pPr>
      <w:r w:rsidRPr="002D4BDA">
        <w:rPr>
          <w:b/>
          <w:bCs/>
        </w:rPr>
        <w:t>Online</w:t>
      </w:r>
      <w:r w:rsidRPr="002D4BDA">
        <w:t>: Colonial Cider website (dedicated furniture page), Facebook, Instagram, Etsy.</w:t>
      </w:r>
    </w:p>
    <w:p w:rsidR="002D4BDA" w:rsidRPr="002D4BDA" w:rsidRDefault="002D4BDA" w:rsidP="002D4BDA">
      <w:pPr>
        <w:numPr>
          <w:ilvl w:val="1"/>
          <w:numId w:val="9"/>
        </w:numPr>
      </w:pPr>
      <w:r w:rsidRPr="002D4BDA">
        <w:rPr>
          <w:b/>
          <w:bCs/>
        </w:rPr>
        <w:t>Community</w:t>
      </w:r>
      <w:r w:rsidRPr="002D4BDA">
        <w:t>: Kinnelon networks, local craft fairs, farmers markets.</w:t>
      </w:r>
    </w:p>
    <w:p w:rsidR="002D4BDA" w:rsidRPr="002D4BDA" w:rsidRDefault="002D4BDA" w:rsidP="002D4BDA">
      <w:pPr>
        <w:numPr>
          <w:ilvl w:val="0"/>
          <w:numId w:val="9"/>
        </w:numPr>
      </w:pPr>
      <w:r w:rsidRPr="002D4BDA">
        <w:rPr>
          <w:b/>
          <w:bCs/>
        </w:rPr>
        <w:t>Promotions</w:t>
      </w:r>
      <w:r w:rsidRPr="002D4BDA">
        <w:t xml:space="preserve"> (Grassroots, Low-Cost):</w:t>
      </w:r>
    </w:p>
    <w:p w:rsidR="002D4BDA" w:rsidRPr="002D4BDA" w:rsidRDefault="002D4BDA" w:rsidP="002D4BDA">
      <w:pPr>
        <w:numPr>
          <w:ilvl w:val="1"/>
          <w:numId w:val="9"/>
        </w:numPr>
      </w:pPr>
      <w:r w:rsidRPr="002D4BDA">
        <w:t>“Before and after” social media posts showcasing restorations.</w:t>
      </w:r>
    </w:p>
    <w:p w:rsidR="002D4BDA" w:rsidRPr="002D4BDA" w:rsidRDefault="002D4BDA" w:rsidP="002D4BDA">
      <w:pPr>
        <w:numPr>
          <w:ilvl w:val="1"/>
          <w:numId w:val="9"/>
        </w:numPr>
      </w:pPr>
      <w:r w:rsidRPr="002D4BDA">
        <w:lastRenderedPageBreak/>
        <w:t>Furniture displays at cidery tastings, U-pick events.</w:t>
      </w:r>
    </w:p>
    <w:p w:rsidR="002D4BDA" w:rsidRPr="002D4BDA" w:rsidRDefault="002D4BDA" w:rsidP="002D4BDA">
      <w:pPr>
        <w:numPr>
          <w:ilvl w:val="1"/>
          <w:numId w:val="9"/>
        </w:numPr>
      </w:pPr>
      <w:r w:rsidRPr="002D4BDA">
        <w:t>Word-of-mouth via Kinnelon community groups and local business partnerships.</w:t>
      </w:r>
    </w:p>
    <w:p w:rsidR="002D4BDA" w:rsidRPr="002D4BDA" w:rsidRDefault="002D4BDA" w:rsidP="002D4BDA">
      <w:pPr>
        <w:rPr>
          <w:b/>
          <w:bCs/>
        </w:rPr>
      </w:pPr>
      <w:r w:rsidRPr="002D4BDA">
        <w:rPr>
          <w:b/>
          <w:bCs/>
        </w:rPr>
        <w:t>Sales Strategy</w:t>
      </w:r>
    </w:p>
    <w:p w:rsidR="002D4BDA" w:rsidRPr="002D4BDA" w:rsidRDefault="002D4BDA" w:rsidP="002D4BDA">
      <w:pPr>
        <w:numPr>
          <w:ilvl w:val="0"/>
          <w:numId w:val="10"/>
        </w:numPr>
      </w:pPr>
      <w:r w:rsidRPr="002D4BDA">
        <w:rPr>
          <w:b/>
          <w:bCs/>
        </w:rPr>
        <w:t>Sales Targets</w:t>
      </w:r>
      <w:r w:rsidRPr="002D4BDA">
        <w:t>:</w:t>
      </w:r>
    </w:p>
    <w:p w:rsidR="002D4BDA" w:rsidRPr="002D4BDA" w:rsidRDefault="002D4BDA" w:rsidP="002D4BDA">
      <w:pPr>
        <w:numPr>
          <w:ilvl w:val="1"/>
          <w:numId w:val="10"/>
        </w:numPr>
      </w:pPr>
      <w:r w:rsidRPr="002D4BDA">
        <w:t>2026: 240 pieces (20 pieces/month, $200 avg.) = $48,000.</w:t>
      </w:r>
    </w:p>
    <w:p w:rsidR="002D4BDA" w:rsidRPr="002D4BDA" w:rsidRDefault="002D4BDA" w:rsidP="002D4BDA">
      <w:pPr>
        <w:numPr>
          <w:ilvl w:val="1"/>
          <w:numId w:val="10"/>
        </w:numPr>
      </w:pPr>
      <w:r w:rsidRPr="002D4BDA">
        <w:t>2029: 480 pieces (40 pieces/month, $200 avg.) = $96,000 with hired labor.</w:t>
      </w:r>
    </w:p>
    <w:p w:rsidR="002D4BDA" w:rsidRPr="002D4BDA" w:rsidRDefault="002D4BDA" w:rsidP="002D4BDA">
      <w:pPr>
        <w:numPr>
          <w:ilvl w:val="0"/>
          <w:numId w:val="10"/>
        </w:numPr>
      </w:pPr>
      <w:r w:rsidRPr="002D4BDA">
        <w:rPr>
          <w:b/>
          <w:bCs/>
        </w:rPr>
        <w:t>Sales Channels</w:t>
      </w:r>
      <w:r w:rsidRPr="002D4BDA">
        <w:t>:</w:t>
      </w:r>
    </w:p>
    <w:p w:rsidR="002D4BDA" w:rsidRPr="002D4BDA" w:rsidRDefault="002D4BDA" w:rsidP="002D4BDA">
      <w:pPr>
        <w:numPr>
          <w:ilvl w:val="1"/>
          <w:numId w:val="10"/>
        </w:numPr>
      </w:pPr>
      <w:r w:rsidRPr="002D4BDA">
        <w:t>Wantage Farmstand (30%): ~72 pieces/year in 2026.</w:t>
      </w:r>
    </w:p>
    <w:p w:rsidR="002D4BDA" w:rsidRPr="002D4BDA" w:rsidRDefault="002D4BDA" w:rsidP="002D4BDA">
      <w:pPr>
        <w:numPr>
          <w:ilvl w:val="1"/>
          <w:numId w:val="10"/>
        </w:numPr>
      </w:pPr>
      <w:r w:rsidRPr="002D4BDA">
        <w:t>Kinnelon Farmstand (30%): ~72 pieces/year in 2026.</w:t>
      </w:r>
    </w:p>
    <w:p w:rsidR="002D4BDA" w:rsidRPr="002D4BDA" w:rsidRDefault="002D4BDA" w:rsidP="002D4BDA">
      <w:pPr>
        <w:numPr>
          <w:ilvl w:val="1"/>
          <w:numId w:val="10"/>
        </w:numPr>
      </w:pPr>
      <w:r w:rsidRPr="002D4BDA">
        <w:t>Online (40%): ~96 pieces/year in 2026.</w:t>
      </w:r>
    </w:p>
    <w:p w:rsidR="002D4BDA" w:rsidRPr="002D4BDA" w:rsidRDefault="002D4BDA" w:rsidP="002D4BDA">
      <w:pPr>
        <w:numPr>
          <w:ilvl w:val="1"/>
          <w:numId w:val="10"/>
        </w:numPr>
      </w:pPr>
      <w:r w:rsidRPr="002D4BDA">
        <w:t>Small Businesses: 0 pieces in 2026, ~50 pieces/year by 2029 ($500 avg.).</w:t>
      </w:r>
    </w:p>
    <w:p w:rsidR="002D4BDA" w:rsidRPr="002D4BDA" w:rsidRDefault="002D4BDA" w:rsidP="002D4BDA">
      <w:pPr>
        <w:numPr>
          <w:ilvl w:val="0"/>
          <w:numId w:val="10"/>
        </w:numPr>
      </w:pPr>
      <w:r w:rsidRPr="002D4BDA">
        <w:rPr>
          <w:b/>
          <w:bCs/>
        </w:rPr>
        <w:t>Timeline</w:t>
      </w:r>
      <w:r w:rsidRPr="002D4BDA">
        <w:t>:</w:t>
      </w:r>
    </w:p>
    <w:p w:rsidR="002D4BDA" w:rsidRPr="002D4BDA" w:rsidRDefault="002D4BDA" w:rsidP="002D4BDA">
      <w:pPr>
        <w:numPr>
          <w:ilvl w:val="1"/>
          <w:numId w:val="10"/>
        </w:numPr>
      </w:pPr>
      <w:r w:rsidRPr="002D4BDA">
        <w:t>2025: Establish sourcing/restoration, Wantage/Kinnelon sales (120 pieces).</w:t>
      </w:r>
    </w:p>
    <w:p w:rsidR="002D4BDA" w:rsidRPr="002D4BDA" w:rsidRDefault="002D4BDA" w:rsidP="002D4BDA">
      <w:pPr>
        <w:numPr>
          <w:ilvl w:val="1"/>
          <w:numId w:val="10"/>
        </w:numPr>
      </w:pPr>
      <w:r w:rsidRPr="002D4BDA">
        <w:t>2026: Scale to 240 pieces, expand Morris/Sussex markets.</w:t>
      </w:r>
    </w:p>
    <w:p w:rsidR="002D4BDA" w:rsidRPr="002D4BDA" w:rsidRDefault="002D4BDA" w:rsidP="002D4BDA">
      <w:pPr>
        <w:numPr>
          <w:ilvl w:val="1"/>
          <w:numId w:val="10"/>
        </w:numPr>
      </w:pPr>
      <w:r w:rsidRPr="002D4BDA">
        <w:t>2027: Bergen/Passaic/Hunterdon, hire part-time labor (360 pieces).</w:t>
      </w:r>
    </w:p>
    <w:p w:rsidR="002D4BDA" w:rsidRPr="002D4BDA" w:rsidRDefault="002D4BDA" w:rsidP="002D4BDA">
      <w:pPr>
        <w:numPr>
          <w:ilvl w:val="1"/>
          <w:numId w:val="10"/>
        </w:numPr>
      </w:pPr>
      <w:r w:rsidRPr="002D4BDA">
        <w:t>2028–2029: Small business accounts, 480 pieces/year.</w:t>
      </w:r>
    </w:p>
    <w:p w:rsidR="002D4BDA" w:rsidRPr="002D4BDA" w:rsidRDefault="002D4BDA" w:rsidP="002D4BDA">
      <w:pPr>
        <w:numPr>
          <w:ilvl w:val="0"/>
          <w:numId w:val="10"/>
        </w:numPr>
      </w:pPr>
      <w:r w:rsidRPr="002D4BDA">
        <w:rPr>
          <w:b/>
          <w:bCs/>
        </w:rPr>
        <w:t>Sales Process</w:t>
      </w:r>
      <w:r w:rsidRPr="002D4BDA">
        <w:t>: Owner-led sourcing/sales, children assist with pickups/event setups, hired labor for production scaling.</w:t>
      </w:r>
    </w:p>
    <w:p w:rsidR="002D4BDA" w:rsidRPr="002D4BDA" w:rsidRDefault="002D4BDA" w:rsidP="002D4BDA">
      <w:pPr>
        <w:rPr>
          <w:b/>
          <w:bCs/>
        </w:rPr>
      </w:pPr>
      <w:r w:rsidRPr="002D4BDA">
        <w:rPr>
          <w:b/>
          <w:bCs/>
        </w:rPr>
        <w:t>Operations Plan</w:t>
      </w:r>
    </w:p>
    <w:p w:rsidR="002D4BDA" w:rsidRPr="002D4BDA" w:rsidRDefault="002D4BDA" w:rsidP="002D4BDA">
      <w:pPr>
        <w:numPr>
          <w:ilvl w:val="0"/>
          <w:numId w:val="11"/>
        </w:numPr>
      </w:pPr>
      <w:r w:rsidRPr="002D4BDA">
        <w:rPr>
          <w:b/>
          <w:bCs/>
        </w:rPr>
        <w:t>Location</w:t>
      </w:r>
      <w:r w:rsidRPr="002D4BDA">
        <w:t>: Upstairs of 60’x35’ bank barn (500 sq. ft. workspace, no rent).</w:t>
      </w:r>
    </w:p>
    <w:p w:rsidR="002D4BDA" w:rsidRPr="002D4BDA" w:rsidRDefault="002D4BDA" w:rsidP="002D4BDA">
      <w:pPr>
        <w:numPr>
          <w:ilvl w:val="0"/>
          <w:numId w:val="11"/>
        </w:numPr>
      </w:pPr>
      <w:r w:rsidRPr="002D4BDA">
        <w:rPr>
          <w:b/>
          <w:bCs/>
        </w:rPr>
        <w:t>Infrastructure</w:t>
      </w:r>
      <w:r w:rsidRPr="002D4BDA">
        <w:t>: Shared farm utilities (covered by cidery’s $6,000/year).</w:t>
      </w:r>
    </w:p>
    <w:p w:rsidR="002D4BDA" w:rsidRPr="002D4BDA" w:rsidRDefault="002D4BDA" w:rsidP="002D4BDA">
      <w:pPr>
        <w:numPr>
          <w:ilvl w:val="0"/>
          <w:numId w:val="11"/>
        </w:numPr>
      </w:pPr>
      <w:r w:rsidRPr="002D4BDA">
        <w:rPr>
          <w:b/>
          <w:bCs/>
        </w:rPr>
        <w:t>Equipment</w:t>
      </w:r>
      <w:r w:rsidRPr="002D4BDA">
        <w:t>:</w:t>
      </w:r>
    </w:p>
    <w:p w:rsidR="002D4BDA" w:rsidRPr="002D4BDA" w:rsidRDefault="002D4BDA" w:rsidP="002D4BDA">
      <w:pPr>
        <w:numPr>
          <w:ilvl w:val="1"/>
          <w:numId w:val="11"/>
        </w:numPr>
      </w:pPr>
      <w:r w:rsidRPr="002D4BDA">
        <w:t>Existing: Hand tools, workbench.</w:t>
      </w:r>
    </w:p>
    <w:p w:rsidR="002D4BDA" w:rsidRPr="002D4BDA" w:rsidRDefault="002D4BDA" w:rsidP="002D4BDA">
      <w:pPr>
        <w:numPr>
          <w:ilvl w:val="1"/>
          <w:numId w:val="11"/>
        </w:numPr>
      </w:pPr>
      <w:r w:rsidRPr="002D4BDA">
        <w:t>Purchased: Power sander ($500), air compressor ($500), spray gun ($300), woodworking tools ($1,200), storage racks ($500), cleaning supplies ($500), truck bed cover for GMC Sierra ($1,000).</w:t>
      </w:r>
    </w:p>
    <w:p w:rsidR="002D4BDA" w:rsidRPr="002D4BDA" w:rsidRDefault="002D4BDA" w:rsidP="002D4BDA">
      <w:pPr>
        <w:numPr>
          <w:ilvl w:val="1"/>
          <w:numId w:val="11"/>
        </w:numPr>
      </w:pPr>
      <w:r w:rsidRPr="002D4BDA">
        <w:t>Total: $15,000 (family cash).</w:t>
      </w:r>
    </w:p>
    <w:p w:rsidR="002D4BDA" w:rsidRPr="002D4BDA" w:rsidRDefault="002D4BDA" w:rsidP="002D4BDA">
      <w:pPr>
        <w:numPr>
          <w:ilvl w:val="0"/>
          <w:numId w:val="11"/>
        </w:numPr>
      </w:pPr>
      <w:r w:rsidRPr="002D4BDA">
        <w:rPr>
          <w:b/>
          <w:bCs/>
        </w:rPr>
        <w:lastRenderedPageBreak/>
        <w:t>Sourcing Process</w:t>
      </w:r>
      <w:r w:rsidRPr="002D4BDA">
        <w:t xml:space="preserve">: 2–3 days/month (16–24 hours) for bulk pickups in Kinnelon, Morris, Sussex; social media monitoring (Facebook, </w:t>
      </w:r>
      <w:proofErr w:type="spellStart"/>
      <w:r w:rsidRPr="002D4BDA">
        <w:t>Nextdoor</w:t>
      </w:r>
      <w:proofErr w:type="spellEnd"/>
      <w:r w:rsidRPr="002D4BDA">
        <w:t>).</w:t>
      </w:r>
    </w:p>
    <w:p w:rsidR="002D4BDA" w:rsidRPr="002D4BDA" w:rsidRDefault="002D4BDA" w:rsidP="002D4BDA">
      <w:pPr>
        <w:numPr>
          <w:ilvl w:val="0"/>
          <w:numId w:val="11"/>
        </w:numPr>
      </w:pPr>
      <w:r w:rsidRPr="002D4BDA">
        <w:rPr>
          <w:b/>
          <w:bCs/>
        </w:rPr>
        <w:t>Restoration Process</w:t>
      </w:r>
      <w:r w:rsidRPr="002D4BDA">
        <w:t>:</w:t>
      </w:r>
    </w:p>
    <w:p w:rsidR="002D4BDA" w:rsidRPr="002D4BDA" w:rsidRDefault="002D4BDA" w:rsidP="002D4BDA">
      <w:pPr>
        <w:numPr>
          <w:ilvl w:val="1"/>
          <w:numId w:val="11"/>
        </w:numPr>
      </w:pPr>
      <w:r w:rsidRPr="002D4BDA">
        <w:t>Cleaning/assessment: 1–2 hours/piece.</w:t>
      </w:r>
    </w:p>
    <w:p w:rsidR="002D4BDA" w:rsidRPr="002D4BDA" w:rsidRDefault="002D4BDA" w:rsidP="002D4BDA">
      <w:pPr>
        <w:numPr>
          <w:ilvl w:val="1"/>
          <w:numId w:val="11"/>
        </w:numPr>
      </w:pPr>
      <w:r w:rsidRPr="002D4BDA">
        <w:t>Sanding/repairs/refinishing: 4–8 hours/piece.</w:t>
      </w:r>
    </w:p>
    <w:p w:rsidR="002D4BDA" w:rsidRPr="002D4BDA" w:rsidRDefault="002D4BDA" w:rsidP="002D4BDA">
      <w:pPr>
        <w:numPr>
          <w:ilvl w:val="1"/>
          <w:numId w:val="11"/>
        </w:numPr>
      </w:pPr>
      <w:r w:rsidRPr="002D4BDA">
        <w:t>Total labor: 10 days/month (80 hours restoration) + 2–3 days/month (16–24 hours sourcing) = 96–104 hours/month.</w:t>
      </w:r>
    </w:p>
    <w:p w:rsidR="002D4BDA" w:rsidRPr="002D4BDA" w:rsidRDefault="002D4BDA" w:rsidP="002D4BDA">
      <w:pPr>
        <w:numPr>
          <w:ilvl w:val="0"/>
          <w:numId w:val="11"/>
        </w:numPr>
      </w:pPr>
      <w:r w:rsidRPr="002D4BDA">
        <w:rPr>
          <w:b/>
          <w:bCs/>
        </w:rPr>
        <w:t>Production Capacity</w:t>
      </w:r>
      <w:r w:rsidRPr="002D4BDA">
        <w:t>:</w:t>
      </w:r>
    </w:p>
    <w:p w:rsidR="002D4BDA" w:rsidRPr="002D4BDA" w:rsidRDefault="002D4BDA" w:rsidP="002D4BDA">
      <w:pPr>
        <w:numPr>
          <w:ilvl w:val="1"/>
          <w:numId w:val="11"/>
        </w:numPr>
      </w:pPr>
      <w:r w:rsidRPr="002D4BDA">
        <w:t>2026: 20–30 pieces/month (240–360 pieces/year) with family labor.</w:t>
      </w:r>
    </w:p>
    <w:p w:rsidR="002D4BDA" w:rsidRPr="002D4BDA" w:rsidRDefault="002D4BDA" w:rsidP="002D4BDA">
      <w:pPr>
        <w:numPr>
          <w:ilvl w:val="1"/>
          <w:numId w:val="11"/>
        </w:numPr>
      </w:pPr>
      <w:r w:rsidRPr="002D4BDA">
        <w:t>2029: 40 pieces/month (480 pieces/year) with 1–2 part-time hires (~20 hours/month each).</w:t>
      </w:r>
    </w:p>
    <w:p w:rsidR="002D4BDA" w:rsidRPr="002D4BDA" w:rsidRDefault="002D4BDA" w:rsidP="002D4BDA">
      <w:pPr>
        <w:numPr>
          <w:ilvl w:val="0"/>
          <w:numId w:val="11"/>
        </w:numPr>
      </w:pPr>
      <w:r w:rsidRPr="002D4BDA">
        <w:rPr>
          <w:b/>
          <w:bCs/>
        </w:rPr>
        <w:t>Staffing</w:t>
      </w:r>
      <w:r w:rsidRPr="002D4BDA">
        <w:t>: Owner (50–60 hours/month), three children (5–10 hours/month each), hired labor by 2027.</w:t>
      </w:r>
    </w:p>
    <w:p w:rsidR="002D4BDA" w:rsidRPr="002D4BDA" w:rsidRDefault="002D4BDA" w:rsidP="002D4BDA">
      <w:pPr>
        <w:numPr>
          <w:ilvl w:val="0"/>
          <w:numId w:val="11"/>
        </w:numPr>
      </w:pPr>
      <w:r w:rsidRPr="002D4BDA">
        <w:rPr>
          <w:b/>
          <w:bCs/>
        </w:rPr>
        <w:t>Milestones</w:t>
      </w:r>
      <w:r w:rsidRPr="002D4BDA">
        <w:t>:</w:t>
      </w:r>
    </w:p>
    <w:p w:rsidR="002D4BDA" w:rsidRPr="002D4BDA" w:rsidRDefault="002D4BDA" w:rsidP="002D4BDA">
      <w:pPr>
        <w:numPr>
          <w:ilvl w:val="1"/>
          <w:numId w:val="11"/>
        </w:numPr>
      </w:pPr>
      <w:r w:rsidRPr="002D4BDA">
        <w:t>2025: Set up workspace, source 120 pieces.</w:t>
      </w:r>
    </w:p>
    <w:p w:rsidR="002D4BDA" w:rsidRPr="002D4BDA" w:rsidRDefault="002D4BDA" w:rsidP="002D4BDA">
      <w:pPr>
        <w:numPr>
          <w:ilvl w:val="1"/>
          <w:numId w:val="11"/>
        </w:numPr>
      </w:pPr>
      <w:r w:rsidRPr="002D4BDA">
        <w:t>2026: Restore/sell 240 pieces, expand Morris/Sussex.</w:t>
      </w:r>
    </w:p>
    <w:p w:rsidR="002D4BDA" w:rsidRPr="002D4BDA" w:rsidRDefault="002D4BDA" w:rsidP="002D4BDA">
      <w:pPr>
        <w:numPr>
          <w:ilvl w:val="1"/>
          <w:numId w:val="11"/>
        </w:numPr>
      </w:pPr>
      <w:r w:rsidRPr="002D4BDA">
        <w:t>2027: Hire labor, target Bergen/Passaic/Hunterdon.</w:t>
      </w:r>
    </w:p>
    <w:p w:rsidR="002D4BDA" w:rsidRPr="002D4BDA" w:rsidRDefault="002D4BDA" w:rsidP="002D4BDA">
      <w:pPr>
        <w:numPr>
          <w:ilvl w:val="1"/>
          <w:numId w:val="11"/>
        </w:numPr>
      </w:pPr>
      <w:r w:rsidRPr="002D4BDA">
        <w:t>2028–2029: Small business sales, 480 pieces/year.</w:t>
      </w:r>
    </w:p>
    <w:p w:rsidR="002D4BDA" w:rsidRPr="002D4BDA" w:rsidRDefault="002D4BDA" w:rsidP="002D4BDA">
      <w:pPr>
        <w:rPr>
          <w:b/>
          <w:bCs/>
        </w:rPr>
      </w:pPr>
      <w:r w:rsidRPr="002D4BDA">
        <w:rPr>
          <w:b/>
          <w:bCs/>
        </w:rPr>
        <w:t>Financial Plan</w:t>
      </w:r>
    </w:p>
    <w:p w:rsidR="002D4BDA" w:rsidRPr="002D4BDA" w:rsidRDefault="002D4BDA" w:rsidP="002D4BDA">
      <w:pPr>
        <w:rPr>
          <w:b/>
          <w:bCs/>
        </w:rPr>
      </w:pPr>
      <w:r w:rsidRPr="002D4BDA">
        <w:rPr>
          <w:b/>
          <w:bCs/>
        </w:rPr>
        <w:t>Startup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867"/>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Category</w:t>
            </w:r>
          </w:p>
        </w:tc>
        <w:tc>
          <w:tcPr>
            <w:tcW w:w="0" w:type="auto"/>
            <w:vAlign w:val="center"/>
            <w:hideMark/>
          </w:tcPr>
          <w:p w:rsidR="002D4BDA" w:rsidRPr="002D4BDA" w:rsidRDefault="002D4BDA" w:rsidP="002D4BDA">
            <w:pPr>
              <w:rPr>
                <w:b/>
                <w:bCs/>
              </w:rPr>
            </w:pPr>
            <w:r w:rsidRPr="002D4BDA">
              <w:rPr>
                <w:b/>
                <w:bCs/>
              </w:rPr>
              <w:t>Cost</w:t>
            </w:r>
          </w:p>
        </w:tc>
      </w:tr>
      <w:tr w:rsidR="002D4BDA" w:rsidRPr="002D4BDA" w:rsidTr="002D4BDA">
        <w:trPr>
          <w:tblCellSpacing w:w="15" w:type="dxa"/>
        </w:trPr>
        <w:tc>
          <w:tcPr>
            <w:tcW w:w="0" w:type="auto"/>
            <w:vAlign w:val="center"/>
            <w:hideMark/>
          </w:tcPr>
          <w:p w:rsidR="002D4BDA" w:rsidRPr="002D4BDA" w:rsidRDefault="002D4BDA" w:rsidP="002D4BDA">
            <w:r w:rsidRPr="002D4BDA">
              <w:t>Power Sander</w:t>
            </w:r>
          </w:p>
        </w:tc>
        <w:tc>
          <w:tcPr>
            <w:tcW w:w="0" w:type="auto"/>
            <w:vAlign w:val="center"/>
            <w:hideMark/>
          </w:tcPr>
          <w:p w:rsidR="002D4BDA" w:rsidRPr="002D4BDA" w:rsidRDefault="002D4BDA" w:rsidP="002D4BDA">
            <w:r w:rsidRPr="002D4BDA">
              <w:t>$500</w:t>
            </w:r>
          </w:p>
        </w:tc>
      </w:tr>
      <w:tr w:rsidR="002D4BDA" w:rsidRPr="002D4BDA" w:rsidTr="002D4BDA">
        <w:trPr>
          <w:tblCellSpacing w:w="15" w:type="dxa"/>
        </w:trPr>
        <w:tc>
          <w:tcPr>
            <w:tcW w:w="0" w:type="auto"/>
            <w:vAlign w:val="center"/>
            <w:hideMark/>
          </w:tcPr>
          <w:p w:rsidR="002D4BDA" w:rsidRPr="002D4BDA" w:rsidRDefault="002D4BDA" w:rsidP="002D4BDA">
            <w:r w:rsidRPr="002D4BDA">
              <w:t>Air Compressor</w:t>
            </w:r>
          </w:p>
        </w:tc>
        <w:tc>
          <w:tcPr>
            <w:tcW w:w="0" w:type="auto"/>
            <w:vAlign w:val="center"/>
            <w:hideMark/>
          </w:tcPr>
          <w:p w:rsidR="002D4BDA" w:rsidRPr="002D4BDA" w:rsidRDefault="002D4BDA" w:rsidP="002D4BDA">
            <w:r w:rsidRPr="002D4BDA">
              <w:t>$500</w:t>
            </w:r>
          </w:p>
        </w:tc>
      </w:tr>
      <w:tr w:rsidR="002D4BDA" w:rsidRPr="002D4BDA" w:rsidTr="002D4BDA">
        <w:trPr>
          <w:tblCellSpacing w:w="15" w:type="dxa"/>
        </w:trPr>
        <w:tc>
          <w:tcPr>
            <w:tcW w:w="0" w:type="auto"/>
            <w:vAlign w:val="center"/>
            <w:hideMark/>
          </w:tcPr>
          <w:p w:rsidR="002D4BDA" w:rsidRPr="002D4BDA" w:rsidRDefault="002D4BDA" w:rsidP="002D4BDA">
            <w:r w:rsidRPr="002D4BDA">
              <w:t>Spray Gun</w:t>
            </w:r>
          </w:p>
        </w:tc>
        <w:tc>
          <w:tcPr>
            <w:tcW w:w="0" w:type="auto"/>
            <w:vAlign w:val="center"/>
            <w:hideMark/>
          </w:tcPr>
          <w:p w:rsidR="002D4BDA" w:rsidRPr="002D4BDA" w:rsidRDefault="002D4BDA" w:rsidP="002D4BDA">
            <w:r w:rsidRPr="002D4BDA">
              <w:t>$300</w:t>
            </w:r>
          </w:p>
        </w:tc>
      </w:tr>
      <w:tr w:rsidR="002D4BDA" w:rsidRPr="002D4BDA" w:rsidTr="002D4BDA">
        <w:trPr>
          <w:tblCellSpacing w:w="15" w:type="dxa"/>
        </w:trPr>
        <w:tc>
          <w:tcPr>
            <w:tcW w:w="0" w:type="auto"/>
            <w:vAlign w:val="center"/>
            <w:hideMark/>
          </w:tcPr>
          <w:p w:rsidR="002D4BDA" w:rsidRPr="002D4BDA" w:rsidRDefault="002D4BDA" w:rsidP="002D4BDA">
            <w:r w:rsidRPr="002D4BDA">
              <w:t>Woodworking Tools</w:t>
            </w:r>
          </w:p>
        </w:tc>
        <w:tc>
          <w:tcPr>
            <w:tcW w:w="0" w:type="auto"/>
            <w:vAlign w:val="center"/>
            <w:hideMark/>
          </w:tcPr>
          <w:p w:rsidR="002D4BDA" w:rsidRPr="002D4BDA" w:rsidRDefault="002D4BDA" w:rsidP="002D4BDA">
            <w:r w:rsidRPr="002D4BDA">
              <w:t>$1,200</w:t>
            </w:r>
          </w:p>
        </w:tc>
      </w:tr>
      <w:tr w:rsidR="002D4BDA" w:rsidRPr="002D4BDA" w:rsidTr="002D4BDA">
        <w:trPr>
          <w:tblCellSpacing w:w="15" w:type="dxa"/>
        </w:trPr>
        <w:tc>
          <w:tcPr>
            <w:tcW w:w="0" w:type="auto"/>
            <w:vAlign w:val="center"/>
            <w:hideMark/>
          </w:tcPr>
          <w:p w:rsidR="002D4BDA" w:rsidRPr="002D4BDA" w:rsidRDefault="002D4BDA" w:rsidP="002D4BDA">
            <w:r w:rsidRPr="002D4BDA">
              <w:t>Storage Racks</w:t>
            </w:r>
          </w:p>
        </w:tc>
        <w:tc>
          <w:tcPr>
            <w:tcW w:w="0" w:type="auto"/>
            <w:vAlign w:val="center"/>
            <w:hideMark/>
          </w:tcPr>
          <w:p w:rsidR="002D4BDA" w:rsidRPr="002D4BDA" w:rsidRDefault="002D4BDA" w:rsidP="002D4BDA">
            <w:r w:rsidRPr="002D4BDA">
              <w:t>$500</w:t>
            </w:r>
          </w:p>
        </w:tc>
      </w:tr>
      <w:tr w:rsidR="002D4BDA" w:rsidRPr="002D4BDA" w:rsidTr="002D4BDA">
        <w:trPr>
          <w:tblCellSpacing w:w="15" w:type="dxa"/>
        </w:trPr>
        <w:tc>
          <w:tcPr>
            <w:tcW w:w="0" w:type="auto"/>
            <w:vAlign w:val="center"/>
            <w:hideMark/>
          </w:tcPr>
          <w:p w:rsidR="002D4BDA" w:rsidRPr="002D4BDA" w:rsidRDefault="002D4BDA" w:rsidP="002D4BDA">
            <w:r w:rsidRPr="002D4BDA">
              <w:lastRenderedPageBreak/>
              <w:t>Cleaning Supplies</w:t>
            </w:r>
          </w:p>
        </w:tc>
        <w:tc>
          <w:tcPr>
            <w:tcW w:w="0" w:type="auto"/>
            <w:vAlign w:val="center"/>
            <w:hideMark/>
          </w:tcPr>
          <w:p w:rsidR="002D4BDA" w:rsidRPr="002D4BDA" w:rsidRDefault="002D4BDA" w:rsidP="002D4BDA">
            <w:r w:rsidRPr="002D4BDA">
              <w:t>$500</w:t>
            </w:r>
          </w:p>
        </w:tc>
      </w:tr>
      <w:tr w:rsidR="002D4BDA" w:rsidRPr="002D4BDA" w:rsidTr="002D4BDA">
        <w:trPr>
          <w:tblCellSpacing w:w="15" w:type="dxa"/>
        </w:trPr>
        <w:tc>
          <w:tcPr>
            <w:tcW w:w="0" w:type="auto"/>
            <w:vAlign w:val="center"/>
            <w:hideMark/>
          </w:tcPr>
          <w:p w:rsidR="002D4BDA" w:rsidRPr="002D4BDA" w:rsidRDefault="002D4BDA" w:rsidP="002D4BDA">
            <w:r w:rsidRPr="002D4BDA">
              <w:t>Truck Bed Cover</w:t>
            </w:r>
          </w:p>
        </w:tc>
        <w:tc>
          <w:tcPr>
            <w:tcW w:w="0" w:type="auto"/>
            <w:vAlign w:val="center"/>
            <w:hideMark/>
          </w:tcPr>
          <w:p w:rsidR="002D4BDA" w:rsidRPr="002D4BDA" w:rsidRDefault="002D4BDA" w:rsidP="002D4BDA">
            <w:r w:rsidRPr="002D4BDA">
              <w:t>$1,000</w:t>
            </w:r>
          </w:p>
        </w:tc>
      </w:tr>
      <w:tr w:rsidR="002D4BDA" w:rsidRPr="002D4BDA" w:rsidTr="002D4BDA">
        <w:trPr>
          <w:tblCellSpacing w:w="15" w:type="dxa"/>
        </w:trPr>
        <w:tc>
          <w:tcPr>
            <w:tcW w:w="0" w:type="auto"/>
            <w:vAlign w:val="center"/>
            <w:hideMark/>
          </w:tcPr>
          <w:p w:rsidR="002D4BDA" w:rsidRPr="002D4BDA" w:rsidRDefault="002D4BDA" w:rsidP="002D4BDA">
            <w:r w:rsidRPr="002D4BDA">
              <w:rPr>
                <w:b/>
                <w:bCs/>
              </w:rPr>
              <w:t>Total</w:t>
            </w:r>
          </w:p>
        </w:tc>
        <w:tc>
          <w:tcPr>
            <w:tcW w:w="0" w:type="auto"/>
            <w:vAlign w:val="center"/>
            <w:hideMark/>
          </w:tcPr>
          <w:p w:rsidR="002D4BDA" w:rsidRPr="002D4BDA" w:rsidRDefault="002D4BDA" w:rsidP="002D4BDA">
            <w:r w:rsidRPr="002D4BDA">
              <w:rPr>
                <w:b/>
                <w:bCs/>
              </w:rPr>
              <w:t>$15,000</w:t>
            </w:r>
          </w:p>
        </w:tc>
      </w:tr>
    </w:tbl>
    <w:p w:rsidR="002D4BDA" w:rsidRPr="002D4BDA" w:rsidRDefault="002D4BDA" w:rsidP="002D4BDA">
      <w:pPr>
        <w:numPr>
          <w:ilvl w:val="0"/>
          <w:numId w:val="12"/>
        </w:numPr>
      </w:pPr>
      <w:r w:rsidRPr="002D4BDA">
        <w:rPr>
          <w:b/>
          <w:bCs/>
        </w:rPr>
        <w:t>Funding</w:t>
      </w:r>
      <w:r w:rsidRPr="002D4BDA">
        <w:t>: $15,000 family cash.</w:t>
      </w:r>
    </w:p>
    <w:p w:rsidR="002D4BDA" w:rsidRPr="002D4BDA" w:rsidRDefault="002D4BDA" w:rsidP="002D4BDA">
      <w:pPr>
        <w:rPr>
          <w:b/>
          <w:bCs/>
        </w:rPr>
      </w:pPr>
      <w:r w:rsidRPr="002D4BDA">
        <w:rPr>
          <w:b/>
          <w:bCs/>
        </w:rPr>
        <w:t>Revenue and Production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1218"/>
        <w:gridCol w:w="1036"/>
        <w:gridCol w:w="922"/>
        <w:gridCol w:w="4369"/>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Year</w:t>
            </w:r>
          </w:p>
        </w:tc>
        <w:tc>
          <w:tcPr>
            <w:tcW w:w="0" w:type="auto"/>
            <w:vAlign w:val="center"/>
            <w:hideMark/>
          </w:tcPr>
          <w:p w:rsidR="002D4BDA" w:rsidRPr="002D4BDA" w:rsidRDefault="002D4BDA" w:rsidP="002D4BDA">
            <w:pPr>
              <w:rPr>
                <w:b/>
                <w:bCs/>
              </w:rPr>
            </w:pPr>
            <w:r w:rsidRPr="002D4BDA">
              <w:rPr>
                <w:b/>
                <w:bCs/>
              </w:rPr>
              <w:t>Pieces/Year</w:t>
            </w:r>
          </w:p>
        </w:tc>
        <w:tc>
          <w:tcPr>
            <w:tcW w:w="0" w:type="auto"/>
            <w:vAlign w:val="center"/>
            <w:hideMark/>
          </w:tcPr>
          <w:p w:rsidR="002D4BDA" w:rsidRPr="002D4BDA" w:rsidRDefault="002D4BDA" w:rsidP="002D4BDA">
            <w:pPr>
              <w:rPr>
                <w:b/>
                <w:bCs/>
              </w:rPr>
            </w:pPr>
            <w:r w:rsidRPr="002D4BDA">
              <w:rPr>
                <w:b/>
                <w:bCs/>
              </w:rPr>
              <w:t>Avg. Price</w:t>
            </w:r>
          </w:p>
        </w:tc>
        <w:tc>
          <w:tcPr>
            <w:tcW w:w="0" w:type="auto"/>
            <w:vAlign w:val="center"/>
            <w:hideMark/>
          </w:tcPr>
          <w:p w:rsidR="002D4BDA" w:rsidRPr="002D4BDA" w:rsidRDefault="002D4BDA" w:rsidP="002D4BDA">
            <w:pPr>
              <w:rPr>
                <w:b/>
                <w:bCs/>
              </w:rPr>
            </w:pPr>
            <w:r w:rsidRPr="002D4BDA">
              <w:rPr>
                <w:b/>
                <w:bCs/>
              </w:rPr>
              <w:t>Revenue</w:t>
            </w:r>
          </w:p>
        </w:tc>
        <w:tc>
          <w:tcPr>
            <w:tcW w:w="0" w:type="auto"/>
            <w:vAlign w:val="center"/>
            <w:hideMark/>
          </w:tcPr>
          <w:p w:rsidR="002D4BDA" w:rsidRPr="002D4BDA" w:rsidRDefault="002D4BDA" w:rsidP="002D4BDA">
            <w:pPr>
              <w:rPr>
                <w:b/>
                <w:bCs/>
              </w:rPr>
            </w:pPr>
            <w:r w:rsidRPr="002D4BDA">
              <w:rPr>
                <w:b/>
                <w:bCs/>
              </w:rPr>
              <w:t>Notes</w:t>
            </w:r>
          </w:p>
        </w:tc>
      </w:tr>
      <w:tr w:rsidR="002D4BDA" w:rsidRPr="002D4BDA" w:rsidTr="002D4BDA">
        <w:trPr>
          <w:tblCellSpacing w:w="15" w:type="dxa"/>
        </w:trPr>
        <w:tc>
          <w:tcPr>
            <w:tcW w:w="0" w:type="auto"/>
            <w:vAlign w:val="center"/>
            <w:hideMark/>
          </w:tcPr>
          <w:p w:rsidR="002D4BDA" w:rsidRPr="002D4BDA" w:rsidRDefault="002D4BDA" w:rsidP="002D4BDA">
            <w:r w:rsidRPr="002D4BDA">
              <w:t>2025</w:t>
            </w:r>
          </w:p>
        </w:tc>
        <w:tc>
          <w:tcPr>
            <w:tcW w:w="0" w:type="auto"/>
            <w:vAlign w:val="center"/>
            <w:hideMark/>
          </w:tcPr>
          <w:p w:rsidR="002D4BDA" w:rsidRPr="002D4BDA" w:rsidRDefault="002D4BDA" w:rsidP="002D4BDA">
            <w:r w:rsidRPr="002D4BDA">
              <w:t>120</w:t>
            </w:r>
          </w:p>
        </w:tc>
        <w:tc>
          <w:tcPr>
            <w:tcW w:w="0" w:type="auto"/>
            <w:vAlign w:val="center"/>
            <w:hideMark/>
          </w:tcPr>
          <w:p w:rsidR="002D4BDA" w:rsidRPr="002D4BDA" w:rsidRDefault="002D4BDA" w:rsidP="002D4BDA">
            <w:r w:rsidRPr="002D4BDA">
              <w:t>$200</w:t>
            </w:r>
          </w:p>
        </w:tc>
        <w:tc>
          <w:tcPr>
            <w:tcW w:w="0" w:type="auto"/>
            <w:vAlign w:val="center"/>
            <w:hideMark/>
          </w:tcPr>
          <w:p w:rsidR="002D4BDA" w:rsidRPr="002D4BDA" w:rsidRDefault="002D4BDA" w:rsidP="002D4BDA">
            <w:r w:rsidRPr="002D4BDA">
              <w:t>$24,000</w:t>
            </w:r>
          </w:p>
        </w:tc>
        <w:tc>
          <w:tcPr>
            <w:tcW w:w="0" w:type="auto"/>
            <w:vAlign w:val="center"/>
            <w:hideMark/>
          </w:tcPr>
          <w:p w:rsidR="002D4BDA" w:rsidRPr="002D4BDA" w:rsidRDefault="002D4BDA" w:rsidP="002D4BDA">
            <w:r w:rsidRPr="002D4BDA">
              <w:t>Family labor, Wantage/Kinnelon startup</w:t>
            </w:r>
          </w:p>
        </w:tc>
      </w:tr>
      <w:tr w:rsidR="002D4BDA" w:rsidRPr="002D4BDA" w:rsidTr="002D4BDA">
        <w:trPr>
          <w:tblCellSpacing w:w="15" w:type="dxa"/>
        </w:trPr>
        <w:tc>
          <w:tcPr>
            <w:tcW w:w="0" w:type="auto"/>
            <w:vAlign w:val="center"/>
            <w:hideMark/>
          </w:tcPr>
          <w:p w:rsidR="002D4BDA" w:rsidRPr="002D4BDA" w:rsidRDefault="002D4BDA" w:rsidP="002D4BDA">
            <w:r w:rsidRPr="002D4BDA">
              <w:t>2026</w:t>
            </w:r>
          </w:p>
        </w:tc>
        <w:tc>
          <w:tcPr>
            <w:tcW w:w="0" w:type="auto"/>
            <w:vAlign w:val="center"/>
            <w:hideMark/>
          </w:tcPr>
          <w:p w:rsidR="002D4BDA" w:rsidRPr="002D4BDA" w:rsidRDefault="002D4BDA" w:rsidP="002D4BDA">
            <w:r w:rsidRPr="002D4BDA">
              <w:t>240</w:t>
            </w:r>
          </w:p>
        </w:tc>
        <w:tc>
          <w:tcPr>
            <w:tcW w:w="0" w:type="auto"/>
            <w:vAlign w:val="center"/>
            <w:hideMark/>
          </w:tcPr>
          <w:p w:rsidR="002D4BDA" w:rsidRPr="002D4BDA" w:rsidRDefault="002D4BDA" w:rsidP="002D4BDA">
            <w:r w:rsidRPr="002D4BDA">
              <w:t>$200</w:t>
            </w:r>
          </w:p>
        </w:tc>
        <w:tc>
          <w:tcPr>
            <w:tcW w:w="0" w:type="auto"/>
            <w:vAlign w:val="center"/>
            <w:hideMark/>
          </w:tcPr>
          <w:p w:rsidR="002D4BDA" w:rsidRPr="002D4BDA" w:rsidRDefault="002D4BDA" w:rsidP="002D4BDA">
            <w:r w:rsidRPr="002D4BDA">
              <w:t>$48,000</w:t>
            </w:r>
          </w:p>
        </w:tc>
        <w:tc>
          <w:tcPr>
            <w:tcW w:w="0" w:type="auto"/>
            <w:vAlign w:val="center"/>
            <w:hideMark/>
          </w:tcPr>
          <w:p w:rsidR="002D4BDA" w:rsidRPr="002D4BDA" w:rsidRDefault="002D4BDA" w:rsidP="002D4BDA">
            <w:r w:rsidRPr="002D4BDA">
              <w:t>Scaled production, Morris/Sussex expansion</w:t>
            </w:r>
          </w:p>
        </w:tc>
      </w:tr>
      <w:tr w:rsidR="002D4BDA" w:rsidRPr="002D4BDA" w:rsidTr="002D4BDA">
        <w:trPr>
          <w:tblCellSpacing w:w="15" w:type="dxa"/>
        </w:trPr>
        <w:tc>
          <w:tcPr>
            <w:tcW w:w="0" w:type="auto"/>
            <w:vAlign w:val="center"/>
            <w:hideMark/>
          </w:tcPr>
          <w:p w:rsidR="002D4BDA" w:rsidRPr="002D4BDA" w:rsidRDefault="002D4BDA" w:rsidP="002D4BDA">
            <w:r w:rsidRPr="002D4BDA">
              <w:t>2027</w:t>
            </w:r>
          </w:p>
        </w:tc>
        <w:tc>
          <w:tcPr>
            <w:tcW w:w="0" w:type="auto"/>
            <w:vAlign w:val="center"/>
            <w:hideMark/>
          </w:tcPr>
          <w:p w:rsidR="002D4BDA" w:rsidRPr="002D4BDA" w:rsidRDefault="002D4BDA" w:rsidP="002D4BDA">
            <w:r w:rsidRPr="002D4BDA">
              <w:t>360</w:t>
            </w:r>
          </w:p>
        </w:tc>
        <w:tc>
          <w:tcPr>
            <w:tcW w:w="0" w:type="auto"/>
            <w:vAlign w:val="center"/>
            <w:hideMark/>
          </w:tcPr>
          <w:p w:rsidR="002D4BDA" w:rsidRPr="002D4BDA" w:rsidRDefault="002D4BDA" w:rsidP="002D4BDA">
            <w:r w:rsidRPr="002D4BDA">
              <w:t>$200</w:t>
            </w:r>
          </w:p>
        </w:tc>
        <w:tc>
          <w:tcPr>
            <w:tcW w:w="0" w:type="auto"/>
            <w:vAlign w:val="center"/>
            <w:hideMark/>
          </w:tcPr>
          <w:p w:rsidR="002D4BDA" w:rsidRPr="002D4BDA" w:rsidRDefault="002D4BDA" w:rsidP="002D4BDA">
            <w:r w:rsidRPr="002D4BDA">
              <w:t>$72,000</w:t>
            </w:r>
          </w:p>
        </w:tc>
        <w:tc>
          <w:tcPr>
            <w:tcW w:w="0" w:type="auto"/>
            <w:vAlign w:val="center"/>
            <w:hideMark/>
          </w:tcPr>
          <w:p w:rsidR="002D4BDA" w:rsidRPr="002D4BDA" w:rsidRDefault="002D4BDA" w:rsidP="002D4BDA">
            <w:r w:rsidRPr="002D4BDA">
              <w:t>Hired labor, Bergen/Passaic/Hunterdon</w:t>
            </w:r>
          </w:p>
        </w:tc>
      </w:tr>
      <w:tr w:rsidR="002D4BDA" w:rsidRPr="002D4BDA" w:rsidTr="002D4BDA">
        <w:trPr>
          <w:tblCellSpacing w:w="15" w:type="dxa"/>
        </w:trPr>
        <w:tc>
          <w:tcPr>
            <w:tcW w:w="0" w:type="auto"/>
            <w:vAlign w:val="center"/>
            <w:hideMark/>
          </w:tcPr>
          <w:p w:rsidR="002D4BDA" w:rsidRPr="002D4BDA" w:rsidRDefault="002D4BDA" w:rsidP="002D4BDA">
            <w:r w:rsidRPr="002D4BDA">
              <w:t>2028</w:t>
            </w:r>
          </w:p>
        </w:tc>
        <w:tc>
          <w:tcPr>
            <w:tcW w:w="0" w:type="auto"/>
            <w:vAlign w:val="center"/>
            <w:hideMark/>
          </w:tcPr>
          <w:p w:rsidR="002D4BDA" w:rsidRPr="002D4BDA" w:rsidRDefault="002D4BDA" w:rsidP="002D4BDA">
            <w:r w:rsidRPr="002D4BDA">
              <w:t>420</w:t>
            </w:r>
          </w:p>
        </w:tc>
        <w:tc>
          <w:tcPr>
            <w:tcW w:w="0" w:type="auto"/>
            <w:vAlign w:val="center"/>
            <w:hideMark/>
          </w:tcPr>
          <w:p w:rsidR="002D4BDA" w:rsidRPr="002D4BDA" w:rsidRDefault="002D4BDA" w:rsidP="002D4BDA">
            <w:r w:rsidRPr="002D4BDA">
              <w:t>$200</w:t>
            </w:r>
          </w:p>
        </w:tc>
        <w:tc>
          <w:tcPr>
            <w:tcW w:w="0" w:type="auto"/>
            <w:vAlign w:val="center"/>
            <w:hideMark/>
          </w:tcPr>
          <w:p w:rsidR="002D4BDA" w:rsidRPr="002D4BDA" w:rsidRDefault="002D4BDA" w:rsidP="002D4BDA">
            <w:r w:rsidRPr="002D4BDA">
              <w:t>$84,000</w:t>
            </w:r>
          </w:p>
        </w:tc>
        <w:tc>
          <w:tcPr>
            <w:tcW w:w="0" w:type="auto"/>
            <w:vAlign w:val="center"/>
            <w:hideMark/>
          </w:tcPr>
          <w:p w:rsidR="002D4BDA" w:rsidRPr="002D4BDA" w:rsidRDefault="002D4BDA" w:rsidP="002D4BDA">
            <w:r w:rsidRPr="002D4BDA">
              <w:t>Small business accounts begin</w:t>
            </w:r>
          </w:p>
        </w:tc>
      </w:tr>
      <w:tr w:rsidR="002D4BDA" w:rsidRPr="002D4BDA" w:rsidTr="002D4BDA">
        <w:trPr>
          <w:tblCellSpacing w:w="15" w:type="dxa"/>
        </w:trPr>
        <w:tc>
          <w:tcPr>
            <w:tcW w:w="0" w:type="auto"/>
            <w:vAlign w:val="center"/>
            <w:hideMark/>
          </w:tcPr>
          <w:p w:rsidR="002D4BDA" w:rsidRPr="002D4BDA" w:rsidRDefault="002D4BDA" w:rsidP="002D4BDA">
            <w:r w:rsidRPr="002D4BDA">
              <w:t>2029</w:t>
            </w:r>
          </w:p>
        </w:tc>
        <w:tc>
          <w:tcPr>
            <w:tcW w:w="0" w:type="auto"/>
            <w:vAlign w:val="center"/>
            <w:hideMark/>
          </w:tcPr>
          <w:p w:rsidR="002D4BDA" w:rsidRPr="002D4BDA" w:rsidRDefault="002D4BDA" w:rsidP="002D4BDA">
            <w:r w:rsidRPr="002D4BDA">
              <w:t>480</w:t>
            </w:r>
          </w:p>
        </w:tc>
        <w:tc>
          <w:tcPr>
            <w:tcW w:w="0" w:type="auto"/>
            <w:vAlign w:val="center"/>
            <w:hideMark/>
          </w:tcPr>
          <w:p w:rsidR="002D4BDA" w:rsidRPr="002D4BDA" w:rsidRDefault="002D4BDA" w:rsidP="002D4BDA">
            <w:r w:rsidRPr="002D4BDA">
              <w:t>$200</w:t>
            </w:r>
          </w:p>
        </w:tc>
        <w:tc>
          <w:tcPr>
            <w:tcW w:w="0" w:type="auto"/>
            <w:vAlign w:val="center"/>
            <w:hideMark/>
          </w:tcPr>
          <w:p w:rsidR="002D4BDA" w:rsidRPr="002D4BDA" w:rsidRDefault="002D4BDA" w:rsidP="002D4BDA">
            <w:r w:rsidRPr="002D4BDA">
              <w:t>$96,000</w:t>
            </w:r>
          </w:p>
        </w:tc>
        <w:tc>
          <w:tcPr>
            <w:tcW w:w="0" w:type="auto"/>
            <w:vAlign w:val="center"/>
            <w:hideMark/>
          </w:tcPr>
          <w:p w:rsidR="002D4BDA" w:rsidRPr="002D4BDA" w:rsidRDefault="002D4BDA" w:rsidP="002D4BDA">
            <w:r w:rsidRPr="002D4BDA">
              <w:t>40 pieces/month, small business growth</w:t>
            </w:r>
          </w:p>
        </w:tc>
      </w:tr>
    </w:tbl>
    <w:p w:rsidR="002D4BDA" w:rsidRPr="002D4BDA" w:rsidRDefault="002D4BDA" w:rsidP="002D4BDA">
      <w:pPr>
        <w:numPr>
          <w:ilvl w:val="0"/>
          <w:numId w:val="13"/>
        </w:numPr>
      </w:pPr>
      <w:r w:rsidRPr="002D4BDA">
        <w:rPr>
          <w:b/>
          <w:bCs/>
        </w:rPr>
        <w:t>Breakdown (2026)</w:t>
      </w:r>
      <w:r w:rsidRPr="002D4BDA">
        <w:t>:</w:t>
      </w:r>
    </w:p>
    <w:p w:rsidR="002D4BDA" w:rsidRPr="002D4BDA" w:rsidRDefault="002D4BDA" w:rsidP="002D4BDA">
      <w:pPr>
        <w:numPr>
          <w:ilvl w:val="1"/>
          <w:numId w:val="13"/>
        </w:numPr>
      </w:pPr>
      <w:r w:rsidRPr="002D4BDA">
        <w:t>Adirondack Chairs: 120 pieces, $200 avg. = $24,000.</w:t>
      </w:r>
    </w:p>
    <w:p w:rsidR="002D4BDA" w:rsidRPr="002D4BDA" w:rsidRDefault="002D4BDA" w:rsidP="002D4BDA">
      <w:pPr>
        <w:numPr>
          <w:ilvl w:val="1"/>
          <w:numId w:val="13"/>
        </w:numPr>
      </w:pPr>
      <w:r w:rsidRPr="002D4BDA">
        <w:t>Dining Tables/Sets: 72 pieces, $200 avg. = $14,400.</w:t>
      </w:r>
    </w:p>
    <w:p w:rsidR="002D4BDA" w:rsidRPr="002D4BDA" w:rsidRDefault="002D4BDA" w:rsidP="002D4BDA">
      <w:pPr>
        <w:numPr>
          <w:ilvl w:val="1"/>
          <w:numId w:val="13"/>
        </w:numPr>
      </w:pPr>
      <w:r w:rsidRPr="002D4BDA">
        <w:t>Dressers: 48 pieces, $200 avg. = $9,600.</w:t>
      </w:r>
    </w:p>
    <w:p w:rsidR="002D4BDA" w:rsidRPr="002D4BDA" w:rsidRDefault="002D4BDA" w:rsidP="002D4BDA">
      <w:pPr>
        <w:numPr>
          <w:ilvl w:val="0"/>
          <w:numId w:val="13"/>
        </w:numPr>
      </w:pPr>
      <w:r w:rsidRPr="002D4BDA">
        <w:rPr>
          <w:b/>
          <w:bCs/>
        </w:rPr>
        <w:t>Breakdown (2029)</w:t>
      </w:r>
      <w:r w:rsidRPr="002D4BDA">
        <w:t>:</w:t>
      </w:r>
    </w:p>
    <w:p w:rsidR="002D4BDA" w:rsidRPr="002D4BDA" w:rsidRDefault="002D4BDA" w:rsidP="002D4BDA">
      <w:pPr>
        <w:numPr>
          <w:ilvl w:val="1"/>
          <w:numId w:val="13"/>
        </w:numPr>
      </w:pPr>
      <w:r w:rsidRPr="002D4BDA">
        <w:t>Chairs: 200 pieces, $200 avg. = $40,000.</w:t>
      </w:r>
    </w:p>
    <w:p w:rsidR="002D4BDA" w:rsidRPr="002D4BDA" w:rsidRDefault="002D4BDA" w:rsidP="002D4BDA">
      <w:pPr>
        <w:numPr>
          <w:ilvl w:val="1"/>
          <w:numId w:val="13"/>
        </w:numPr>
      </w:pPr>
      <w:r w:rsidRPr="002D4BDA">
        <w:t>Tables/Sets: 100 pieces, $200 avg. = $20,000.</w:t>
      </w:r>
    </w:p>
    <w:p w:rsidR="002D4BDA" w:rsidRPr="002D4BDA" w:rsidRDefault="002D4BDA" w:rsidP="002D4BDA">
      <w:pPr>
        <w:numPr>
          <w:ilvl w:val="1"/>
          <w:numId w:val="13"/>
        </w:numPr>
      </w:pPr>
      <w:r w:rsidRPr="002D4BDA">
        <w:t>Dressers: 80 pieces, $200 avg. = $16,000.</w:t>
      </w:r>
    </w:p>
    <w:p w:rsidR="002D4BDA" w:rsidRPr="002D4BDA" w:rsidRDefault="002D4BDA" w:rsidP="002D4BDA">
      <w:pPr>
        <w:numPr>
          <w:ilvl w:val="1"/>
          <w:numId w:val="13"/>
        </w:numPr>
      </w:pPr>
      <w:r w:rsidRPr="002D4BDA">
        <w:t>Small Businesses: 50 pieces, $500 avg. = $25,000.</w:t>
      </w:r>
    </w:p>
    <w:p w:rsidR="002D4BDA" w:rsidRPr="002D4BDA" w:rsidRDefault="002D4BDA" w:rsidP="002D4BDA">
      <w:pPr>
        <w:rPr>
          <w:b/>
          <w:bCs/>
        </w:rPr>
      </w:pPr>
      <w:r w:rsidRPr="002D4BDA">
        <w:rPr>
          <w:b/>
          <w:bCs/>
        </w:rPr>
        <w:t>Cost of Goods Sold (COGS)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44"/>
        <w:gridCol w:w="1305"/>
        <w:gridCol w:w="1916"/>
        <w:gridCol w:w="1305"/>
        <w:gridCol w:w="1931"/>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Category</w:t>
            </w:r>
          </w:p>
        </w:tc>
        <w:tc>
          <w:tcPr>
            <w:tcW w:w="0" w:type="auto"/>
            <w:vAlign w:val="center"/>
            <w:hideMark/>
          </w:tcPr>
          <w:p w:rsidR="002D4BDA" w:rsidRPr="002D4BDA" w:rsidRDefault="002D4BDA" w:rsidP="002D4BDA">
            <w:pPr>
              <w:rPr>
                <w:b/>
                <w:bCs/>
              </w:rPr>
            </w:pPr>
            <w:r w:rsidRPr="002D4BDA">
              <w:rPr>
                <w:b/>
                <w:bCs/>
              </w:rPr>
              <w:t>COGS %</w:t>
            </w:r>
          </w:p>
        </w:tc>
        <w:tc>
          <w:tcPr>
            <w:tcW w:w="0" w:type="auto"/>
            <w:vAlign w:val="center"/>
            <w:hideMark/>
          </w:tcPr>
          <w:p w:rsidR="002D4BDA" w:rsidRPr="002D4BDA" w:rsidRDefault="002D4BDA" w:rsidP="002D4BDA">
            <w:pPr>
              <w:rPr>
                <w:b/>
                <w:bCs/>
              </w:rPr>
            </w:pPr>
            <w:r w:rsidRPr="002D4BDA">
              <w:rPr>
                <w:b/>
                <w:bCs/>
              </w:rPr>
              <w:t>COGS (2026)</w:t>
            </w:r>
          </w:p>
        </w:tc>
        <w:tc>
          <w:tcPr>
            <w:tcW w:w="0" w:type="auto"/>
            <w:vAlign w:val="center"/>
            <w:hideMark/>
          </w:tcPr>
          <w:p w:rsidR="002D4BDA" w:rsidRPr="002D4BDA" w:rsidRDefault="002D4BDA" w:rsidP="002D4BDA">
            <w:pPr>
              <w:rPr>
                <w:b/>
                <w:bCs/>
              </w:rPr>
            </w:pPr>
            <w:r w:rsidRPr="002D4BDA">
              <w:rPr>
                <w:b/>
                <w:bCs/>
              </w:rPr>
              <w:t>Gross Profit (2026)</w:t>
            </w:r>
          </w:p>
        </w:tc>
        <w:tc>
          <w:tcPr>
            <w:tcW w:w="0" w:type="auto"/>
            <w:vAlign w:val="center"/>
            <w:hideMark/>
          </w:tcPr>
          <w:p w:rsidR="002D4BDA" w:rsidRPr="002D4BDA" w:rsidRDefault="002D4BDA" w:rsidP="002D4BDA">
            <w:pPr>
              <w:rPr>
                <w:b/>
                <w:bCs/>
              </w:rPr>
            </w:pPr>
            <w:r w:rsidRPr="002D4BDA">
              <w:rPr>
                <w:b/>
                <w:bCs/>
              </w:rPr>
              <w:t>COGS (2029)</w:t>
            </w:r>
          </w:p>
        </w:tc>
        <w:tc>
          <w:tcPr>
            <w:tcW w:w="0" w:type="auto"/>
            <w:vAlign w:val="center"/>
            <w:hideMark/>
          </w:tcPr>
          <w:p w:rsidR="002D4BDA" w:rsidRPr="002D4BDA" w:rsidRDefault="002D4BDA" w:rsidP="002D4BDA">
            <w:pPr>
              <w:rPr>
                <w:b/>
                <w:bCs/>
              </w:rPr>
            </w:pPr>
            <w:r w:rsidRPr="002D4BDA">
              <w:rPr>
                <w:b/>
                <w:bCs/>
              </w:rPr>
              <w:t>Gross Profit (2029)</w:t>
            </w:r>
          </w:p>
        </w:tc>
      </w:tr>
      <w:tr w:rsidR="002D4BDA" w:rsidRPr="002D4BDA" w:rsidTr="002D4BDA">
        <w:trPr>
          <w:tblCellSpacing w:w="15" w:type="dxa"/>
        </w:trPr>
        <w:tc>
          <w:tcPr>
            <w:tcW w:w="0" w:type="auto"/>
            <w:vAlign w:val="center"/>
            <w:hideMark/>
          </w:tcPr>
          <w:p w:rsidR="002D4BDA" w:rsidRPr="002D4BDA" w:rsidRDefault="002D4BDA" w:rsidP="002D4BDA">
            <w:r w:rsidRPr="002D4BDA">
              <w:t>Furniture Sales</w:t>
            </w:r>
          </w:p>
        </w:tc>
        <w:tc>
          <w:tcPr>
            <w:tcW w:w="0" w:type="auto"/>
            <w:vAlign w:val="center"/>
            <w:hideMark/>
          </w:tcPr>
          <w:p w:rsidR="002D4BDA" w:rsidRPr="002D4BDA" w:rsidRDefault="002D4BDA" w:rsidP="002D4BDA">
            <w:r w:rsidRPr="002D4BDA">
              <w:t>25%</w:t>
            </w:r>
          </w:p>
        </w:tc>
        <w:tc>
          <w:tcPr>
            <w:tcW w:w="0" w:type="auto"/>
            <w:vAlign w:val="center"/>
            <w:hideMark/>
          </w:tcPr>
          <w:p w:rsidR="002D4BDA" w:rsidRPr="002D4BDA" w:rsidRDefault="002D4BDA" w:rsidP="002D4BDA">
            <w:r w:rsidRPr="002D4BDA">
              <w:t>$12,000</w:t>
            </w:r>
          </w:p>
        </w:tc>
        <w:tc>
          <w:tcPr>
            <w:tcW w:w="0" w:type="auto"/>
            <w:vAlign w:val="center"/>
            <w:hideMark/>
          </w:tcPr>
          <w:p w:rsidR="002D4BDA" w:rsidRPr="002D4BDA" w:rsidRDefault="002D4BDA" w:rsidP="002D4BDA">
            <w:r w:rsidRPr="002D4BDA">
              <w:t>$36,000</w:t>
            </w:r>
          </w:p>
        </w:tc>
        <w:tc>
          <w:tcPr>
            <w:tcW w:w="0" w:type="auto"/>
            <w:vAlign w:val="center"/>
            <w:hideMark/>
          </w:tcPr>
          <w:p w:rsidR="002D4BDA" w:rsidRPr="002D4BDA" w:rsidRDefault="002D4BDA" w:rsidP="002D4BDA">
            <w:r w:rsidRPr="002D4BDA">
              <w:t>$24,000</w:t>
            </w:r>
          </w:p>
        </w:tc>
        <w:tc>
          <w:tcPr>
            <w:tcW w:w="0" w:type="auto"/>
            <w:vAlign w:val="center"/>
            <w:hideMark/>
          </w:tcPr>
          <w:p w:rsidR="002D4BDA" w:rsidRPr="002D4BDA" w:rsidRDefault="002D4BDA" w:rsidP="002D4BDA">
            <w:r w:rsidRPr="002D4BDA">
              <w:t>$72,000</w:t>
            </w:r>
          </w:p>
        </w:tc>
      </w:tr>
    </w:tbl>
    <w:p w:rsidR="002D4BDA" w:rsidRPr="002D4BDA" w:rsidRDefault="002D4BDA" w:rsidP="002D4BDA">
      <w:pPr>
        <w:numPr>
          <w:ilvl w:val="0"/>
          <w:numId w:val="14"/>
        </w:numPr>
      </w:pPr>
      <w:r w:rsidRPr="002D4BDA">
        <w:rPr>
          <w:b/>
          <w:bCs/>
        </w:rPr>
        <w:lastRenderedPageBreak/>
        <w:t>COGS Details</w:t>
      </w:r>
      <w:r w:rsidRPr="002D4BDA">
        <w:t>: Materials (stains, waxes, hardware: $30–$60/piece), fuel for pickups ($2,000/year in 2026, $3,000/year in 2029).</w:t>
      </w:r>
    </w:p>
    <w:p w:rsidR="002D4BDA" w:rsidRPr="002D4BDA" w:rsidRDefault="002D4BDA" w:rsidP="002D4BDA">
      <w:pPr>
        <w:rPr>
          <w:b/>
          <w:bCs/>
        </w:rPr>
      </w:pPr>
      <w:r w:rsidRPr="002D4BDA">
        <w:rPr>
          <w:b/>
          <w:bCs/>
        </w:rPr>
        <w:t>Fixed Operating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2032"/>
        <w:gridCol w:w="1962"/>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Expense Category</w:t>
            </w:r>
          </w:p>
        </w:tc>
        <w:tc>
          <w:tcPr>
            <w:tcW w:w="0" w:type="auto"/>
            <w:vAlign w:val="center"/>
            <w:hideMark/>
          </w:tcPr>
          <w:p w:rsidR="002D4BDA" w:rsidRPr="002D4BDA" w:rsidRDefault="002D4BDA" w:rsidP="002D4BDA">
            <w:pPr>
              <w:rPr>
                <w:b/>
                <w:bCs/>
              </w:rPr>
            </w:pPr>
            <w:r w:rsidRPr="002D4BDA">
              <w:rPr>
                <w:b/>
                <w:bCs/>
              </w:rPr>
              <w:t>Annual COST (2026)</w:t>
            </w:r>
          </w:p>
        </w:tc>
        <w:tc>
          <w:tcPr>
            <w:tcW w:w="0" w:type="auto"/>
            <w:vAlign w:val="center"/>
            <w:hideMark/>
          </w:tcPr>
          <w:p w:rsidR="002D4BDA" w:rsidRPr="002D4BDA" w:rsidRDefault="002D4BDA" w:rsidP="002D4BDA">
            <w:pPr>
              <w:rPr>
                <w:b/>
                <w:bCs/>
              </w:rPr>
            </w:pPr>
            <w:r w:rsidRPr="002D4BDA">
              <w:rPr>
                <w:b/>
                <w:bCs/>
              </w:rPr>
              <w:t>Annual Cost (2029)</w:t>
            </w:r>
          </w:p>
        </w:tc>
      </w:tr>
      <w:tr w:rsidR="002D4BDA" w:rsidRPr="002D4BDA" w:rsidTr="002D4BDA">
        <w:trPr>
          <w:tblCellSpacing w:w="15" w:type="dxa"/>
        </w:trPr>
        <w:tc>
          <w:tcPr>
            <w:tcW w:w="0" w:type="auto"/>
            <w:vAlign w:val="center"/>
            <w:hideMark/>
          </w:tcPr>
          <w:p w:rsidR="002D4BDA" w:rsidRPr="002D4BDA" w:rsidRDefault="002D4BDA" w:rsidP="002D4BDA">
            <w:r w:rsidRPr="002D4BDA">
              <w:t>Equipment Maintenance</w:t>
            </w:r>
          </w:p>
        </w:tc>
        <w:tc>
          <w:tcPr>
            <w:tcW w:w="0" w:type="auto"/>
            <w:vAlign w:val="center"/>
            <w:hideMark/>
          </w:tcPr>
          <w:p w:rsidR="002D4BDA" w:rsidRPr="002D4BDA" w:rsidRDefault="002D4BDA" w:rsidP="002D4BDA">
            <w:r w:rsidRPr="002D4BDA">
              <w:t>$1,000</w:t>
            </w:r>
          </w:p>
        </w:tc>
        <w:tc>
          <w:tcPr>
            <w:tcW w:w="0" w:type="auto"/>
            <w:vAlign w:val="center"/>
            <w:hideMark/>
          </w:tcPr>
          <w:p w:rsidR="002D4BDA" w:rsidRPr="002D4BDA" w:rsidRDefault="002D4BDA" w:rsidP="002D4BDA">
            <w:r w:rsidRPr="002D4BDA">
              <w:t>$1,500</w:t>
            </w:r>
          </w:p>
        </w:tc>
      </w:tr>
      <w:tr w:rsidR="002D4BDA" w:rsidRPr="002D4BDA" w:rsidTr="002D4BDA">
        <w:trPr>
          <w:tblCellSpacing w:w="15" w:type="dxa"/>
        </w:trPr>
        <w:tc>
          <w:tcPr>
            <w:tcW w:w="0" w:type="auto"/>
            <w:vAlign w:val="center"/>
            <w:hideMark/>
          </w:tcPr>
          <w:p w:rsidR="002D4BDA" w:rsidRPr="002D4BDA" w:rsidRDefault="002D4BDA" w:rsidP="002D4BDA">
            <w:r w:rsidRPr="002D4BDA">
              <w:t>Marketing (Grassroots)</w:t>
            </w:r>
          </w:p>
        </w:tc>
        <w:tc>
          <w:tcPr>
            <w:tcW w:w="0" w:type="auto"/>
            <w:vAlign w:val="center"/>
            <w:hideMark/>
          </w:tcPr>
          <w:p w:rsidR="002D4BDA" w:rsidRPr="002D4BDA" w:rsidRDefault="002D4BDA" w:rsidP="002D4BDA">
            <w:r w:rsidRPr="002D4BDA">
              <w:t>$500</w:t>
            </w:r>
          </w:p>
        </w:tc>
        <w:tc>
          <w:tcPr>
            <w:tcW w:w="0" w:type="auto"/>
            <w:vAlign w:val="center"/>
            <w:hideMark/>
          </w:tcPr>
          <w:p w:rsidR="002D4BDA" w:rsidRPr="002D4BDA" w:rsidRDefault="002D4BDA" w:rsidP="002D4BDA">
            <w:r w:rsidRPr="002D4BDA">
              <w:t>$1,000</w:t>
            </w:r>
          </w:p>
        </w:tc>
      </w:tr>
      <w:tr w:rsidR="002D4BDA" w:rsidRPr="002D4BDA" w:rsidTr="002D4BDA">
        <w:trPr>
          <w:tblCellSpacing w:w="15" w:type="dxa"/>
        </w:trPr>
        <w:tc>
          <w:tcPr>
            <w:tcW w:w="0" w:type="auto"/>
            <w:vAlign w:val="center"/>
            <w:hideMark/>
          </w:tcPr>
          <w:p w:rsidR="002D4BDA" w:rsidRPr="002D4BDA" w:rsidRDefault="002D4BDA" w:rsidP="002D4BDA">
            <w:r w:rsidRPr="002D4BDA">
              <w:t>Supplies (Ongoing)</w:t>
            </w:r>
          </w:p>
        </w:tc>
        <w:tc>
          <w:tcPr>
            <w:tcW w:w="0" w:type="auto"/>
            <w:vAlign w:val="center"/>
            <w:hideMark/>
          </w:tcPr>
          <w:p w:rsidR="002D4BDA" w:rsidRPr="002D4BDA" w:rsidRDefault="002D4BDA" w:rsidP="002D4BDA">
            <w:r w:rsidRPr="002D4BDA">
              <w:t>$1,000</w:t>
            </w:r>
          </w:p>
        </w:tc>
        <w:tc>
          <w:tcPr>
            <w:tcW w:w="0" w:type="auto"/>
            <w:vAlign w:val="center"/>
            <w:hideMark/>
          </w:tcPr>
          <w:p w:rsidR="002D4BDA" w:rsidRPr="002D4BDA" w:rsidRDefault="002D4BDA" w:rsidP="002D4BDA">
            <w:r w:rsidRPr="002D4BDA">
              <w:t>$1,500</w:t>
            </w:r>
          </w:p>
        </w:tc>
      </w:tr>
      <w:tr w:rsidR="002D4BDA" w:rsidRPr="002D4BDA" w:rsidTr="002D4BDA">
        <w:trPr>
          <w:tblCellSpacing w:w="15" w:type="dxa"/>
        </w:trPr>
        <w:tc>
          <w:tcPr>
            <w:tcW w:w="0" w:type="auto"/>
            <w:vAlign w:val="center"/>
            <w:hideMark/>
          </w:tcPr>
          <w:p w:rsidR="002D4BDA" w:rsidRPr="002D4BDA" w:rsidRDefault="002D4BDA" w:rsidP="002D4BDA">
            <w:r w:rsidRPr="002D4BDA">
              <w:t>Labor (Hired, 2027+)</w:t>
            </w:r>
          </w:p>
        </w:tc>
        <w:tc>
          <w:tcPr>
            <w:tcW w:w="0" w:type="auto"/>
            <w:vAlign w:val="center"/>
            <w:hideMark/>
          </w:tcPr>
          <w:p w:rsidR="002D4BDA" w:rsidRPr="002D4BDA" w:rsidRDefault="002D4BDA" w:rsidP="002D4BDA">
            <w:r w:rsidRPr="002D4BDA">
              <w:t>$0</w:t>
            </w:r>
          </w:p>
        </w:tc>
        <w:tc>
          <w:tcPr>
            <w:tcW w:w="0" w:type="auto"/>
            <w:vAlign w:val="center"/>
            <w:hideMark/>
          </w:tcPr>
          <w:p w:rsidR="002D4BDA" w:rsidRPr="002D4BDA" w:rsidRDefault="002D4BDA" w:rsidP="002D4BDA">
            <w:r w:rsidRPr="002D4BDA">
              <w:t>$10,000</w:t>
            </w:r>
          </w:p>
        </w:tc>
      </w:tr>
      <w:tr w:rsidR="002D4BDA" w:rsidRPr="002D4BDA" w:rsidTr="002D4BDA">
        <w:trPr>
          <w:tblCellSpacing w:w="15" w:type="dxa"/>
        </w:trPr>
        <w:tc>
          <w:tcPr>
            <w:tcW w:w="0" w:type="auto"/>
            <w:vAlign w:val="center"/>
            <w:hideMark/>
          </w:tcPr>
          <w:p w:rsidR="002D4BDA" w:rsidRPr="002D4BDA" w:rsidRDefault="002D4BDA" w:rsidP="002D4BDA">
            <w:r w:rsidRPr="002D4BDA">
              <w:rPr>
                <w:b/>
                <w:bCs/>
              </w:rPr>
              <w:t>Total</w:t>
            </w:r>
          </w:p>
        </w:tc>
        <w:tc>
          <w:tcPr>
            <w:tcW w:w="0" w:type="auto"/>
            <w:vAlign w:val="center"/>
            <w:hideMark/>
          </w:tcPr>
          <w:p w:rsidR="002D4BDA" w:rsidRPr="002D4BDA" w:rsidRDefault="002D4BDA" w:rsidP="002D4BDA">
            <w:r w:rsidRPr="002D4BDA">
              <w:rPr>
                <w:b/>
                <w:bCs/>
              </w:rPr>
              <w:t>$2,500</w:t>
            </w:r>
          </w:p>
        </w:tc>
        <w:tc>
          <w:tcPr>
            <w:tcW w:w="0" w:type="auto"/>
            <w:vAlign w:val="center"/>
            <w:hideMark/>
          </w:tcPr>
          <w:p w:rsidR="002D4BDA" w:rsidRPr="002D4BDA" w:rsidRDefault="002D4BDA" w:rsidP="002D4BDA">
            <w:r w:rsidRPr="002D4BDA">
              <w:rPr>
                <w:b/>
                <w:bCs/>
              </w:rPr>
              <w:t>$14,000</w:t>
            </w:r>
          </w:p>
        </w:tc>
      </w:tr>
    </w:tbl>
    <w:p w:rsidR="002D4BDA" w:rsidRPr="002D4BDA" w:rsidRDefault="002D4BDA" w:rsidP="002D4BDA">
      <w:pPr>
        <w:numPr>
          <w:ilvl w:val="0"/>
          <w:numId w:val="15"/>
        </w:numPr>
      </w:pPr>
      <w:r w:rsidRPr="002D4BDA">
        <w:rPr>
          <w:b/>
          <w:bCs/>
        </w:rPr>
        <w:t>Notes</w:t>
      </w:r>
      <w:r w:rsidRPr="002D4BDA">
        <w:t>: Insurance covered under orchard policy ($12,000/year). Marketing is grassroots (social media, cidery website, community events).</w:t>
      </w:r>
    </w:p>
    <w:p w:rsidR="002D4BDA" w:rsidRPr="002D4BDA" w:rsidRDefault="002D4BDA" w:rsidP="002D4BDA">
      <w:pPr>
        <w:rPr>
          <w:b/>
          <w:bCs/>
        </w:rPr>
      </w:pPr>
      <w:r w:rsidRPr="002D4BDA">
        <w:rPr>
          <w:b/>
          <w:bCs/>
        </w:rPr>
        <w:t>Earnings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852"/>
        <w:gridCol w:w="867"/>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Metric</w:t>
            </w:r>
          </w:p>
        </w:tc>
        <w:tc>
          <w:tcPr>
            <w:tcW w:w="0" w:type="auto"/>
            <w:vAlign w:val="center"/>
            <w:hideMark/>
          </w:tcPr>
          <w:p w:rsidR="002D4BDA" w:rsidRPr="002D4BDA" w:rsidRDefault="002D4BDA" w:rsidP="002D4BDA">
            <w:pPr>
              <w:rPr>
                <w:b/>
                <w:bCs/>
              </w:rPr>
            </w:pPr>
            <w:r w:rsidRPr="002D4BDA">
              <w:rPr>
                <w:b/>
                <w:bCs/>
              </w:rPr>
              <w:t>2026</w:t>
            </w:r>
          </w:p>
        </w:tc>
        <w:tc>
          <w:tcPr>
            <w:tcW w:w="0" w:type="auto"/>
            <w:vAlign w:val="center"/>
            <w:hideMark/>
          </w:tcPr>
          <w:p w:rsidR="002D4BDA" w:rsidRPr="002D4BDA" w:rsidRDefault="002D4BDA" w:rsidP="002D4BDA">
            <w:pPr>
              <w:rPr>
                <w:b/>
                <w:bCs/>
              </w:rPr>
            </w:pPr>
            <w:r w:rsidRPr="002D4BDA">
              <w:rPr>
                <w:b/>
                <w:bCs/>
              </w:rPr>
              <w:t>2029</w:t>
            </w:r>
          </w:p>
        </w:tc>
      </w:tr>
      <w:tr w:rsidR="002D4BDA" w:rsidRPr="002D4BDA" w:rsidTr="002D4BDA">
        <w:trPr>
          <w:tblCellSpacing w:w="15" w:type="dxa"/>
        </w:trPr>
        <w:tc>
          <w:tcPr>
            <w:tcW w:w="0" w:type="auto"/>
            <w:vAlign w:val="center"/>
            <w:hideMark/>
          </w:tcPr>
          <w:p w:rsidR="002D4BDA" w:rsidRPr="002D4BDA" w:rsidRDefault="002D4BDA" w:rsidP="002D4BDA">
            <w:r w:rsidRPr="002D4BDA">
              <w:t>Total Revenue</w:t>
            </w:r>
          </w:p>
        </w:tc>
        <w:tc>
          <w:tcPr>
            <w:tcW w:w="0" w:type="auto"/>
            <w:vAlign w:val="center"/>
            <w:hideMark/>
          </w:tcPr>
          <w:p w:rsidR="002D4BDA" w:rsidRPr="002D4BDA" w:rsidRDefault="002D4BDA" w:rsidP="002D4BDA">
            <w:r w:rsidRPr="002D4BDA">
              <w:t>$48,000</w:t>
            </w:r>
          </w:p>
        </w:tc>
        <w:tc>
          <w:tcPr>
            <w:tcW w:w="0" w:type="auto"/>
            <w:vAlign w:val="center"/>
            <w:hideMark/>
          </w:tcPr>
          <w:p w:rsidR="002D4BDA" w:rsidRPr="002D4BDA" w:rsidRDefault="002D4BDA" w:rsidP="002D4BDA">
            <w:r w:rsidRPr="002D4BDA">
              <w:t>$96,000</w:t>
            </w:r>
          </w:p>
        </w:tc>
      </w:tr>
      <w:tr w:rsidR="002D4BDA" w:rsidRPr="002D4BDA" w:rsidTr="002D4BDA">
        <w:trPr>
          <w:tblCellSpacing w:w="15" w:type="dxa"/>
        </w:trPr>
        <w:tc>
          <w:tcPr>
            <w:tcW w:w="0" w:type="auto"/>
            <w:vAlign w:val="center"/>
            <w:hideMark/>
          </w:tcPr>
          <w:p w:rsidR="002D4BDA" w:rsidRPr="002D4BDA" w:rsidRDefault="002D4BDA" w:rsidP="002D4BDA">
            <w:r w:rsidRPr="002D4BDA">
              <w:t>Total COGS</w:t>
            </w:r>
          </w:p>
        </w:tc>
        <w:tc>
          <w:tcPr>
            <w:tcW w:w="0" w:type="auto"/>
            <w:vAlign w:val="center"/>
            <w:hideMark/>
          </w:tcPr>
          <w:p w:rsidR="002D4BDA" w:rsidRPr="002D4BDA" w:rsidRDefault="002D4BDA" w:rsidP="002D4BDA">
            <w:r w:rsidRPr="002D4BDA">
              <w:t>$12,000</w:t>
            </w:r>
          </w:p>
        </w:tc>
        <w:tc>
          <w:tcPr>
            <w:tcW w:w="0" w:type="auto"/>
            <w:vAlign w:val="center"/>
            <w:hideMark/>
          </w:tcPr>
          <w:p w:rsidR="002D4BDA" w:rsidRPr="002D4BDA" w:rsidRDefault="002D4BDA" w:rsidP="002D4BDA">
            <w:r w:rsidRPr="002D4BDA">
              <w:t>$24,000</w:t>
            </w:r>
          </w:p>
        </w:tc>
      </w:tr>
      <w:tr w:rsidR="002D4BDA" w:rsidRPr="002D4BDA" w:rsidTr="002D4BDA">
        <w:trPr>
          <w:tblCellSpacing w:w="15" w:type="dxa"/>
        </w:trPr>
        <w:tc>
          <w:tcPr>
            <w:tcW w:w="0" w:type="auto"/>
            <w:vAlign w:val="center"/>
            <w:hideMark/>
          </w:tcPr>
          <w:p w:rsidR="002D4BDA" w:rsidRPr="002D4BDA" w:rsidRDefault="002D4BDA" w:rsidP="002D4BDA">
            <w:r w:rsidRPr="002D4BDA">
              <w:t>Gross Profit</w:t>
            </w:r>
          </w:p>
        </w:tc>
        <w:tc>
          <w:tcPr>
            <w:tcW w:w="0" w:type="auto"/>
            <w:vAlign w:val="center"/>
            <w:hideMark/>
          </w:tcPr>
          <w:p w:rsidR="002D4BDA" w:rsidRPr="002D4BDA" w:rsidRDefault="002D4BDA" w:rsidP="002D4BDA">
            <w:r w:rsidRPr="002D4BDA">
              <w:t>$36,000</w:t>
            </w:r>
          </w:p>
        </w:tc>
        <w:tc>
          <w:tcPr>
            <w:tcW w:w="0" w:type="auto"/>
            <w:vAlign w:val="center"/>
            <w:hideMark/>
          </w:tcPr>
          <w:p w:rsidR="002D4BDA" w:rsidRPr="002D4BDA" w:rsidRDefault="002D4BDA" w:rsidP="002D4BDA">
            <w:r w:rsidRPr="002D4BDA">
              <w:t>$72,000</w:t>
            </w:r>
          </w:p>
        </w:tc>
      </w:tr>
      <w:tr w:rsidR="002D4BDA" w:rsidRPr="002D4BDA" w:rsidTr="002D4BDA">
        <w:trPr>
          <w:tblCellSpacing w:w="15" w:type="dxa"/>
        </w:trPr>
        <w:tc>
          <w:tcPr>
            <w:tcW w:w="0" w:type="auto"/>
            <w:vAlign w:val="center"/>
            <w:hideMark/>
          </w:tcPr>
          <w:p w:rsidR="002D4BDA" w:rsidRPr="002D4BDA" w:rsidRDefault="002D4BDA" w:rsidP="002D4BDA">
            <w:r w:rsidRPr="002D4BDA">
              <w:t>Fixed Operating Expenses</w:t>
            </w:r>
          </w:p>
        </w:tc>
        <w:tc>
          <w:tcPr>
            <w:tcW w:w="0" w:type="auto"/>
            <w:vAlign w:val="center"/>
            <w:hideMark/>
          </w:tcPr>
          <w:p w:rsidR="002D4BDA" w:rsidRPr="002D4BDA" w:rsidRDefault="002D4BDA" w:rsidP="002D4BDA">
            <w:r w:rsidRPr="002D4BDA">
              <w:t>$2,500</w:t>
            </w:r>
          </w:p>
        </w:tc>
        <w:tc>
          <w:tcPr>
            <w:tcW w:w="0" w:type="auto"/>
            <w:vAlign w:val="center"/>
            <w:hideMark/>
          </w:tcPr>
          <w:p w:rsidR="002D4BDA" w:rsidRPr="002D4BDA" w:rsidRDefault="002D4BDA" w:rsidP="002D4BDA">
            <w:r w:rsidRPr="002D4BDA">
              <w:t>$14,000</w:t>
            </w:r>
          </w:p>
        </w:tc>
      </w:tr>
      <w:tr w:rsidR="002D4BDA" w:rsidRPr="002D4BDA" w:rsidTr="002D4BDA">
        <w:trPr>
          <w:tblCellSpacing w:w="15" w:type="dxa"/>
        </w:trPr>
        <w:tc>
          <w:tcPr>
            <w:tcW w:w="0" w:type="auto"/>
            <w:vAlign w:val="center"/>
            <w:hideMark/>
          </w:tcPr>
          <w:p w:rsidR="002D4BDA" w:rsidRPr="002D4BDA" w:rsidRDefault="002D4BDA" w:rsidP="002D4BDA">
            <w:r w:rsidRPr="002D4BDA">
              <w:rPr>
                <w:b/>
                <w:bCs/>
              </w:rPr>
              <w:t>EBITDA</w:t>
            </w:r>
          </w:p>
        </w:tc>
        <w:tc>
          <w:tcPr>
            <w:tcW w:w="0" w:type="auto"/>
            <w:vAlign w:val="center"/>
            <w:hideMark/>
          </w:tcPr>
          <w:p w:rsidR="002D4BDA" w:rsidRPr="002D4BDA" w:rsidRDefault="002D4BDA" w:rsidP="002D4BDA">
            <w:r w:rsidRPr="002D4BDA">
              <w:rPr>
                <w:b/>
                <w:bCs/>
              </w:rPr>
              <w:t>$33,500</w:t>
            </w:r>
          </w:p>
        </w:tc>
        <w:tc>
          <w:tcPr>
            <w:tcW w:w="0" w:type="auto"/>
            <w:vAlign w:val="center"/>
            <w:hideMark/>
          </w:tcPr>
          <w:p w:rsidR="002D4BDA" w:rsidRPr="002D4BDA" w:rsidRDefault="002D4BDA" w:rsidP="002D4BDA">
            <w:r w:rsidRPr="002D4BDA">
              <w:rPr>
                <w:b/>
                <w:bCs/>
              </w:rPr>
              <w:t>$58,000</w:t>
            </w:r>
          </w:p>
        </w:tc>
      </w:tr>
    </w:tbl>
    <w:p w:rsidR="002D4BDA" w:rsidRPr="002D4BDA" w:rsidRDefault="002D4BDA" w:rsidP="002D4BDA">
      <w:pPr>
        <w:rPr>
          <w:b/>
          <w:bCs/>
        </w:rPr>
      </w:pPr>
      <w:r w:rsidRPr="002D4BDA">
        <w:rPr>
          <w:b/>
          <w:bCs/>
        </w:rPr>
        <w:t>5-Year Cash Flow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922"/>
        <w:gridCol w:w="865"/>
      </w:tblGrid>
      <w:tr w:rsidR="002D4BDA" w:rsidRPr="002D4BDA" w:rsidTr="002D4BDA">
        <w:trPr>
          <w:tblHeader/>
          <w:tblCellSpacing w:w="15" w:type="dxa"/>
        </w:trPr>
        <w:tc>
          <w:tcPr>
            <w:tcW w:w="0" w:type="auto"/>
            <w:vAlign w:val="center"/>
            <w:hideMark/>
          </w:tcPr>
          <w:p w:rsidR="002D4BDA" w:rsidRPr="002D4BDA" w:rsidRDefault="002D4BDA" w:rsidP="002D4BDA">
            <w:pPr>
              <w:rPr>
                <w:b/>
                <w:bCs/>
              </w:rPr>
            </w:pPr>
            <w:r w:rsidRPr="002D4BDA">
              <w:rPr>
                <w:b/>
                <w:bCs/>
              </w:rPr>
              <w:t>Year</w:t>
            </w:r>
          </w:p>
        </w:tc>
        <w:tc>
          <w:tcPr>
            <w:tcW w:w="0" w:type="auto"/>
            <w:vAlign w:val="center"/>
            <w:hideMark/>
          </w:tcPr>
          <w:p w:rsidR="002D4BDA" w:rsidRPr="002D4BDA" w:rsidRDefault="002D4BDA" w:rsidP="002D4BDA">
            <w:pPr>
              <w:rPr>
                <w:b/>
                <w:bCs/>
              </w:rPr>
            </w:pPr>
            <w:r w:rsidRPr="002D4BDA">
              <w:rPr>
                <w:b/>
                <w:bCs/>
              </w:rPr>
              <w:t>Revenue</w:t>
            </w:r>
          </w:p>
        </w:tc>
        <w:tc>
          <w:tcPr>
            <w:tcW w:w="0" w:type="auto"/>
            <w:vAlign w:val="center"/>
            <w:hideMark/>
          </w:tcPr>
          <w:p w:rsidR="002D4BDA" w:rsidRPr="002D4BDA" w:rsidRDefault="002D4BDA" w:rsidP="002D4BDA">
            <w:pPr>
              <w:rPr>
                <w:b/>
                <w:bCs/>
              </w:rPr>
            </w:pPr>
            <w:r w:rsidRPr="002D4BDA">
              <w:rPr>
                <w:b/>
                <w:bCs/>
              </w:rPr>
              <w:t>EBITDA</w:t>
            </w:r>
          </w:p>
        </w:tc>
      </w:tr>
      <w:tr w:rsidR="002D4BDA" w:rsidRPr="002D4BDA" w:rsidTr="002D4BDA">
        <w:trPr>
          <w:tblCellSpacing w:w="15" w:type="dxa"/>
        </w:trPr>
        <w:tc>
          <w:tcPr>
            <w:tcW w:w="0" w:type="auto"/>
            <w:vAlign w:val="center"/>
            <w:hideMark/>
          </w:tcPr>
          <w:p w:rsidR="002D4BDA" w:rsidRPr="002D4BDA" w:rsidRDefault="002D4BDA" w:rsidP="002D4BDA">
            <w:r w:rsidRPr="002D4BDA">
              <w:t>2025</w:t>
            </w:r>
          </w:p>
        </w:tc>
        <w:tc>
          <w:tcPr>
            <w:tcW w:w="0" w:type="auto"/>
            <w:vAlign w:val="center"/>
            <w:hideMark/>
          </w:tcPr>
          <w:p w:rsidR="002D4BDA" w:rsidRPr="002D4BDA" w:rsidRDefault="002D4BDA" w:rsidP="002D4BDA">
            <w:r w:rsidRPr="002D4BDA">
              <w:t>$24,000</w:t>
            </w:r>
          </w:p>
        </w:tc>
        <w:tc>
          <w:tcPr>
            <w:tcW w:w="0" w:type="auto"/>
            <w:vAlign w:val="center"/>
            <w:hideMark/>
          </w:tcPr>
          <w:p w:rsidR="002D4BDA" w:rsidRPr="002D4BDA" w:rsidRDefault="002D4BDA" w:rsidP="002D4BDA">
            <w:r w:rsidRPr="002D4BDA">
              <w:t>$20,500</w:t>
            </w:r>
          </w:p>
        </w:tc>
      </w:tr>
      <w:tr w:rsidR="002D4BDA" w:rsidRPr="002D4BDA" w:rsidTr="002D4BDA">
        <w:trPr>
          <w:tblCellSpacing w:w="15" w:type="dxa"/>
        </w:trPr>
        <w:tc>
          <w:tcPr>
            <w:tcW w:w="0" w:type="auto"/>
            <w:vAlign w:val="center"/>
            <w:hideMark/>
          </w:tcPr>
          <w:p w:rsidR="002D4BDA" w:rsidRPr="002D4BDA" w:rsidRDefault="002D4BDA" w:rsidP="002D4BDA">
            <w:r w:rsidRPr="002D4BDA">
              <w:t>2026</w:t>
            </w:r>
          </w:p>
        </w:tc>
        <w:tc>
          <w:tcPr>
            <w:tcW w:w="0" w:type="auto"/>
            <w:vAlign w:val="center"/>
            <w:hideMark/>
          </w:tcPr>
          <w:p w:rsidR="002D4BDA" w:rsidRPr="002D4BDA" w:rsidRDefault="002D4BDA" w:rsidP="002D4BDA">
            <w:r w:rsidRPr="002D4BDA">
              <w:t>$48,000</w:t>
            </w:r>
          </w:p>
        </w:tc>
        <w:tc>
          <w:tcPr>
            <w:tcW w:w="0" w:type="auto"/>
            <w:vAlign w:val="center"/>
            <w:hideMark/>
          </w:tcPr>
          <w:p w:rsidR="002D4BDA" w:rsidRPr="002D4BDA" w:rsidRDefault="002D4BDA" w:rsidP="002D4BDA">
            <w:r w:rsidRPr="002D4BDA">
              <w:t>$33,500</w:t>
            </w:r>
          </w:p>
        </w:tc>
      </w:tr>
      <w:tr w:rsidR="002D4BDA" w:rsidRPr="002D4BDA" w:rsidTr="002D4BDA">
        <w:trPr>
          <w:tblCellSpacing w:w="15" w:type="dxa"/>
        </w:trPr>
        <w:tc>
          <w:tcPr>
            <w:tcW w:w="0" w:type="auto"/>
            <w:vAlign w:val="center"/>
            <w:hideMark/>
          </w:tcPr>
          <w:p w:rsidR="002D4BDA" w:rsidRPr="002D4BDA" w:rsidRDefault="002D4BDA" w:rsidP="002D4BDA">
            <w:r w:rsidRPr="002D4BDA">
              <w:t>2027</w:t>
            </w:r>
          </w:p>
        </w:tc>
        <w:tc>
          <w:tcPr>
            <w:tcW w:w="0" w:type="auto"/>
            <w:vAlign w:val="center"/>
            <w:hideMark/>
          </w:tcPr>
          <w:p w:rsidR="002D4BDA" w:rsidRPr="002D4BDA" w:rsidRDefault="002D4BDA" w:rsidP="002D4BDA">
            <w:r w:rsidRPr="002D4BDA">
              <w:t>$72,000</w:t>
            </w:r>
          </w:p>
        </w:tc>
        <w:tc>
          <w:tcPr>
            <w:tcW w:w="0" w:type="auto"/>
            <w:vAlign w:val="center"/>
            <w:hideMark/>
          </w:tcPr>
          <w:p w:rsidR="002D4BDA" w:rsidRPr="002D4BDA" w:rsidRDefault="002D4BDA" w:rsidP="002D4BDA">
            <w:r w:rsidRPr="002D4BDA">
              <w:t>$49,500</w:t>
            </w:r>
          </w:p>
        </w:tc>
      </w:tr>
      <w:tr w:rsidR="002D4BDA" w:rsidRPr="002D4BDA" w:rsidTr="002D4BDA">
        <w:trPr>
          <w:tblCellSpacing w:w="15" w:type="dxa"/>
        </w:trPr>
        <w:tc>
          <w:tcPr>
            <w:tcW w:w="0" w:type="auto"/>
            <w:vAlign w:val="center"/>
            <w:hideMark/>
          </w:tcPr>
          <w:p w:rsidR="002D4BDA" w:rsidRPr="002D4BDA" w:rsidRDefault="002D4BDA" w:rsidP="002D4BDA">
            <w:r w:rsidRPr="002D4BDA">
              <w:t>2028</w:t>
            </w:r>
          </w:p>
        </w:tc>
        <w:tc>
          <w:tcPr>
            <w:tcW w:w="0" w:type="auto"/>
            <w:vAlign w:val="center"/>
            <w:hideMark/>
          </w:tcPr>
          <w:p w:rsidR="002D4BDA" w:rsidRPr="002D4BDA" w:rsidRDefault="002D4BDA" w:rsidP="002D4BDA">
            <w:r w:rsidRPr="002D4BDA">
              <w:t>$84,000</w:t>
            </w:r>
          </w:p>
        </w:tc>
        <w:tc>
          <w:tcPr>
            <w:tcW w:w="0" w:type="auto"/>
            <w:vAlign w:val="center"/>
            <w:hideMark/>
          </w:tcPr>
          <w:p w:rsidR="002D4BDA" w:rsidRPr="002D4BDA" w:rsidRDefault="002D4BDA" w:rsidP="002D4BDA">
            <w:r w:rsidRPr="002D4BDA">
              <w:t>$57,000</w:t>
            </w:r>
          </w:p>
        </w:tc>
      </w:tr>
      <w:tr w:rsidR="002D4BDA" w:rsidRPr="002D4BDA" w:rsidTr="002D4BDA">
        <w:trPr>
          <w:tblCellSpacing w:w="15" w:type="dxa"/>
        </w:trPr>
        <w:tc>
          <w:tcPr>
            <w:tcW w:w="0" w:type="auto"/>
            <w:vAlign w:val="center"/>
            <w:hideMark/>
          </w:tcPr>
          <w:p w:rsidR="002D4BDA" w:rsidRPr="002D4BDA" w:rsidRDefault="002D4BDA" w:rsidP="002D4BDA">
            <w:r w:rsidRPr="002D4BDA">
              <w:lastRenderedPageBreak/>
              <w:t>2029</w:t>
            </w:r>
          </w:p>
        </w:tc>
        <w:tc>
          <w:tcPr>
            <w:tcW w:w="0" w:type="auto"/>
            <w:vAlign w:val="center"/>
            <w:hideMark/>
          </w:tcPr>
          <w:p w:rsidR="002D4BDA" w:rsidRPr="002D4BDA" w:rsidRDefault="002D4BDA" w:rsidP="002D4BDA">
            <w:r w:rsidRPr="002D4BDA">
              <w:t>$96,000</w:t>
            </w:r>
          </w:p>
        </w:tc>
        <w:tc>
          <w:tcPr>
            <w:tcW w:w="0" w:type="auto"/>
            <w:vAlign w:val="center"/>
            <w:hideMark/>
          </w:tcPr>
          <w:p w:rsidR="002D4BDA" w:rsidRPr="002D4BDA" w:rsidRDefault="002D4BDA" w:rsidP="002D4BDA">
            <w:r w:rsidRPr="002D4BDA">
              <w:t>$58,000</w:t>
            </w:r>
          </w:p>
        </w:tc>
      </w:tr>
    </w:tbl>
    <w:p w:rsidR="002D4BDA" w:rsidRPr="002D4BDA" w:rsidRDefault="002D4BDA" w:rsidP="002D4BDA">
      <w:pPr>
        <w:rPr>
          <w:b/>
          <w:bCs/>
        </w:rPr>
      </w:pPr>
      <w:r w:rsidRPr="002D4BDA">
        <w:rPr>
          <w:b/>
          <w:bCs/>
        </w:rPr>
        <w:t>Financing Strategy</w:t>
      </w:r>
    </w:p>
    <w:p w:rsidR="002D4BDA" w:rsidRPr="002D4BDA" w:rsidRDefault="002D4BDA" w:rsidP="002D4BDA">
      <w:pPr>
        <w:numPr>
          <w:ilvl w:val="0"/>
          <w:numId w:val="16"/>
        </w:numPr>
      </w:pPr>
      <w:r w:rsidRPr="002D4BDA">
        <w:rPr>
          <w:b/>
          <w:bCs/>
        </w:rPr>
        <w:t>Startup Funding</w:t>
      </w:r>
      <w:r w:rsidRPr="002D4BDA">
        <w:t>: $15,000 family cash.</w:t>
      </w:r>
    </w:p>
    <w:p w:rsidR="002D4BDA" w:rsidRPr="002D4BDA" w:rsidRDefault="002D4BDA" w:rsidP="002D4BDA">
      <w:pPr>
        <w:numPr>
          <w:ilvl w:val="0"/>
          <w:numId w:val="16"/>
        </w:numPr>
      </w:pPr>
      <w:r w:rsidRPr="002D4BDA">
        <w:rPr>
          <w:b/>
          <w:bCs/>
        </w:rPr>
        <w:t>Break-Even Analysis</w:t>
      </w:r>
      <w:r w:rsidRPr="002D4BDA">
        <w:t>: ~20 pieces/year in 2025 ($200 avg., 25% COGS, $2,500 fixed expenses); achieved in first quarter.</w:t>
      </w:r>
    </w:p>
    <w:p w:rsidR="002D4BDA" w:rsidRPr="002D4BDA" w:rsidRDefault="002D4BDA" w:rsidP="002D4BDA">
      <w:pPr>
        <w:numPr>
          <w:ilvl w:val="0"/>
          <w:numId w:val="16"/>
        </w:numPr>
      </w:pPr>
      <w:r w:rsidRPr="002D4BDA">
        <w:rPr>
          <w:b/>
          <w:bCs/>
        </w:rPr>
        <w:t>Synergies</w:t>
      </w:r>
      <w:r w:rsidRPr="002D4BDA">
        <w:t>: No rent (barn), utilities/insurance under cidery, free marketing via Colonial Cider website and farmstand.</w:t>
      </w:r>
    </w:p>
    <w:p w:rsidR="002D4BDA" w:rsidRPr="002D4BDA" w:rsidRDefault="002D4BDA" w:rsidP="002D4BDA">
      <w:pPr>
        <w:rPr>
          <w:b/>
          <w:bCs/>
        </w:rPr>
      </w:pPr>
      <w:r w:rsidRPr="002D4BDA">
        <w:rPr>
          <w:b/>
          <w:bCs/>
        </w:rPr>
        <w:t>Appendix</w:t>
      </w:r>
    </w:p>
    <w:p w:rsidR="002D4BDA" w:rsidRPr="002D4BDA" w:rsidRDefault="002D4BDA" w:rsidP="002D4BDA">
      <w:pPr>
        <w:numPr>
          <w:ilvl w:val="0"/>
          <w:numId w:val="17"/>
        </w:numPr>
      </w:pPr>
      <w:r w:rsidRPr="002D4BDA">
        <w:t>Sample furniture restoration portfolio (before/after photos).</w:t>
      </w:r>
    </w:p>
    <w:p w:rsidR="002D4BDA" w:rsidRPr="002D4BDA" w:rsidRDefault="002D4BDA" w:rsidP="002D4BDA">
      <w:pPr>
        <w:numPr>
          <w:ilvl w:val="0"/>
          <w:numId w:val="17"/>
        </w:numPr>
      </w:pPr>
      <w:r w:rsidRPr="002D4BDA">
        <w:t>Kinnelon community engagement plan (social media posts, event schedule).</w:t>
      </w:r>
    </w:p>
    <w:p w:rsidR="002D4BDA" w:rsidRPr="002D4BDA" w:rsidRDefault="002D4BDA" w:rsidP="002D4BDA">
      <w:pPr>
        <w:numPr>
          <w:ilvl w:val="0"/>
          <w:numId w:val="17"/>
        </w:numPr>
      </w:pPr>
      <w:r w:rsidRPr="002D4BDA">
        <w:t>Equipment inventory and maintenance schedule.</w:t>
      </w:r>
    </w:p>
    <w:p w:rsidR="004F5EC9" w:rsidRDefault="004F5EC9"/>
    <w:sectPr w:rsidR="004F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831"/>
    <w:multiLevelType w:val="multilevel"/>
    <w:tmpl w:val="D9CC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6D2"/>
    <w:multiLevelType w:val="multilevel"/>
    <w:tmpl w:val="7826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9062C"/>
    <w:multiLevelType w:val="multilevel"/>
    <w:tmpl w:val="CA8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531DD"/>
    <w:multiLevelType w:val="multilevel"/>
    <w:tmpl w:val="727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52D95"/>
    <w:multiLevelType w:val="multilevel"/>
    <w:tmpl w:val="C48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91D6F"/>
    <w:multiLevelType w:val="multilevel"/>
    <w:tmpl w:val="DF929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746B4"/>
    <w:multiLevelType w:val="multilevel"/>
    <w:tmpl w:val="6768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200E"/>
    <w:multiLevelType w:val="multilevel"/>
    <w:tmpl w:val="CF7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4CF"/>
    <w:multiLevelType w:val="multilevel"/>
    <w:tmpl w:val="406E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27B7C"/>
    <w:multiLevelType w:val="multilevel"/>
    <w:tmpl w:val="099A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70A8C"/>
    <w:multiLevelType w:val="multilevel"/>
    <w:tmpl w:val="80523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3142E"/>
    <w:multiLevelType w:val="multilevel"/>
    <w:tmpl w:val="A6BA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25783"/>
    <w:multiLevelType w:val="multilevel"/>
    <w:tmpl w:val="EE6C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A51FD"/>
    <w:multiLevelType w:val="multilevel"/>
    <w:tmpl w:val="535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82598"/>
    <w:multiLevelType w:val="multilevel"/>
    <w:tmpl w:val="E83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B3D46"/>
    <w:multiLevelType w:val="multilevel"/>
    <w:tmpl w:val="C67C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437CB"/>
    <w:multiLevelType w:val="multilevel"/>
    <w:tmpl w:val="298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084721">
    <w:abstractNumId w:val="15"/>
  </w:num>
  <w:num w:numId="2" w16cid:durableId="1710641741">
    <w:abstractNumId w:val="0"/>
  </w:num>
  <w:num w:numId="3" w16cid:durableId="1849635106">
    <w:abstractNumId w:val="5"/>
  </w:num>
  <w:num w:numId="4" w16cid:durableId="2089502466">
    <w:abstractNumId w:val="3"/>
  </w:num>
  <w:num w:numId="5" w16cid:durableId="216550544">
    <w:abstractNumId w:val="12"/>
  </w:num>
  <w:num w:numId="6" w16cid:durableId="1529947412">
    <w:abstractNumId w:val="16"/>
  </w:num>
  <w:num w:numId="7" w16cid:durableId="1341085366">
    <w:abstractNumId w:val="8"/>
  </w:num>
  <w:num w:numId="8" w16cid:durableId="2038844359">
    <w:abstractNumId w:val="9"/>
  </w:num>
  <w:num w:numId="9" w16cid:durableId="472017596">
    <w:abstractNumId w:val="11"/>
  </w:num>
  <w:num w:numId="10" w16cid:durableId="335306922">
    <w:abstractNumId w:val="1"/>
  </w:num>
  <w:num w:numId="11" w16cid:durableId="497814836">
    <w:abstractNumId w:val="6"/>
  </w:num>
  <w:num w:numId="12" w16cid:durableId="1183200385">
    <w:abstractNumId w:val="14"/>
  </w:num>
  <w:num w:numId="13" w16cid:durableId="623005893">
    <w:abstractNumId w:val="10"/>
  </w:num>
  <w:num w:numId="14" w16cid:durableId="1189610398">
    <w:abstractNumId w:val="13"/>
  </w:num>
  <w:num w:numId="15" w16cid:durableId="1333140522">
    <w:abstractNumId w:val="7"/>
  </w:num>
  <w:num w:numId="16" w16cid:durableId="542982768">
    <w:abstractNumId w:val="4"/>
  </w:num>
  <w:num w:numId="17" w16cid:durableId="122887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DA"/>
    <w:rsid w:val="00003EE6"/>
    <w:rsid w:val="00106DC6"/>
    <w:rsid w:val="002D4BDA"/>
    <w:rsid w:val="00336FD6"/>
    <w:rsid w:val="004F5EC9"/>
    <w:rsid w:val="00C7179F"/>
    <w:rsid w:val="00CF0713"/>
    <w:rsid w:val="00D40C00"/>
    <w:rsid w:val="00D80B80"/>
    <w:rsid w:val="00DE4037"/>
    <w:rsid w:val="00F2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15F7"/>
  <w15:chartTrackingRefBased/>
  <w15:docId w15:val="{4B948EC7-3739-4F19-AF5A-2C23BD21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B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B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B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B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B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B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B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B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B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BDA"/>
    <w:rPr>
      <w:rFonts w:eastAsiaTheme="majorEastAsia" w:cstheme="majorBidi"/>
      <w:color w:val="272727" w:themeColor="text1" w:themeTint="D8"/>
    </w:rPr>
  </w:style>
  <w:style w:type="paragraph" w:styleId="Title">
    <w:name w:val="Title"/>
    <w:basedOn w:val="Normal"/>
    <w:next w:val="Normal"/>
    <w:link w:val="TitleChar"/>
    <w:uiPriority w:val="10"/>
    <w:qFormat/>
    <w:rsid w:val="002D4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BDA"/>
    <w:pPr>
      <w:spacing w:before="160"/>
      <w:jc w:val="center"/>
    </w:pPr>
    <w:rPr>
      <w:i/>
      <w:iCs/>
      <w:color w:val="404040" w:themeColor="text1" w:themeTint="BF"/>
    </w:rPr>
  </w:style>
  <w:style w:type="character" w:customStyle="1" w:styleId="QuoteChar">
    <w:name w:val="Quote Char"/>
    <w:basedOn w:val="DefaultParagraphFont"/>
    <w:link w:val="Quote"/>
    <w:uiPriority w:val="29"/>
    <w:rsid w:val="002D4BDA"/>
    <w:rPr>
      <w:i/>
      <w:iCs/>
      <w:color w:val="404040" w:themeColor="text1" w:themeTint="BF"/>
    </w:rPr>
  </w:style>
  <w:style w:type="paragraph" w:styleId="ListParagraph">
    <w:name w:val="List Paragraph"/>
    <w:basedOn w:val="Normal"/>
    <w:uiPriority w:val="34"/>
    <w:qFormat/>
    <w:rsid w:val="002D4BDA"/>
    <w:pPr>
      <w:ind w:left="720"/>
      <w:contextualSpacing/>
    </w:pPr>
  </w:style>
  <w:style w:type="character" w:styleId="IntenseEmphasis">
    <w:name w:val="Intense Emphasis"/>
    <w:basedOn w:val="DefaultParagraphFont"/>
    <w:uiPriority w:val="21"/>
    <w:qFormat/>
    <w:rsid w:val="002D4BDA"/>
    <w:rPr>
      <w:i/>
      <w:iCs/>
      <w:color w:val="2F5496" w:themeColor="accent1" w:themeShade="BF"/>
    </w:rPr>
  </w:style>
  <w:style w:type="paragraph" w:styleId="IntenseQuote">
    <w:name w:val="Intense Quote"/>
    <w:basedOn w:val="Normal"/>
    <w:next w:val="Normal"/>
    <w:link w:val="IntenseQuoteChar"/>
    <w:uiPriority w:val="30"/>
    <w:qFormat/>
    <w:rsid w:val="002D4B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BDA"/>
    <w:rPr>
      <w:i/>
      <w:iCs/>
      <w:color w:val="2F5496" w:themeColor="accent1" w:themeShade="BF"/>
    </w:rPr>
  </w:style>
  <w:style w:type="character" w:styleId="IntenseReference">
    <w:name w:val="Intense Reference"/>
    <w:basedOn w:val="DefaultParagraphFont"/>
    <w:uiPriority w:val="32"/>
    <w:qFormat/>
    <w:rsid w:val="002D4B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08680">
      <w:bodyDiv w:val="1"/>
      <w:marLeft w:val="0"/>
      <w:marRight w:val="0"/>
      <w:marTop w:val="0"/>
      <w:marBottom w:val="0"/>
      <w:divBdr>
        <w:top w:val="none" w:sz="0" w:space="0" w:color="auto"/>
        <w:left w:val="none" w:sz="0" w:space="0" w:color="auto"/>
        <w:bottom w:val="none" w:sz="0" w:space="0" w:color="auto"/>
        <w:right w:val="none" w:sz="0" w:space="0" w:color="auto"/>
      </w:divBdr>
    </w:div>
    <w:div w:id="15198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24Golf Foultz</dc:creator>
  <cp:keywords/>
  <dc:description/>
  <cp:lastModifiedBy>24Golf Foultz</cp:lastModifiedBy>
  <cp:revision>2</cp:revision>
  <dcterms:created xsi:type="dcterms:W3CDTF">2025-06-06T15:38:00Z</dcterms:created>
  <dcterms:modified xsi:type="dcterms:W3CDTF">2025-06-06T15:38:00Z</dcterms:modified>
</cp:coreProperties>
</file>