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B365D"/>
          <w:sz w:val="40"/>
        </w:rPr>
        <w:t>TỔNG QUAN VỀ CÁC QUỐC GIA THEO THỂ CHẾ QUÂN CHỦ LẬP HIẾN</w:t>
      </w:r>
    </w:p>
    <w:p>
      <w:pPr>
        <w:spacing w:after="360"/>
      </w:pPr>
      <w:r>
        <w:rPr>
          <w:i/>
          <w:color w:val="4B6B94"/>
          <w:sz w:val="24"/>
        </w:rPr>
        <w:t>Tài liệu tra cứu hệ thống chính trị và danh sách các quốc gia hiện tại</w:t>
      </w:r>
    </w:p>
    <w:p>
      <w:pPr>
        <w:keepNext/>
        <w:spacing w:before="280" w:after="120"/>
      </w:pPr>
      <w:r>
        <w:rPr>
          <w:b/>
          <w:color w:val="1B365D"/>
          <w:sz w:val="28"/>
        </w:rPr>
        <w:t>1. Khái niệm Quân chủ Lập hiến là gì?</w:t>
      </w:r>
    </w:p>
    <w:p>
      <w:pPr>
        <w:spacing w:after="160" w:line="276" w:lineRule="auto"/>
      </w:pPr>
      <w:r>
        <w:t>Quân chủ lập hiến (hay Quân chủ đại nghị) là hình thức thể chế chính trị trong đó Nhà vua hoặc Nữ hoàng là Nguyên thủ quốc gia, nhưng quyền lực của Vua bị giới hạn bởi Hiến pháp và Pháp luật. Trong phần lớn các quốc gia này, quyền lực thực tế thuộc về Quốc hội và Chính phủ do Thủ tướng đứng đầu.</w:t>
      </w:r>
    </w:p>
    <w:tbl>
      <w:tblPr>
        <w:tblW w:type="auto" w:w="0"/>
        <w:jc w:val="center"/>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Pr>
          <w:p>
            <w:pPr>
              <w:spacing w:before="120" w:after="120"/>
              <w:ind w:left="144" w:right="144"/>
            </w:pPr>
            <w:r>
              <w:rPr>
                <w:b/>
                <w:color w:val="1B365D"/>
              </w:rPr>
              <w:t xml:space="preserve">Đặc điểm cốt lõi: </w:t>
            </w:r>
            <w:r>
              <w:t>“Nhà vua trị vì nhưng không cai trị” (The King reigns, but does not rule). Nguyên thủ quốc gia đóng vai trò biểu tượng cho sự đoàn kết, truyền thống văn hóa và thực hiện các chức năng lễ nghi đối ngoại.</w:t>
            </w:r>
          </w:p>
        </w:tc>
      </w:tr>
    </w:tbl>
    <w:p>
      <w:pPr>
        <w:spacing w:after="160"/>
      </w:pPr>
    </w:p>
    <w:p>
      <w:pPr>
        <w:keepNext/>
        <w:spacing w:before="280" w:after="120"/>
      </w:pPr>
      <w:r>
        <w:rPr>
          <w:b/>
          <w:color w:val="1B365D"/>
          <w:sz w:val="28"/>
        </w:rPr>
        <w:t>2. Các Quốc gia theo Thể chế Quân chủ Lập hiến Tiêu biểu</w:t>
      </w:r>
    </w:p>
    <w:p>
      <w:pPr>
        <w:keepNext/>
        <w:spacing w:before="160" w:after="80"/>
      </w:pPr>
      <w:r>
        <w:rPr>
          <w:b/>
          <w:color w:val="4B6B94"/>
          <w:sz w:val="24"/>
        </w:rPr>
        <w:t>• Châu Á</w:t>
      </w:r>
    </w:p>
    <w:p>
      <w:pPr>
        <w:spacing w:after="60" w:line="276" w:lineRule="auto"/>
        <w:ind w:left="360"/>
      </w:pPr>
      <w:r>
        <w:rPr>
          <w:b/>
          <w:color w:val="222222"/>
        </w:rPr>
        <w:t xml:space="preserve">Nhật Bản: </w:t>
      </w:r>
      <w:r>
        <w:rPr>
          <w:color w:val="555555"/>
        </w:rPr>
        <w:t>Thiên hoàng (hiện là Thiên hoàng Naruhito) đóng vai trò là biểu tượng của nhà nước.</w:t>
      </w:r>
    </w:p>
    <w:p>
      <w:pPr>
        <w:spacing w:after="60" w:line="276" w:lineRule="auto"/>
        <w:ind w:left="360"/>
      </w:pPr>
      <w:r>
        <w:rPr>
          <w:b/>
          <w:color w:val="222222"/>
        </w:rPr>
        <w:t xml:space="preserve">Thái Lan: </w:t>
      </w:r>
      <w:r>
        <w:rPr>
          <w:color w:val="555555"/>
        </w:rPr>
        <w:t>Nhà vua có vị trí kính trọng cao và ảnh hưởng xã hội - chính trị sâu rộng.</w:t>
      </w:r>
    </w:p>
    <w:p>
      <w:pPr>
        <w:spacing w:after="60" w:line="276" w:lineRule="auto"/>
        <w:ind w:left="360"/>
      </w:pPr>
      <w:r>
        <w:rPr>
          <w:b/>
          <w:color w:val="222222"/>
        </w:rPr>
        <w:t xml:space="preserve">Malaysia: </w:t>
      </w:r>
      <w:r>
        <w:rPr>
          <w:color w:val="555555"/>
        </w:rPr>
        <w:t>Hệ thống độc đáo: Luân phiên chọn Quốc vương từ 9 tiểu vương bang mỗi 5 năm.</w:t>
      </w:r>
    </w:p>
    <w:p>
      <w:pPr>
        <w:spacing w:after="60" w:line="276" w:lineRule="auto"/>
        <w:ind w:left="360"/>
      </w:pPr>
      <w:r>
        <w:rPr>
          <w:b/>
          <w:color w:val="222222"/>
        </w:rPr>
        <w:t xml:space="preserve">Các quốc gia khác: </w:t>
      </w:r>
      <w:r>
        <w:rPr>
          <w:color w:val="555555"/>
        </w:rPr>
        <w:t>Campuchia, Bhutan, Jordan, Kuwait, Bahrain.</w:t>
      </w:r>
    </w:p>
    <w:p>
      <w:pPr>
        <w:keepNext/>
        <w:spacing w:before="160" w:after="80"/>
      </w:pPr>
      <w:r>
        <w:rPr>
          <w:b/>
          <w:color w:val="4B6B94"/>
          <w:sz w:val="24"/>
        </w:rPr>
        <w:t>• Châu Âu</w:t>
      </w:r>
    </w:p>
    <w:p>
      <w:pPr>
        <w:spacing w:after="60" w:line="276" w:lineRule="auto"/>
        <w:ind w:left="360"/>
      </w:pPr>
      <w:r>
        <w:rPr>
          <w:b/>
          <w:color w:val="222222"/>
        </w:rPr>
        <w:t xml:space="preserve">Vương quốc Anh: </w:t>
      </w:r>
      <w:r>
        <w:rPr>
          <w:color w:val="555555"/>
        </w:rPr>
        <w:t>Mô hình điển hình nhất, nguyên thủ hiện tại là Vua Charles III.</w:t>
      </w:r>
    </w:p>
    <w:p>
      <w:pPr>
        <w:spacing w:after="60" w:line="276" w:lineRule="auto"/>
        <w:ind w:left="360"/>
      </w:pPr>
      <w:r>
        <w:rPr>
          <w:b/>
          <w:color w:val="222222"/>
        </w:rPr>
        <w:t xml:space="preserve">Bắc Âu: </w:t>
      </w:r>
      <w:r>
        <w:rPr>
          <w:color w:val="555555"/>
        </w:rPr>
        <w:t>Hà Lan, Na Uy, Thụy Điển, Đan Mạch, Bỉ.</w:t>
      </w:r>
    </w:p>
    <w:p>
      <w:pPr>
        <w:spacing w:after="60" w:line="276" w:lineRule="auto"/>
        <w:ind w:left="360"/>
      </w:pPr>
      <w:r>
        <w:rPr>
          <w:b/>
          <w:color w:val="222222"/>
        </w:rPr>
        <w:t xml:space="preserve">Các quốc gia khác: </w:t>
      </w:r>
      <w:r>
        <w:rPr>
          <w:color w:val="555555"/>
        </w:rPr>
        <w:t>Tây Ban Nha, Monaco, Liechtenstein, Luxembourg (Đại công quốc).</w:t>
      </w:r>
    </w:p>
    <w:p>
      <w:pPr>
        <w:keepNext/>
        <w:spacing w:before="160" w:after="80"/>
      </w:pPr>
      <w:r>
        <w:rPr>
          <w:b/>
          <w:color w:val="4B6B94"/>
          <w:sz w:val="24"/>
        </w:rPr>
        <w:t>• Khối Thịnh vượng chung &amp; Châu Đại Dương</w:t>
      </w:r>
    </w:p>
    <w:p>
      <w:pPr>
        <w:spacing w:after="60" w:line="276" w:lineRule="auto"/>
        <w:ind w:left="360"/>
      </w:pPr>
      <w:r>
        <w:rPr>
          <w:b/>
          <w:color w:val="222222"/>
        </w:rPr>
        <w:t xml:space="preserve">Vương quốc Khối Thịnh vượng chung: </w:t>
      </w:r>
      <w:r>
        <w:rPr>
          <w:color w:val="555555"/>
        </w:rPr>
        <w:t>Australia, Canada, New Zealand, Papua New Guinea, Jamaica... công nhận Vua Anh là Nguyên thủ quốc gia.</w:t>
      </w:r>
    </w:p>
    <w:p>
      <w:pPr>
        <w:spacing w:after="60" w:line="276" w:lineRule="auto"/>
        <w:ind w:left="360"/>
      </w:pPr>
      <w:r>
        <w:rPr>
          <w:b/>
          <w:color w:val="222222"/>
        </w:rPr>
        <w:t xml:space="preserve">Tonga: </w:t>
      </w:r>
      <w:r>
        <w:rPr>
          <w:color w:val="555555"/>
        </w:rPr>
        <w:t>Vương quốc độc lập có chế độ quân chủ lập hiến riêng tại Thái Bình Dương.</w:t>
      </w:r>
    </w:p>
    <w:p>
      <w:pPr>
        <w:keepNext/>
        <w:spacing w:before="160" w:after="80"/>
      </w:pPr>
      <w:r>
        <w:rPr>
          <w:b/>
          <w:color w:val="4B6B94"/>
          <w:sz w:val="24"/>
        </w:rPr>
        <w:t>• Châu Phi</w:t>
      </w:r>
    </w:p>
    <w:p>
      <w:pPr>
        <w:spacing w:after="60" w:line="276" w:lineRule="auto"/>
        <w:ind w:left="360"/>
      </w:pPr>
      <w:r>
        <w:rPr>
          <w:b/>
          <w:color w:val="222222"/>
        </w:rPr>
        <w:t xml:space="preserve">Lesotho: </w:t>
      </w:r>
      <w:r>
        <w:rPr>
          <w:color w:val="555555"/>
        </w:rPr>
        <w:t>Vương quốc nằm trọn bên trong lãnh thổ Nam Phi.</w:t>
      </w:r>
    </w:p>
    <w:p>
      <w:pPr>
        <w:spacing w:after="60" w:line="276" w:lineRule="auto"/>
        <w:ind w:left="360"/>
      </w:pPr>
      <w:r>
        <w:rPr>
          <w:b/>
          <w:color w:val="222222"/>
        </w:rPr>
        <w:t xml:space="preserve">Ma-rốc (Morocco): </w:t>
      </w:r>
      <w:r>
        <w:rPr>
          <w:color w:val="555555"/>
        </w:rPr>
        <w:t>Nhà vua nắm giữ một số quyền hạn hành pháp và tôn giáo đáng kể.</w:t>
      </w:r>
    </w:p>
    <w:p>
      <w:pPr>
        <w:keepNext/>
        <w:spacing w:before="320" w:after="120"/>
      </w:pPr>
      <w:r>
        <w:rPr>
          <w:b/>
          <w:color w:val="1B365D"/>
          <w:sz w:val="28"/>
        </w:rPr>
        <w:t>3. Bảng Tóm tắt Thông tin Một số Quốc gia</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E1E4E8"/>
          <w:insideV w:val="none"/>
          <w:left w:val="none"/>
          <w:right w:val="none"/>
        </w:tblBorders>
      </w:tblPr>
      <w:tblGrid>
        <w:gridCol w:w="3120"/>
        <w:gridCol w:w="3120"/>
        <w:gridCol w:w="3120"/>
      </w:tblGrid>
      <w:tr>
        <w:tc>
          <w:tcPr>
            <w:tcW w:type="dxa" w:w="2880"/>
            <w:shd w:fill="1B365D"/>
          </w:tcPr>
          <w:p>
            <w:pPr>
              <w:jc w:val="left"/>
            </w:pPr>
            <w:r>
              <w:rPr>
                <w:b/>
                <w:color w:val="FFFFFF"/>
                <w:sz w:val="20"/>
              </w:rPr>
              <w:t>Quốc gia</w:t>
            </w:r>
          </w:p>
        </w:tc>
        <w:tc>
          <w:tcPr>
            <w:tcW w:type="dxa" w:w="2592"/>
            <w:shd w:fill="1B365D"/>
          </w:tcPr>
          <w:p>
            <w:pPr>
              <w:jc w:val="left"/>
            </w:pPr>
            <w:r>
              <w:rPr>
                <w:b/>
                <w:color w:val="FFFFFF"/>
                <w:sz w:val="20"/>
              </w:rPr>
              <w:t>Khu vực</w:t>
            </w:r>
          </w:p>
        </w:tc>
        <w:tc>
          <w:tcPr>
            <w:tcW w:type="dxa" w:w="3888"/>
            <w:shd w:fill="1B365D"/>
          </w:tcPr>
          <w:p>
            <w:pPr>
              <w:jc w:val="left"/>
            </w:pPr>
            <w:r>
              <w:rPr>
                <w:b/>
                <w:color w:val="FFFFFF"/>
                <w:sz w:val="20"/>
              </w:rPr>
              <w:t>Danh hiệu Nguyên thủ</w:t>
            </w:r>
          </w:p>
        </w:tc>
      </w:tr>
      <w:tr>
        <w:tc>
          <w:tcPr>
            <w:tcW w:type="dxa" w:w="2880"/>
            <w:shd w:fill="FFFFFF"/>
          </w:tcPr>
          <w:p>
            <w:pPr>
              <w:jc w:val="left"/>
            </w:pPr>
            <w:r>
              <w:rPr>
                <w:sz w:val="20"/>
              </w:rPr>
              <w:t>Nhật Bản</w:t>
            </w:r>
          </w:p>
        </w:tc>
        <w:tc>
          <w:tcPr>
            <w:tcW w:type="dxa" w:w="2592"/>
            <w:shd w:fill="FFFFFF"/>
          </w:tcPr>
          <w:p>
            <w:pPr>
              <w:jc w:val="left"/>
            </w:pPr>
            <w:r>
              <w:rPr>
                <w:sz w:val="20"/>
              </w:rPr>
              <w:t>Châu Á</w:t>
            </w:r>
          </w:p>
        </w:tc>
        <w:tc>
          <w:tcPr>
            <w:tcW w:type="dxa" w:w="3888"/>
            <w:shd w:fill="FFFFFF"/>
          </w:tcPr>
          <w:p>
            <w:pPr>
              <w:jc w:val="left"/>
            </w:pPr>
            <w:r>
              <w:rPr>
                <w:sz w:val="20"/>
              </w:rPr>
              <w:t>Thiên hoàng (Emperor)</w:t>
            </w:r>
          </w:p>
        </w:tc>
      </w:tr>
      <w:tr>
        <w:tc>
          <w:tcPr>
            <w:tcW w:type="dxa" w:w="2880"/>
            <w:shd w:fill="F9FAFC"/>
          </w:tcPr>
          <w:p>
            <w:pPr>
              <w:jc w:val="left"/>
            </w:pPr>
            <w:r>
              <w:rPr>
                <w:sz w:val="20"/>
              </w:rPr>
              <w:t>Vương quốc Anh</w:t>
            </w:r>
          </w:p>
        </w:tc>
        <w:tc>
          <w:tcPr>
            <w:tcW w:type="dxa" w:w="2592"/>
            <w:shd w:fill="F9FAFC"/>
          </w:tcPr>
          <w:p>
            <w:pPr>
              <w:jc w:val="left"/>
            </w:pPr>
            <w:r>
              <w:rPr>
                <w:sz w:val="20"/>
              </w:rPr>
              <w:t>Châu Âu</w:t>
            </w:r>
          </w:p>
        </w:tc>
        <w:tc>
          <w:tcPr>
            <w:tcW w:type="dxa" w:w="3888"/>
            <w:shd w:fill="F9FAFC"/>
          </w:tcPr>
          <w:p>
            <w:pPr>
              <w:jc w:val="left"/>
            </w:pPr>
            <w:r>
              <w:rPr>
                <w:sz w:val="20"/>
              </w:rPr>
              <w:t>Quốc vương / Nữ hoàng (King/Queen)</w:t>
            </w:r>
          </w:p>
        </w:tc>
      </w:tr>
      <w:tr>
        <w:tc>
          <w:tcPr>
            <w:tcW w:type="dxa" w:w="2880"/>
            <w:shd w:fill="FFFFFF"/>
          </w:tcPr>
          <w:p>
            <w:pPr>
              <w:jc w:val="left"/>
            </w:pPr>
            <w:r>
              <w:rPr>
                <w:sz w:val="20"/>
              </w:rPr>
              <w:t>Thái Lan</w:t>
            </w:r>
          </w:p>
        </w:tc>
        <w:tc>
          <w:tcPr>
            <w:tcW w:type="dxa" w:w="2592"/>
            <w:shd w:fill="FFFFFF"/>
          </w:tcPr>
          <w:p>
            <w:pPr>
              <w:jc w:val="left"/>
            </w:pPr>
            <w:r>
              <w:rPr>
                <w:sz w:val="20"/>
              </w:rPr>
              <w:t>Châu Á</w:t>
            </w:r>
          </w:p>
        </w:tc>
        <w:tc>
          <w:tcPr>
            <w:tcW w:type="dxa" w:w="3888"/>
            <w:shd w:fill="FFFFFF"/>
          </w:tcPr>
          <w:p>
            <w:pPr>
              <w:jc w:val="left"/>
            </w:pPr>
            <w:r>
              <w:rPr>
                <w:sz w:val="20"/>
              </w:rPr>
              <w:t>Quốc vương (King)</w:t>
            </w:r>
          </w:p>
        </w:tc>
      </w:tr>
      <w:tr>
        <w:tc>
          <w:tcPr>
            <w:tcW w:type="dxa" w:w="2880"/>
            <w:shd w:fill="F9FAFC"/>
          </w:tcPr>
          <w:p>
            <w:pPr>
              <w:jc w:val="left"/>
            </w:pPr>
            <w:r>
              <w:rPr>
                <w:sz w:val="20"/>
              </w:rPr>
              <w:t>Malaysia</w:t>
            </w:r>
          </w:p>
        </w:tc>
        <w:tc>
          <w:tcPr>
            <w:tcW w:type="dxa" w:w="2592"/>
            <w:shd w:fill="F9FAFC"/>
          </w:tcPr>
          <w:p>
            <w:pPr>
              <w:jc w:val="left"/>
            </w:pPr>
            <w:r>
              <w:rPr>
                <w:sz w:val="20"/>
              </w:rPr>
              <w:t>Châu Á</w:t>
            </w:r>
          </w:p>
        </w:tc>
        <w:tc>
          <w:tcPr>
            <w:tcW w:type="dxa" w:w="3888"/>
            <w:shd w:fill="F9FAFC"/>
          </w:tcPr>
          <w:p>
            <w:pPr>
              <w:jc w:val="left"/>
            </w:pPr>
            <w:r>
              <w:rPr>
                <w:sz w:val="20"/>
              </w:rPr>
              <w:t>Yang di-Pertuan Agong (Quốc vương luân phiên)</w:t>
            </w:r>
          </w:p>
        </w:tc>
      </w:tr>
      <w:tr>
        <w:tc>
          <w:tcPr>
            <w:tcW w:type="dxa" w:w="2880"/>
            <w:shd w:fill="FFFFFF"/>
          </w:tcPr>
          <w:p>
            <w:pPr>
              <w:jc w:val="left"/>
            </w:pPr>
            <w:r>
              <w:rPr>
                <w:sz w:val="20"/>
              </w:rPr>
              <w:t>Tây Ban Nha</w:t>
            </w:r>
          </w:p>
        </w:tc>
        <w:tc>
          <w:tcPr>
            <w:tcW w:type="dxa" w:w="2592"/>
            <w:shd w:fill="FFFFFF"/>
          </w:tcPr>
          <w:p>
            <w:pPr>
              <w:jc w:val="left"/>
            </w:pPr>
            <w:r>
              <w:rPr>
                <w:sz w:val="20"/>
              </w:rPr>
              <w:t>Châu Âu</w:t>
            </w:r>
          </w:p>
        </w:tc>
        <w:tc>
          <w:tcPr>
            <w:tcW w:type="dxa" w:w="3888"/>
            <w:shd w:fill="FFFFFF"/>
          </w:tcPr>
          <w:p>
            <w:pPr>
              <w:jc w:val="left"/>
            </w:pPr>
            <w:r>
              <w:rPr>
                <w:sz w:val="20"/>
              </w:rPr>
              <w:t>Quốc vương (King)</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