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DOCUMENTO DE PLANIFICACIÓN DEL PROYECTO</w:t>
      </w:r>
    </w:p>
    <w:p>
      <w:pPr>
        <w:spacing w:after="60"/>
        <w:jc w:val="center"/>
      </w:pPr>
      <w:r>
        <w:rPr>
          <w:rFonts w:ascii="Calibri" w:cs="Calibri" w:eastAsia="Calibri" w:hAnsi="Calibri"/>
          <w:color w:val="444444"/>
          <w:sz w:val="28"/>
          <w:szCs w:val="28"/>
        </w:rPr>
        <w:t xml:space="preserve">Plataforma de Tutorías entre Estudiantes</w:t>
      </w:r>
    </w:p>
    <w:p>
      <w:pPr>
        <w:pBdr>
          <w:bottom w:val="single" w:color="1F4E79" w:sz="8" w:space="8"/>
        </w:pBdr>
        <w:spacing w:after="300"/>
        <w:jc w:val="center"/>
      </w:pPr>
      <w:r>
        <w:rPr>
          <w:rFonts w:ascii="Calibri" w:cs="Calibri" w:eastAsia="Calibri" w:hAnsi="Calibri"/>
          <w:i/>
          <w:iCs/>
          <w:color w:val="666666"/>
          <w:sz w:val="20"/>
          <w:szCs w:val="20"/>
        </w:rPr>
        <w:t xml:space="preserve">Portafolio de Título · Ingeniería en Informática · Duoc UC</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960"/>
      </w:tblGrid>
      <w:tr>
        <w:trPr>
          <w:cantSplit/>
          <w:tblHeader/>
        </w:trPr>
        <w:tc>
          <w:tcPr>
            <w:tcW w:type="dxa" w:w="2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Campo</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Sección del documento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Pilar 1 — Definición del Alcance (el "qué")</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Versión</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1.7 — datos del registro</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Fecha</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25 de septiembre de 2026 (versión 1.0: 1 de septiembre de 2026)</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Equipo</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Damaris Iriarte – Francisco Tejeda – Bryan Bacchi</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Duración planificada</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12 semanas desde el 7 de septiembre de 2026, con el desarrollo en 5 sprints de 2 semanas</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Metodología</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Scrum</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Estado</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Planificación cerrada, sin puntos abiertos: P1 v1.7, P2 v1.7, P3 v1.7, P4 v1.6 y P5 v1.5, con el anexo A del Pilar 2 en su versión 1.4.</w:t>
            </w:r>
          </w:p>
        </w:tc>
      </w:tr>
    </w:tbl>
    <w:p>
      <w:pPr>
        <w:pStyle w:val="Heading1"/>
      </w:pPr>
      <w:r>
        <w:rPr>
          <w:rFonts w:ascii="Calibri" w:cs="Calibri" w:eastAsia="Calibri" w:hAnsi="Calibri"/>
        </w:rPr>
        <w:t xml:space="preserve">Contenido de la planificación</w:t>
      </w:r>
    </w:p>
    <w:p>
      <w:pPr>
        <w:keepNext w:val="false"/>
        <w:spacing w:after="120" w:before="0" w:line="276"/>
        <w:jc w:val="both"/>
      </w:pPr>
      <w:r>
        <w:rPr>
          <w:rFonts w:ascii="Calibri" w:cs="Calibri" w:eastAsia="Calibri" w:hAnsi="Calibri"/>
          <w:b w:val="false"/>
          <w:bCs w:val="false"/>
          <w:i w:val="false"/>
          <w:iCs w:val="false"/>
          <w:sz w:val="22"/>
          <w:szCs w:val="22"/>
        </w:rPr>
        <w:t xml:space="preserve">Este documento se construye por pilares. Cada pilar se cierra con las decisiones del equipo antes de avanzar al siguiente.</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800"/>
        <w:gridCol w:w="5360"/>
        <w:gridCol w:w="3200"/>
      </w:tblGrid>
      <w:tr>
        <w:trPr>
          <w:cantSplit/>
          <w:tblHeader/>
        </w:trPr>
        <w:tc>
          <w:tcPr>
            <w:tcW w:type="dxa" w:w="8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N.º</w:t>
            </w:r>
          </w:p>
        </w:tc>
        <w:tc>
          <w:tcPr>
            <w:tcW w:type="dxa" w:w="53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Pilar</w:t>
            </w:r>
          </w:p>
        </w:tc>
        <w:tc>
          <w:tcPr>
            <w:tcW w:type="dxa" w:w="32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Estado</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w:t>
            </w:r>
          </w:p>
        </w:tc>
        <w:tc>
          <w:tcPr>
            <w:tcW w:type="dxa" w:w="53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Definición del alcance (el "qué")</w:t>
            </w:r>
          </w:p>
        </w:tc>
        <w:tc>
          <w:tcPr>
            <w:tcW w:type="dxa" w:w="3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En este documento (v1.7)</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w:t>
            </w:r>
          </w:p>
        </w:tc>
        <w:tc>
          <w:tcPr>
            <w:tcW w:type="dxa" w:w="53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Diseño y arquitectura (el "cómo")</w:t>
            </w:r>
          </w:p>
        </w:tc>
        <w:tc>
          <w:tcPr>
            <w:tcW w:type="dxa" w:w="3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Versión 1.7</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w:t>
            </w:r>
          </w:p>
        </w:tc>
        <w:tc>
          <w:tcPr>
            <w:tcW w:type="dxa" w:w="53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Equipo, roles y acuerdos de trabajo (el "quién")</w:t>
            </w:r>
          </w:p>
        </w:tc>
        <w:tc>
          <w:tcPr>
            <w:tcW w:type="dxa" w:w="3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Versión 1.7</w:t>
            </w:r>
          </w:p>
        </w:tc>
      </w:tr>
      <w:tr>
        <w:trPr>
          <w:cantSplit/>
        </w:trPr>
        <w:tc>
          <w:tcPr>
            <w:tcW w:type="dxa" w:w="8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w:t>
            </w:r>
          </w:p>
        </w:tc>
        <w:tc>
          <w:tcPr>
            <w:tcW w:type="dxa" w:w="53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Planificación y control del tiempo (el "cuándo")</w:t>
            </w:r>
          </w:p>
        </w:tc>
        <w:tc>
          <w:tcPr>
            <w:tcW w:type="dxa" w:w="32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Versión 1.6</w:t>
            </w:r>
          </w:p>
        </w:tc>
      </w:tr>
      <w:tr>
        <w:trPr>
          <w:cantSplit/>
        </w:trPr>
        <w:tc>
          <w:tcPr>
            <w:tcW w:type="dxa" w:w="8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5</w:t>
            </w:r>
          </w:p>
        </w:tc>
        <w:tc>
          <w:tcPr>
            <w:tcW w:type="dxa" w:w="53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Gestión de código y calidad ("con qué reglas")</w:t>
            </w:r>
          </w:p>
        </w:tc>
        <w:tc>
          <w:tcPr>
            <w:tcW w:type="dxa" w:w="32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Versión 1.5</w:t>
            </w:r>
          </w:p>
        </w:tc>
      </w:tr>
    </w:tbl>
    <w:p>
      <w:pPr>
        <w:pStyle w:val="Heading1"/>
      </w:pPr>
      <w:r>
        <w:rPr>
          <w:rFonts w:ascii="Calibri" w:cs="Calibri" w:eastAsia="Calibri" w:hAnsi="Calibri"/>
        </w:rPr>
        <w:t xml:space="preserve">Control de cambios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1400"/>
        <w:gridCol w:w="6960"/>
      </w:tblGrid>
      <w:tr>
        <w:trPr>
          <w:cantSplit/>
          <w:tblHeader/>
        </w:trPr>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Versión</w:t>
            </w:r>
          </w:p>
        </w:tc>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Fecha</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Cambios</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01-09-2026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Versión inicial para revisión del equipo.</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Capacidad actualizada a 20–25 h semanales por persona y re-estimación del Must (sección 8). Decisiones sobre pago, habilitación del tutor, avisos por correo, evaluaciones, cancelación y carga de mallas (sección 9). Identificadores para los requisitos, reglas de negocio (3.5), requisitos no funcionales (3.6), criterio de aceptación CA9 y tabla de trazabilidad (7.1).</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1.2</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11-09-2026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 agrega la sede al perfil del usuario (RF-02, RNF-07 y registro de decisiones), a partir de la revisión del frontend ya construido. El filtro por sede se suma a los filtros avanzados (RF-17).</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13-09-2026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Auditoría cruzada de los cinco pilares. Se concilia la capacidad efectiva con el Pilar 4 (sección 8.1), se advierte que los dos primeros escalones del orden de recorte no liberan horas (8.3), se alinea la respuesta al riesgo de las mallas con R-13 del registro único, se remite la tabla de riesgos al anexo A del Pilar 5 y se precisa el estado del proyecto que posterga la ley 21.719 (RNF-07).</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equipo aprobó el modelo de datos del anexo A del Pilar 2. De ahí salen tres decisiones de alcance: la sede pasa a elegirse de una lista del catálogo en vez de escribirse, y RN-01 dice ahora qué ocurre con las asignaturas declaradas cuando el usuario cambia de carrera o de nivel. RF-02 lo recoge.</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1.5</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Tercera auditoría cruzada. RN-08 prometía que una cuenta desactivada desaparece de la búsqueda al instante, y el diseño aprobado da hasta cinco minutos: queda escrito el desfase y cómo se evita en la demostración. RN-02 habla de inicio y término, que es como el modelo guarda el bloque.</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1.6</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25-09-2026</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exclusión de la integración con Duoc no decía si incluía su inicio de sesión institucional, que es una pregunta probable en la defensa. Ahora lo dice, en las secciones 3.4 y 4, y el registro de decisiones deja escrito por qué la cuenta es propia y cuándo se reconsidera: la pregunta va al profesor en el primer reporte.</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1.7</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25-09-2026</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registro de decisiones deja escrito qué pide el registro: solo los datos de la cuenta. Carrera, nivel y sede se completan en el perfil (RF-02), como ya suponían el anexo A del Pilar 2 y el criterio CA2, aunque la maqueta del registro los pedía y HU-03 no dejaba claro si su contrato debía incluirlos. La tabla de contenido nombra el Pilar 4 como él mismo se titula.</w:t>
            </w:r>
          </w:p>
        </w:tc>
      </w:tr>
    </w:tbl>
    <w:p>
      <w:pPr>
        <w:pStyle w:val="Heading1"/>
      </w:pPr>
      <w:r>
        <w:rPr>
          <w:rFonts w:ascii="Calibri" w:cs="Calibri" w:eastAsia="Calibri" w:hAnsi="Calibri"/>
        </w:rPr>
        <w:t xml:space="preserve">1. Problema y objetivo del proyecto</w:t>
      </w:r>
    </w:p>
    <w:p>
      <w:pPr>
        <w:pStyle w:val="Heading2"/>
      </w:pPr>
      <w:r>
        <w:rPr>
          <w:rFonts w:ascii="Calibri" w:cs="Calibri" w:eastAsia="Calibri" w:hAnsi="Calibri"/>
        </w:rPr>
        <w:t xml:space="preserve">1.1 Problema</w:t>
      </w:r>
    </w:p>
    <w:p>
      <w:pPr>
        <w:keepNext w:val="false"/>
        <w:spacing w:after="120" w:before="0" w:line="276"/>
        <w:jc w:val="both"/>
      </w:pPr>
      <w:r>
        <w:rPr>
          <w:rFonts w:ascii="Calibri" w:cs="Calibri" w:eastAsia="Calibri" w:hAnsi="Calibri"/>
          <w:b w:val="false"/>
          <w:bCs w:val="false"/>
          <w:i w:val="false"/>
          <w:iCs w:val="false"/>
          <w:sz w:val="22"/>
          <w:szCs w:val="22"/>
        </w:rPr>
        <w:t xml:space="preserve">Los estudiantes de Duoc UC recurren con frecuencia a compañeros de cursos superiores para reforzar asignaturas que les cuestan, pero esa búsqueda ocurre de manera informal y dispersa: grupos de mensajería, recomendaciones de pasillo y contactos personales. No existe un punto centralizado dentro de la institución donde un estudiante pueda encontrar quién domina una asignatura determinada, verificar su reputación y coordinar un horario. El resultado es que la ayuda existe, pero no se encuentra.</w:t>
      </w:r>
    </w:p>
    <w:p>
      <w:pPr>
        <w:pStyle w:val="Heading2"/>
      </w:pPr>
      <w:r>
        <w:rPr>
          <w:rFonts w:ascii="Calibri" w:cs="Calibri" w:eastAsia="Calibri" w:hAnsi="Calibri"/>
        </w:rPr>
        <w:t xml:space="preserve">1.2 Objetivo general</w:t>
      </w:r>
    </w:p>
    <w:p>
      <w:pPr>
        <w:keepNext w:val="false"/>
        <w:spacing w:after="120" w:before="0" w:line="276"/>
        <w:jc w:val="both"/>
      </w:pPr>
      <w:r>
        <w:rPr>
          <w:rFonts w:ascii="Calibri" w:cs="Calibri" w:eastAsia="Calibri" w:hAnsi="Calibri"/>
          <w:b w:val="false"/>
          <w:bCs w:val="false"/>
          <w:i w:val="false"/>
          <w:iCs w:val="false"/>
          <w:sz w:val="22"/>
          <w:szCs w:val="22"/>
        </w:rPr>
        <w:t xml:space="preserve">Desarrollar e implementar una plataforma web que centralice la oferta y la demanda de apoyo académico entre estudiantes de Duoc UC, permitiendo buscar tutores por asignatura, agendar sesiones de tutoría y evaluar la experiencia, de modo que la reputación de cada tutor sea visible para el resto de la comunidad.</w:t>
      </w:r>
    </w:p>
    <w:p>
      <w:pPr>
        <w:pStyle w:val="Heading2"/>
      </w:pPr>
      <w:r>
        <w:rPr>
          <w:rFonts w:ascii="Calibri" w:cs="Calibri" w:eastAsia="Calibri" w:hAnsi="Calibri"/>
        </w:rPr>
        <w:t xml:space="preserve">1.3 Objetivos específicos</w:t>
      </w:r>
    </w:p>
    <w:p>
      <w:pPr>
        <w:keepNext w:val="false"/>
        <w:spacing w:after="120" w:before="0" w:line="276"/>
        <w:jc w:val="both"/>
      </w:pPr>
      <w:r>
        <w:rPr>
          <w:rFonts w:ascii="Calibri" w:cs="Calibri" w:eastAsia="Calibri" w:hAnsi="Calibri"/>
          <w:b w:val="false"/>
          <w:bCs w:val="false"/>
          <w:i w:val="false"/>
          <w:iCs w:val="false"/>
          <w:sz w:val="22"/>
          <w:szCs w:val="22"/>
        </w:rPr>
        <w:t xml:space="preserve">Cada objetivo específico es verificable: al cierre del proyecto se puede demostrar si se cumplió o no. La sección 7.1 muestra qué requisitos y criterios de aceptación respaldan cada uno.</w:t>
      </w:r>
    </w:p>
    <w:p>
      <w:pPr>
        <w:pStyle w:val="ListParagraph"/>
        <w:numPr>
          <w:ilvl w:val="0"/>
          <w:numId w:val="2"/>
        </w:numPr>
        <w:spacing w:after="60" w:before="0" w:line="276"/>
        <w:jc w:val="both"/>
      </w:pPr>
      <w:r>
        <w:rPr>
          <w:rFonts w:ascii="Calibri" w:cs="Calibri" w:eastAsia="Calibri" w:hAnsi="Calibri"/>
          <w:b/>
          <w:bCs/>
          <w:sz w:val="22"/>
          <w:szCs w:val="22"/>
        </w:rPr>
        <w:t xml:space="preserve">OE1.</w:t>
      </w:r>
      <w:r>
        <w:rPr>
          <w:rFonts w:ascii="Calibri" w:cs="Calibri" w:eastAsia="Calibri" w:hAnsi="Calibri"/>
          <w:b w:val="false"/>
          <w:bCs w:val="false"/>
          <w:sz w:val="22"/>
          <w:szCs w:val="22"/>
        </w:rPr>
        <w:t xml:space="preserve"> Construir un catálogo académico cuyo modelo de datos soporte la estructura curricular completa (carrera, malla, semestre, asignatura y prerrequisitos) de cualquiera de las 92 carreras de Duoc UC, con carga inicial de al menos 3 carreras completas.</w:t>
      </w:r>
    </w:p>
    <w:p>
      <w:pPr>
        <w:pStyle w:val="ListParagraph"/>
        <w:numPr>
          <w:ilvl w:val="0"/>
          <w:numId w:val="2"/>
        </w:numPr>
        <w:spacing w:after="60" w:before="0" w:line="276"/>
        <w:jc w:val="both"/>
      </w:pPr>
      <w:r>
        <w:rPr>
          <w:rFonts w:ascii="Calibri" w:cs="Calibri" w:eastAsia="Calibri" w:hAnsi="Calibri"/>
          <w:b/>
          <w:bCs/>
          <w:sz w:val="22"/>
          <w:szCs w:val="22"/>
        </w:rPr>
        <w:t xml:space="preserve">OE2.</w:t>
      </w:r>
      <w:r>
        <w:rPr>
          <w:rFonts w:ascii="Calibri" w:cs="Calibri" w:eastAsia="Calibri" w:hAnsi="Calibri"/>
          <w:b w:val="false"/>
          <w:bCs w:val="false"/>
          <w:sz w:val="22"/>
          <w:szCs w:val="22"/>
        </w:rPr>
        <w:t xml:space="preserve"> Implementar registro, autenticación y perfiles de usuario con los roles de estudiante, tutor y administrador, incluida la regla que habilita a un usuario como tutor según su malla y su nivel.</w:t>
      </w:r>
    </w:p>
    <w:p>
      <w:pPr>
        <w:pStyle w:val="ListParagraph"/>
        <w:numPr>
          <w:ilvl w:val="0"/>
          <w:numId w:val="2"/>
        </w:numPr>
        <w:spacing w:after="60" w:before="0" w:line="276"/>
        <w:jc w:val="both"/>
      </w:pPr>
      <w:r>
        <w:rPr>
          <w:rFonts w:ascii="Calibri" w:cs="Calibri" w:eastAsia="Calibri" w:hAnsi="Calibri"/>
          <w:b/>
          <w:bCs/>
          <w:sz w:val="22"/>
          <w:szCs w:val="22"/>
        </w:rPr>
        <w:t xml:space="preserve">OE3.</w:t>
      </w:r>
      <w:r>
        <w:rPr>
          <w:rFonts w:ascii="Calibri" w:cs="Calibri" w:eastAsia="Calibri" w:hAnsi="Calibri"/>
          <w:b w:val="false"/>
          <w:bCs w:val="false"/>
          <w:sz w:val="22"/>
          <w:szCs w:val="22"/>
        </w:rPr>
        <w:t xml:space="preserve"> Implementar el flujo completo de agendamiento: publicación de disponibilidad del tutor, búsqueda por asignatura, solicitud, confirmación o rechazo, cancelación, aviso por correo a cada parte y registro de la sesión realizada.</w:t>
      </w:r>
    </w:p>
    <w:p>
      <w:pPr>
        <w:pStyle w:val="ListParagraph"/>
        <w:numPr>
          <w:ilvl w:val="0"/>
          <w:numId w:val="2"/>
        </w:numPr>
        <w:spacing w:after="60" w:before="0" w:line="276"/>
        <w:jc w:val="both"/>
      </w:pPr>
      <w:r>
        <w:rPr>
          <w:rFonts w:ascii="Calibri" w:cs="Calibri" w:eastAsia="Calibri" w:hAnsi="Calibri"/>
          <w:b/>
          <w:bCs/>
          <w:sz w:val="22"/>
          <w:szCs w:val="22"/>
        </w:rPr>
        <w:t xml:space="preserve">OE4.</w:t>
      </w:r>
      <w:r>
        <w:rPr>
          <w:rFonts w:ascii="Calibri" w:cs="Calibri" w:eastAsia="Calibri" w:hAnsi="Calibri"/>
          <w:b w:val="false"/>
          <w:bCs w:val="false"/>
          <w:sz w:val="22"/>
          <w:szCs w:val="22"/>
        </w:rPr>
        <w:t xml:space="preserve"> Implementar la evaluación posterior a la tutoría, con nota y comentario opcional, y el cálculo de una reputación visible por tutor.</w:t>
      </w:r>
    </w:p>
    <w:p>
      <w:pPr>
        <w:pStyle w:val="ListParagraph"/>
        <w:numPr>
          <w:ilvl w:val="0"/>
          <w:numId w:val="2"/>
        </w:numPr>
        <w:spacing w:after="60" w:before="0" w:line="276"/>
        <w:jc w:val="both"/>
      </w:pPr>
      <w:r>
        <w:rPr>
          <w:rFonts w:ascii="Calibri" w:cs="Calibri" w:eastAsia="Calibri" w:hAnsi="Calibri"/>
          <w:b/>
          <w:bCs/>
          <w:sz w:val="22"/>
          <w:szCs w:val="22"/>
        </w:rPr>
        <w:t xml:space="preserve">OE5.</w:t>
      </w:r>
      <w:r>
        <w:rPr>
          <w:rFonts w:ascii="Calibri" w:cs="Calibri" w:eastAsia="Calibri" w:hAnsi="Calibri"/>
          <w:b w:val="false"/>
          <w:bCs w:val="false"/>
          <w:sz w:val="22"/>
          <w:szCs w:val="22"/>
        </w:rPr>
        <w:t xml:space="preserve"> Desplegar la solución sobre una arquitectura de microservicios contenerizada, accesible a través de un único punto de entrada.</w:t>
      </w:r>
    </w:p>
    <w:p>
      <w:pPr>
        <w:pStyle w:val="Heading1"/>
      </w:pPr>
      <w:r>
        <w:rPr>
          <w:rFonts w:ascii="Calibri" w:cs="Calibri" w:eastAsia="Calibri" w:hAnsi="Calibri"/>
        </w:rPr>
        <w:t xml:space="preserve">2. Actores del sistema</w:t>
      </w:r>
    </w:p>
    <w:p>
      <w:pPr>
        <w:keepNext w:val="false"/>
        <w:spacing w:after="120" w:before="0" w:line="276"/>
        <w:jc w:val="both"/>
      </w:pPr>
      <w:r>
        <w:rPr>
          <w:rFonts w:ascii="Calibri" w:cs="Calibri" w:eastAsia="Calibri" w:hAnsi="Calibri"/>
          <w:b w:val="false"/>
          <w:bCs w:val="false"/>
          <w:i w:val="false"/>
          <w:iCs w:val="false"/>
          <w:sz w:val="22"/>
          <w:szCs w:val="22"/>
        </w:rPr>
        <w:t xml:space="preserve">La plataforma reconoce tres roles. Es importante notar que estudiante y tutor no son cuentas distintas: un mismo usuario puede solicitar tutorías en las asignaturas que le cuestan y ofrecerlas en las que domina. Esta decisión simplifica el registro y refuerza la idea de una comunidad de pares, en lugar de dos poblaciones separadas.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900"/>
        <w:gridCol w:w="3200"/>
        <w:gridCol w:w="4260"/>
      </w:tblGrid>
      <w:tr>
        <w:trPr>
          <w:cantSplit/>
          <w:tblHeader/>
        </w:trPr>
        <w:tc>
          <w:tcPr>
            <w:tcW w:type="dxa" w:w="19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Actor</w:t>
            </w:r>
          </w:p>
        </w:tc>
        <w:tc>
          <w:tcPr>
            <w:tcW w:type="dxa" w:w="3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Descripción</w:t>
            </w:r>
          </w:p>
        </w:tc>
        <w:tc>
          <w:tcPr>
            <w:tcW w:type="dxa" w:w="42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Acciones principales</w:t>
            </w:r>
          </w:p>
        </w:tc>
      </w:tr>
      <w:tr>
        <w:trPr>
          <w:cantSplit/>
        </w:trPr>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Estudiante (solicitante)</w:t>
            </w:r>
          </w:p>
        </w:tc>
        <w:tc>
          <w:tcPr>
            <w:tcW w:type="dxa" w:w="3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Usuario que busca apoyo en una asignatura.</w:t>
            </w:r>
          </w:p>
        </w:tc>
        <w:tc>
          <w:tcPr>
            <w:tcW w:type="dxa" w:w="4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Buscar tutores, solicitar tutoría, pagar la reserva (simulado), cancelar o retirar solicitudes, evaluar al tutor.</w:t>
            </w:r>
          </w:p>
        </w:tc>
      </w:tr>
      <w:tr>
        <w:trPr>
          <w:cantSplit/>
        </w:trPr>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w:t>
            </w:r>
          </w:p>
        </w:tc>
        <w:tc>
          <w:tcPr>
            <w:tcW w:type="dxa" w:w="3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mismo usuario, habilitado en las asignaturas de su malla que ya cursó (RN-01).</w:t>
            </w:r>
          </w:p>
        </w:tc>
        <w:tc>
          <w:tcPr>
            <w:tcW w:type="dxa" w:w="42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Declarar asignaturas y tarifa, publicar disponibilidad, aceptar o rechazar solicitudes, cancelar reservas, ver su reputación.</w:t>
            </w:r>
          </w:p>
        </w:tc>
      </w:tr>
      <w:tr>
        <w:trPr>
          <w:cantSplit/>
        </w:trPr>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Administrador</w:t>
            </w:r>
          </w:p>
        </w:tc>
        <w:tc>
          <w:tcPr>
            <w:tcW w:type="dxa" w:w="3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Responsable de la operación y la moderación de la plataforma.</w:t>
            </w:r>
          </w:p>
        </w:tc>
        <w:tc>
          <w:tcPr>
            <w:tcW w:type="dxa" w:w="42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Gestionar usuarios y catálogo académico, retirar evaluaciones, revisar la actividad del sistema.</w:t>
            </w:r>
          </w:p>
        </w:tc>
      </w:tr>
    </w:tbl>
    <w:p>
      <w:pPr>
        <w:pStyle w:val="Heading1"/>
      </w:pPr>
      <w:r>
        <w:rPr>
          <w:rFonts w:ascii="Calibri" w:cs="Calibri" w:eastAsia="Calibri" w:hAnsi="Calibri"/>
        </w:rPr>
        <w:t xml:space="preserve">3. Alcance del producto</w:t>
      </w:r>
    </w:p>
    <w:p>
      <w:pPr>
        <w:keepNext w:val="false"/>
        <w:spacing w:after="120" w:before="0" w:line="276"/>
        <w:jc w:val="both"/>
      </w:pPr>
      <w:r>
        <w:rPr>
          <w:rFonts w:ascii="Calibri" w:cs="Calibri" w:eastAsia="Calibri" w:hAnsi="Calibri"/>
          <w:b w:val="false"/>
          <w:bCs w:val="false"/>
          <w:i w:val="false"/>
          <w:iCs w:val="false"/>
          <w:sz w:val="22"/>
          <w:szCs w:val="22"/>
        </w:rPr>
        <w:t xml:space="preserve">La priorización MoSCoW clasifica cada funcionalidad según su necesidad real para que el proyecto tenga sentido. El objetivo no es enumerar todo lo deseable, sino separar lo imprescindible de lo negociable antes de empezar a programar.</w:t>
      </w:r>
    </w:p>
    <w:p>
      <w:pPr>
        <w:keepNext w:val="false"/>
        <w:spacing w:after="120" w:before="0" w:line="276"/>
        <w:jc w:val="both"/>
      </w:pPr>
      <w:r>
        <w:rPr>
          <w:rFonts w:ascii="Calibri" w:cs="Calibri" w:eastAsia="Calibri" w:hAnsi="Calibri"/>
          <w:b w:val="false"/>
          <w:bCs w:val="false"/>
          <w:i w:val="false"/>
          <w:iCs w:val="false"/>
          <w:sz w:val="22"/>
          <w:szCs w:val="22"/>
        </w:rPr>
        <w:t xml:space="preserve">Cada requisito funcional tiene un identificador (RF-xx) que permite trazarlo hacia los objetivos, las historias de usuario del Pilar 4 y los criterios de aceptación (sección 7.1). Las secciones 3.5 y 3.6 completan el alcance con las reglas de negocio y los requisitos no funcionales.</w:t>
      </w:r>
    </w:p>
    <w:p>
      <w:pPr>
        <w:pStyle w:val="Heading2"/>
      </w:pPr>
      <w:r>
        <w:rPr>
          <w:rFonts w:ascii="Calibri" w:cs="Calibri" w:eastAsia="Calibri" w:hAnsi="Calibri"/>
        </w:rPr>
        <w:t xml:space="preserve">3.1 Must have — constituyen el MVP</w:t>
      </w:r>
    </w:p>
    <w:p>
      <w:pPr>
        <w:keepNext w:val="false"/>
        <w:spacing w:after="120" w:before="0" w:line="276"/>
        <w:jc w:val="both"/>
      </w:pPr>
      <w:r>
        <w:rPr>
          <w:rFonts w:ascii="Calibri" w:cs="Calibri" w:eastAsia="Calibri" w:hAnsi="Calibri"/>
          <w:b w:val="false"/>
          <w:bCs w:val="false"/>
          <w:i w:val="false"/>
          <w:iCs w:val="false"/>
          <w:sz w:val="22"/>
          <w:szCs w:val="22"/>
        </w:rPr>
        <w:t xml:space="preserve">Sin cualquiera de estos elementos, el producto no cumple su propósito y el proyecto no es defendible.</w:t>
      </w:r>
    </w:p>
    <w:p>
      <w:pPr>
        <w:pStyle w:val="ListParagraph"/>
        <w:numPr>
          <w:ilvl w:val="0"/>
          <w:numId w:val="2"/>
        </w:numPr>
        <w:spacing w:after="60" w:before="0" w:line="276"/>
        <w:jc w:val="both"/>
      </w:pPr>
      <w:r>
        <w:rPr>
          <w:rFonts w:ascii="Calibri" w:cs="Calibri" w:eastAsia="Calibri" w:hAnsi="Calibri"/>
          <w:b/>
          <w:bCs/>
          <w:sz w:val="22"/>
          <w:szCs w:val="22"/>
        </w:rPr>
        <w:t xml:space="preserve">RF-01</w:t>
      </w:r>
      <w:r>
        <w:rPr>
          <w:rFonts w:ascii="Calibri" w:cs="Calibri" w:eastAsia="Calibri" w:hAnsi="Calibri"/>
          <w:b w:val="false"/>
          <w:bCs w:val="false"/>
          <w:sz w:val="22"/>
          <w:szCs w:val="22"/>
        </w:rPr>
        <w:t xml:space="preserve"> Registro con correo institucional, verificación del correo, inicio y cierre de sesión.</w:t>
      </w:r>
    </w:p>
    <w:p>
      <w:pPr>
        <w:pStyle w:val="ListParagraph"/>
        <w:numPr>
          <w:ilvl w:val="0"/>
          <w:numId w:val="2"/>
        </w:numPr>
        <w:spacing w:after="60" w:before="0" w:line="276"/>
        <w:jc w:val="both"/>
      </w:pPr>
      <w:r>
        <w:rPr>
          <w:rFonts w:ascii="Calibri" w:cs="Calibri" w:eastAsia="Calibri" w:hAnsi="Calibri"/>
          <w:b/>
          <w:bCs/>
          <w:sz w:val="22"/>
          <w:szCs w:val="22"/>
        </w:rPr>
      </w:r>
      <w:r>
        <w:rPr>
          <w:rFonts w:ascii="Calibri" w:cs="Calibri" w:eastAsia="Calibri" w:hAnsi="Calibri"/>
          <w:b w:val="false"/>
          <w:bCs w:val="false"/>
          <w:sz w:val="22"/>
          <w:szCs w:val="22"/>
        </w:rPr>
        <w:t>RF-02 Perfil de usuario con carrera y sede elegidas de las listas del catálogo académico, y nivel (semestre que cursa) declarado por el propio usuario.</w:t>
      </w:r>
    </w:p>
    <w:p>
      <w:pPr>
        <w:pStyle w:val="ListParagraph"/>
        <w:numPr>
          <w:ilvl w:val="0"/>
          <w:numId w:val="2"/>
        </w:numPr>
        <w:spacing w:after="60" w:before="0" w:line="276"/>
        <w:jc w:val="both"/>
      </w:pPr>
      <w:r>
        <w:rPr>
          <w:rFonts w:ascii="Calibri" w:cs="Calibri" w:eastAsia="Calibri" w:hAnsi="Calibri"/>
          <w:b/>
          <w:bCs/>
          <w:sz w:val="22"/>
          <w:szCs w:val="22"/>
        </w:rPr>
        <w:t xml:space="preserve">RF-03</w:t>
      </w:r>
      <w:r>
        <w:rPr>
          <w:rFonts w:ascii="Calibri" w:cs="Calibri" w:eastAsia="Calibri" w:hAnsi="Calibri"/>
          <w:b w:val="false"/>
          <w:bCs w:val="false"/>
          <w:sz w:val="22"/>
          <w:szCs w:val="22"/>
        </w:rPr>
        <w:t xml:space="preserve"> Declaración de las asignaturas en que el usuario ofrece tutorías, con su tarifa, según la regla de habilitación (RN-01).</w:t>
      </w:r>
    </w:p>
    <w:p>
      <w:pPr>
        <w:pStyle w:val="ListParagraph"/>
        <w:numPr>
          <w:ilvl w:val="0"/>
          <w:numId w:val="2"/>
        </w:numPr>
        <w:spacing w:after="60" w:before="0" w:line="276"/>
        <w:jc w:val="both"/>
      </w:pPr>
      <w:r>
        <w:rPr>
          <w:rFonts w:ascii="Calibri" w:cs="Calibri" w:eastAsia="Calibri" w:hAnsi="Calibri"/>
          <w:b/>
          <w:bCs/>
          <w:sz w:val="22"/>
          <w:szCs w:val="22"/>
        </w:rPr>
        <w:t xml:space="preserve">RF-04</w:t>
      </w:r>
      <w:r>
        <w:rPr>
          <w:rFonts w:ascii="Calibri" w:cs="Calibri" w:eastAsia="Calibri" w:hAnsi="Calibri"/>
          <w:b w:val="false"/>
          <w:bCs w:val="false"/>
          <w:sz w:val="22"/>
          <w:szCs w:val="22"/>
        </w:rPr>
        <w:t xml:space="preserve"> Catálogo académico: carreras, mallas, semestres y asignaturas, con carga inicial de 3 a 5 carreras mediante un script de carga desde archivos CSV.</w:t>
      </w:r>
    </w:p>
    <w:p>
      <w:pPr>
        <w:pStyle w:val="ListParagraph"/>
        <w:numPr>
          <w:ilvl w:val="0"/>
          <w:numId w:val="2"/>
        </w:numPr>
        <w:spacing w:after="60" w:before="0" w:line="276"/>
        <w:jc w:val="both"/>
      </w:pPr>
      <w:r>
        <w:rPr>
          <w:rFonts w:ascii="Calibri" w:cs="Calibri" w:eastAsia="Calibri" w:hAnsi="Calibri"/>
          <w:b/>
          <w:bCs/>
          <w:sz w:val="22"/>
          <w:szCs w:val="22"/>
        </w:rPr>
        <w:t xml:space="preserve">RF-05</w:t>
      </w:r>
      <w:r>
        <w:rPr>
          <w:rFonts w:ascii="Calibri" w:cs="Calibri" w:eastAsia="Calibri" w:hAnsi="Calibri"/>
          <w:b w:val="false"/>
          <w:bCs w:val="false"/>
          <w:sz w:val="22"/>
          <w:szCs w:val="22"/>
        </w:rPr>
        <w:t xml:space="preserve"> Publicación y gestión (creación, edición y eliminación) de bloques de disponibilidad horaria del tutor.</w:t>
      </w:r>
    </w:p>
    <w:p>
      <w:pPr>
        <w:pStyle w:val="ListParagraph"/>
        <w:numPr>
          <w:ilvl w:val="0"/>
          <w:numId w:val="2"/>
        </w:numPr>
        <w:spacing w:after="60" w:before="0" w:line="276"/>
        <w:jc w:val="both"/>
      </w:pPr>
      <w:r>
        <w:rPr>
          <w:rFonts w:ascii="Calibri" w:cs="Calibri" w:eastAsia="Calibri" w:hAnsi="Calibri"/>
          <w:b/>
          <w:bCs/>
          <w:sz w:val="22"/>
          <w:szCs w:val="22"/>
        </w:rPr>
        <w:t xml:space="preserve">RF-06</w:t>
      </w:r>
      <w:r>
        <w:rPr>
          <w:rFonts w:ascii="Calibri" w:cs="Calibri" w:eastAsia="Calibri" w:hAnsi="Calibri"/>
          <w:b w:val="false"/>
          <w:bCs w:val="false"/>
          <w:sz w:val="22"/>
          <w:szCs w:val="22"/>
        </w:rPr>
        <w:t xml:space="preserve"> Búsqueda y filtrado de tutores por asignatura.</w:t>
      </w:r>
    </w:p>
    <w:p>
      <w:pPr>
        <w:pStyle w:val="ListParagraph"/>
        <w:numPr>
          <w:ilvl w:val="0"/>
          <w:numId w:val="2"/>
        </w:numPr>
        <w:spacing w:after="60" w:before="0" w:line="276"/>
        <w:jc w:val="both"/>
      </w:pPr>
      <w:r>
        <w:rPr>
          <w:rFonts w:ascii="Calibri" w:cs="Calibri" w:eastAsia="Calibri" w:hAnsi="Calibri"/>
          <w:b/>
          <w:bCs/>
          <w:sz w:val="22"/>
          <w:szCs w:val="22"/>
        </w:rPr>
        <w:t xml:space="preserve">RF-07</w:t>
      </w:r>
      <w:r>
        <w:rPr>
          <w:rFonts w:ascii="Calibri" w:cs="Calibri" w:eastAsia="Calibri" w:hAnsi="Calibri"/>
          <w:b w:val="false"/>
          <w:bCs w:val="false"/>
          <w:sz w:val="22"/>
          <w:szCs w:val="22"/>
        </w:rPr>
        <w:t xml:space="preserve"> Solicitud de tutoría con una nota opcional; confirmación, en la que el tutor indica la modalidad y el lugar o enlace, o rechazo; y bloqueo del horario reservado.</w:t>
      </w:r>
    </w:p>
    <w:p>
      <w:pPr>
        <w:pStyle w:val="ListParagraph"/>
        <w:numPr>
          <w:ilvl w:val="0"/>
          <w:numId w:val="2"/>
        </w:numPr>
        <w:spacing w:after="60" w:before="0" w:line="276"/>
        <w:jc w:val="both"/>
      </w:pPr>
      <w:r>
        <w:rPr>
          <w:rFonts w:ascii="Calibri" w:cs="Calibri" w:eastAsia="Calibri" w:hAnsi="Calibri"/>
          <w:b/>
          <w:bCs/>
          <w:sz w:val="22"/>
          <w:szCs w:val="22"/>
        </w:rPr>
        <w:t xml:space="preserve">RF-08</w:t>
      </w:r>
      <w:r>
        <w:rPr>
          <w:rFonts w:ascii="Calibri" w:cs="Calibri" w:eastAsia="Calibri" w:hAnsi="Calibri"/>
          <w:b w:val="false"/>
          <w:bCs w:val="false"/>
          <w:sz w:val="22"/>
          <w:szCs w:val="22"/>
        </w:rPr>
        <w:t xml:space="preserve"> Cancelación simple de una reserva confirmada y retiro de una solicitud pendiente (RN-04).</w:t>
      </w:r>
    </w:p>
    <w:p>
      <w:pPr>
        <w:pStyle w:val="ListParagraph"/>
        <w:numPr>
          <w:ilvl w:val="0"/>
          <w:numId w:val="2"/>
        </w:numPr>
        <w:spacing w:after="60" w:before="0" w:line="276"/>
        <w:jc w:val="both"/>
      </w:pPr>
      <w:r>
        <w:rPr>
          <w:rFonts w:ascii="Calibri" w:cs="Calibri" w:eastAsia="Calibri" w:hAnsi="Calibri"/>
          <w:b/>
          <w:bCs/>
          <w:sz w:val="22"/>
          <w:szCs w:val="22"/>
        </w:rPr>
        <w:t xml:space="preserve">RF-09</w:t>
      </w:r>
      <w:r>
        <w:rPr>
          <w:rFonts w:ascii="Calibri" w:cs="Calibri" w:eastAsia="Calibri" w:hAnsi="Calibri"/>
          <w:b w:val="false"/>
          <w:bCs w:val="false"/>
          <w:sz w:val="22"/>
          <w:szCs w:val="22"/>
        </w:rPr>
        <w:t xml:space="preserve"> Aviso por correo al tutor cuando recibe una solicitud y al estudiante cuando se la confirman o rechazan.</w:t>
      </w:r>
    </w:p>
    <w:p>
      <w:pPr>
        <w:pStyle w:val="ListParagraph"/>
        <w:numPr>
          <w:ilvl w:val="0"/>
          <w:numId w:val="2"/>
        </w:numPr>
        <w:spacing w:after="60" w:before="0" w:line="276"/>
        <w:jc w:val="both"/>
      </w:pPr>
      <w:r>
        <w:rPr>
          <w:rFonts w:ascii="Calibri" w:cs="Calibri" w:eastAsia="Calibri" w:hAnsi="Calibri"/>
          <w:b/>
          <w:bCs/>
          <w:sz w:val="22"/>
          <w:szCs w:val="22"/>
        </w:rPr>
        <w:t xml:space="preserve">RF-10</w:t>
      </w:r>
      <w:r>
        <w:rPr>
          <w:rFonts w:ascii="Calibri" w:cs="Calibri" w:eastAsia="Calibri" w:hAnsi="Calibri"/>
          <w:b w:val="false"/>
          <w:bCs w:val="false"/>
          <w:sz w:val="22"/>
          <w:szCs w:val="22"/>
        </w:rPr>
        <w:t xml:space="preserve"> Historial de tutorías solicitadas e impartidas por usuario.</w:t>
      </w:r>
    </w:p>
    <w:p>
      <w:pPr>
        <w:pStyle w:val="ListParagraph"/>
        <w:numPr>
          <w:ilvl w:val="0"/>
          <w:numId w:val="2"/>
        </w:numPr>
        <w:spacing w:after="60" w:before="0" w:line="276"/>
        <w:jc w:val="both"/>
      </w:pPr>
      <w:r>
        <w:rPr>
          <w:rFonts w:ascii="Calibri" w:cs="Calibri" w:eastAsia="Calibri" w:hAnsi="Calibri"/>
          <w:b/>
          <w:bCs/>
          <w:sz w:val="22"/>
          <w:szCs w:val="22"/>
        </w:rPr>
        <w:t xml:space="preserve">RF-11</w:t>
      </w:r>
      <w:r>
        <w:rPr>
          <w:rFonts w:ascii="Calibri" w:cs="Calibri" w:eastAsia="Calibri" w:hAnsi="Calibri"/>
          <w:b w:val="false"/>
          <w:bCs w:val="false"/>
          <w:sz w:val="22"/>
          <w:szCs w:val="22"/>
        </w:rPr>
        <w:t xml:space="preserve"> Evaluación posterior a la sesión, con nota de 1 a 5 y comentario opcional, y cálculo de la reputación del tutor.</w:t>
      </w:r>
    </w:p>
    <w:p>
      <w:pPr>
        <w:pStyle w:val="ListParagraph"/>
        <w:numPr>
          <w:ilvl w:val="0"/>
          <w:numId w:val="2"/>
        </w:numPr>
        <w:spacing w:after="60" w:before="0" w:line="276"/>
        <w:jc w:val="both"/>
      </w:pPr>
      <w:r>
        <w:rPr>
          <w:rFonts w:ascii="Calibri" w:cs="Calibri" w:eastAsia="Calibri" w:hAnsi="Calibri"/>
          <w:b/>
          <w:bCs/>
          <w:sz w:val="22"/>
          <w:szCs w:val="22"/>
        </w:rPr>
        <w:t xml:space="preserve">RF-12</w:t>
      </w:r>
      <w:r>
        <w:rPr>
          <w:rFonts w:ascii="Calibri" w:cs="Calibri" w:eastAsia="Calibri" w:hAnsi="Calibri"/>
          <w:b w:val="false"/>
          <w:bCs w:val="false"/>
          <w:sz w:val="22"/>
          <w:szCs w:val="22"/>
        </w:rPr>
        <w:t xml:space="preserve"> Registro de pago simulado asociado a la reserva, según las reglas de RN-05.</w:t>
      </w:r>
    </w:p>
    <w:p>
      <w:pPr>
        <w:pStyle w:val="ListParagraph"/>
        <w:numPr>
          <w:ilvl w:val="0"/>
          <w:numId w:val="2"/>
        </w:numPr>
        <w:spacing w:after="60" w:before="0" w:line="276"/>
        <w:jc w:val="both"/>
      </w:pPr>
      <w:r>
        <w:rPr>
          <w:rFonts w:ascii="Calibri" w:cs="Calibri" w:eastAsia="Calibri" w:hAnsi="Calibri"/>
          <w:b/>
          <w:bCs/>
          <w:sz w:val="22"/>
          <w:szCs w:val="22"/>
        </w:rPr>
        <w:t xml:space="preserve">RF-13</w:t>
      </w:r>
      <w:r>
        <w:rPr>
          <w:rFonts w:ascii="Calibri" w:cs="Calibri" w:eastAsia="Calibri" w:hAnsi="Calibri"/>
          <w:b w:val="false"/>
          <w:bCs w:val="false"/>
          <w:sz w:val="22"/>
          <w:szCs w:val="22"/>
        </w:rPr>
        <w:t xml:space="preserve"> Panel de administración mínimo: gestión de usuarios, catálogo académico y retiro de evaluaciones.</w:t>
      </w:r>
    </w:p>
    <w:p>
      <w:pPr>
        <w:pStyle w:val="Heading2"/>
      </w:pPr>
      <w:r>
        <w:rPr>
          <w:rFonts w:ascii="Calibri" w:cs="Calibri" w:eastAsia="Calibri" w:hAnsi="Calibri"/>
        </w:rPr>
        <w:t xml:space="preserve">3.2 Should have — se incorporan si el ritmo lo permite</w:t>
      </w:r>
    </w:p>
    <w:p>
      <w:pPr>
        <w:keepNext w:val="false"/>
        <w:spacing w:after="120" w:before="0" w:line="276"/>
        <w:jc w:val="both"/>
      </w:pPr>
      <w:r>
        <w:rPr>
          <w:rFonts w:ascii="Calibri" w:cs="Calibri" w:eastAsia="Calibri" w:hAnsi="Calibri"/>
          <w:b/>
          <w:bCs/>
          <w:i w:val="false"/>
          <w:iCs w:val="false"/>
          <w:sz w:val="22"/>
          <w:szCs w:val="22"/>
        </w:rPr>
        <w:t xml:space="preserve">Regla de promoción:</w:t>
      </w:r>
      <w:r>
        <w:rPr>
          <w:rFonts w:ascii="Calibri" w:cs="Calibri" w:eastAsia="Calibri" w:hAnsi="Calibri"/>
          <w:b w:val="false"/>
          <w:bCs w:val="false"/>
          <w:i w:val="false"/>
          <w:iCs w:val="false"/>
          <w:sz w:val="22"/>
          <w:szCs w:val="22"/>
        </w:rPr>
        <w:t xml:space="preserve"> un Should entra a un sprint solo si, al cierre del sprint anterior, la velocidad medida deja capacidad libre para terminar el Must. Se incorporan de a uno y en el orden de esta lista.</w:t>
      </w:r>
    </w:p>
    <w:p>
      <w:pPr>
        <w:pStyle w:val="ListParagraph"/>
        <w:numPr>
          <w:ilvl w:val="0"/>
          <w:numId w:val="2"/>
        </w:numPr>
        <w:spacing w:after="60" w:before="0" w:line="276"/>
        <w:jc w:val="both"/>
      </w:pPr>
      <w:r>
        <w:rPr>
          <w:rFonts w:ascii="Calibri" w:cs="Calibri" w:eastAsia="Calibri" w:hAnsi="Calibri"/>
          <w:b/>
          <w:bCs/>
          <w:sz w:val="22"/>
          <w:szCs w:val="22"/>
        </w:rPr>
        <w:t xml:space="preserve">RF-14</w:t>
      </w:r>
      <w:r>
        <w:rPr>
          <w:rFonts w:ascii="Calibri" w:cs="Calibri" w:eastAsia="Calibri" w:hAnsi="Calibri"/>
          <w:b w:val="false"/>
          <w:bCs w:val="false"/>
          <w:sz w:val="22"/>
          <w:szCs w:val="22"/>
        </w:rPr>
        <w:t xml:space="preserve"> Recordatorio por correo antes de la sesión y aviso de cancelación.</w:t>
      </w:r>
    </w:p>
    <w:p>
      <w:pPr>
        <w:pStyle w:val="ListParagraph"/>
        <w:numPr>
          <w:ilvl w:val="0"/>
          <w:numId w:val="2"/>
        </w:numPr>
        <w:spacing w:after="60" w:before="0" w:line="276"/>
        <w:jc w:val="both"/>
      </w:pPr>
      <w:r>
        <w:rPr>
          <w:rFonts w:ascii="Calibri" w:cs="Calibri" w:eastAsia="Calibri" w:hAnsi="Calibri"/>
          <w:b/>
          <w:bCs/>
          <w:sz w:val="22"/>
          <w:szCs w:val="22"/>
        </w:rPr>
        <w:t xml:space="preserve">RF-15</w:t>
      </w:r>
      <w:r>
        <w:rPr>
          <w:rFonts w:ascii="Calibri" w:cs="Calibri" w:eastAsia="Calibri" w:hAnsi="Calibri"/>
          <w:b w:val="false"/>
          <w:bCs w:val="false"/>
          <w:sz w:val="22"/>
          <w:szCs w:val="22"/>
        </w:rPr>
        <w:t xml:space="preserve"> Reglas de plazo para cancelar y reprogramación de tutorías.</w:t>
      </w:r>
    </w:p>
    <w:p>
      <w:pPr>
        <w:pStyle w:val="ListParagraph"/>
        <w:numPr>
          <w:ilvl w:val="0"/>
          <w:numId w:val="2"/>
        </w:numPr>
        <w:spacing w:after="60" w:before="0" w:line="276"/>
        <w:jc w:val="both"/>
      </w:pPr>
      <w:r>
        <w:rPr>
          <w:rFonts w:ascii="Calibri" w:cs="Calibri" w:eastAsia="Calibri" w:hAnsi="Calibri"/>
          <w:b/>
          <w:bCs/>
          <w:sz w:val="22"/>
          <w:szCs w:val="22"/>
        </w:rPr>
        <w:t xml:space="preserve">RF-16</w:t>
      </w:r>
      <w:r>
        <w:rPr>
          <w:rFonts w:ascii="Calibri" w:cs="Calibri" w:eastAsia="Calibri" w:hAnsi="Calibri"/>
          <w:b w:val="false"/>
          <w:bCs w:val="false"/>
          <w:sz w:val="22"/>
          <w:szCs w:val="22"/>
        </w:rPr>
        <w:t xml:space="preserve"> Importación de mallas desde el panel de administración mediante archivo CSV.</w:t>
      </w:r>
    </w:p>
    <w:p>
      <w:pPr>
        <w:pStyle w:val="ListParagraph"/>
        <w:numPr>
          <w:ilvl w:val="0"/>
          <w:numId w:val="2"/>
        </w:numPr>
        <w:spacing w:after="60" w:before="0" w:line="276"/>
        <w:jc w:val="both"/>
      </w:pPr>
      <w:r>
        <w:rPr>
          <w:rFonts w:ascii="Calibri" w:cs="Calibri" w:eastAsia="Calibri" w:hAnsi="Calibri"/>
          <w:b/>
          <w:bCs/>
          <w:sz w:val="22"/>
          <w:szCs w:val="22"/>
        </w:rPr>
        <w:t xml:space="preserve">RF-17</w:t>
      </w:r>
      <w:r>
        <w:rPr>
          <w:rFonts w:ascii="Calibri" w:cs="Calibri" w:eastAsia="Calibri" w:hAnsi="Calibri"/>
          <w:b w:val="false"/>
          <w:bCs w:val="false"/>
          <w:sz w:val="22"/>
          <w:szCs w:val="22"/>
        </w:rPr>
        <w:t xml:space="preserve"> Filtros avanzados de búsqueda: valoración mínima, franja horaria, modalidad y sede.</w:t>
      </w:r>
    </w:p>
    <w:p>
      <w:pPr>
        <w:pStyle w:val="Heading2"/>
      </w:pPr>
      <w:r>
        <w:rPr>
          <w:rFonts w:ascii="Calibri" w:cs="Calibri" w:eastAsia="Calibri" w:hAnsi="Calibri"/>
        </w:rPr>
        <w:t xml:space="preserve">3.3 Could have — solo si sobra capacidad al final</w:t>
      </w:r>
    </w:p>
    <w:p>
      <w:pPr>
        <w:pStyle w:val="ListParagraph"/>
        <w:numPr>
          <w:ilvl w:val="0"/>
          <w:numId w:val="2"/>
        </w:numPr>
        <w:spacing w:after="60" w:before="0" w:line="276"/>
        <w:jc w:val="both"/>
      </w:pPr>
      <w:r>
        <w:rPr>
          <w:rFonts w:ascii="Calibri" w:cs="Calibri" w:eastAsia="Calibri" w:hAnsi="Calibri"/>
          <w:b/>
          <w:bCs/>
          <w:sz w:val="22"/>
          <w:szCs w:val="22"/>
        </w:rPr>
        <w:t xml:space="preserve">RF-18</w:t>
      </w:r>
      <w:r>
        <w:rPr>
          <w:rFonts w:ascii="Calibri" w:cs="Calibri" w:eastAsia="Calibri" w:hAnsi="Calibri"/>
          <w:b w:val="false"/>
          <w:bCs w:val="false"/>
          <w:sz w:val="22"/>
          <w:szCs w:val="22"/>
        </w:rPr>
        <w:t xml:space="preserve"> Integración con una pasarela de pago real en ambiente de pruebas.</w:t>
      </w:r>
    </w:p>
    <w:p>
      <w:pPr>
        <w:pStyle w:val="ListParagraph"/>
        <w:numPr>
          <w:ilvl w:val="0"/>
          <w:numId w:val="2"/>
        </w:numPr>
        <w:spacing w:after="60" w:before="0" w:line="276"/>
        <w:jc w:val="both"/>
      </w:pPr>
      <w:r>
        <w:rPr>
          <w:rFonts w:ascii="Calibri" w:cs="Calibri" w:eastAsia="Calibri" w:hAnsi="Calibri"/>
          <w:b/>
          <w:bCs/>
          <w:sz w:val="22"/>
          <w:szCs w:val="22"/>
        </w:rPr>
        <w:t xml:space="preserve">RF-19</w:t>
      </w:r>
      <w:r>
        <w:rPr>
          <w:rFonts w:ascii="Calibri" w:cs="Calibri" w:eastAsia="Calibri" w:hAnsi="Calibri"/>
          <w:b w:val="false"/>
          <w:bCs w:val="false"/>
          <w:sz w:val="22"/>
          <w:szCs w:val="22"/>
        </w:rPr>
        <w:t xml:space="preserve"> Panel de métricas para administración: tutorías por asignatura, tutores más solicitados.</w:t>
      </w:r>
    </w:p>
    <w:p>
      <w:pPr>
        <w:pStyle w:val="Heading2"/>
      </w:pPr>
      <w:r>
        <w:rPr>
          <w:rFonts w:ascii="Calibri" w:cs="Calibri" w:eastAsia="Calibri" w:hAnsi="Calibri"/>
        </w:rPr>
        <w:t xml:space="preserve">3.4 Won't have — fuera de esta versión</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Videollamada integrada en la plataforma.</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Mensajería instantánea interna entre usuarios.</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Aplicación móvil nativa.</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Procesamiento de dinero real.</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Recomendación automática de tutores mediante algoritmos de afinidad.</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Integración con sistemas académicos oficiales de Duoc UC, incluido su inicio de sesión institucional.</w:t>
      </w:r>
    </w:p>
    <w:p>
      <w:pPr>
        <w:pStyle w:val="Heading2"/>
      </w:pPr>
      <w:r>
        <w:rPr>
          <w:rFonts w:ascii="Calibri" w:cs="Calibri" w:eastAsia="Calibri" w:hAnsi="Calibri"/>
        </w:rPr>
        <w:t xml:space="preserve">3.5 Reglas de negocio del MVP</w:t>
      </w:r>
    </w:p>
    <w:p>
      <w:pPr>
        <w:keepNext w:val="false"/>
        <w:spacing w:after="120" w:before="0" w:line="276"/>
        <w:jc w:val="both"/>
      </w:pPr>
      <w:r>
        <w:rPr>
          <w:rFonts w:ascii="Calibri" w:cs="Calibri" w:eastAsia="Calibri" w:hAnsi="Calibri"/>
          <w:b w:val="false"/>
          <w:bCs w:val="false"/>
          <w:i w:val="false"/>
          <w:iCs w:val="false"/>
          <w:sz w:val="22"/>
          <w:szCs w:val="22"/>
        </w:rPr>
        <w:t xml:space="preserve">Las reglas convierten las decisiones de alcance en comportamiento verificable. El Pilar 2 las implementa en la máquina de estados de la reserva y en los contratos de interfaz.</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1900"/>
        <w:gridCol w:w="6560"/>
      </w:tblGrid>
      <w:tr>
        <w:trPr>
          <w:cantSplit/>
          <w:tblHeader/>
        </w:trPr>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ID</w:t>
            </w:r>
          </w:p>
        </w:tc>
        <w:tc>
          <w:tcPr>
            <w:tcW w:type="dxa" w:w="19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Regla</w:t>
            </w:r>
          </w:p>
        </w:tc>
        <w:tc>
          <w:tcPr>
            <w:tcW w:type="dxa" w:w="65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Detalle</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RN-01</w:t>
            </w:r>
          </w:p>
        </w:tc>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Habilitación del tutor</w:t>
            </w:r>
          </w:p>
        </w:tc>
        <w:tc>
          <w:tcPr>
            <w:tcW w:type="dxa" w:w="6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Un usuario solo puede ofrecer tutorías de asignaturas de la malla de su carrera ubicadas en semestres anteriores a su nivel. El nivel lo declara el propio usuario: sin integración con los sistemas de Duoc UC no puede verificarse, por lo que la reputación completa el mecanismo de confianza. Si más adelante cambia su carrera o su nivel, las asignaturas que había declarado y que dejan de calificar quedan desactivadas solas y se le avisa en su perfil; las reservas ya creadas no se tocan, porque guardan su propia copia de la asignatura y del monto.</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RN-02</w:t>
            </w:r>
          </w:p>
        </w:tc>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Bloques de disponibilidad</w:t>
            </w:r>
          </w:p>
        </w:tc>
        <w:tc>
          <w:tcPr>
            <w:tcW w:type="dxa" w:w="6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Tienen un inicio y un término concretos, solo se publican para fechas futuras y no se solapan con otros bloques del mismo tutor. Un bloque con una reserva confirmada no se puede eliminar; si solo tiene solicitudes pendientes, al eliminarlo esas solicitudes se rechazan.</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RN-03</w:t>
            </w:r>
          </w:p>
        </w:tc>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Solicitudes</w:t>
            </w:r>
          </w:p>
        </w:tc>
        <w:tc>
          <w:tcPr>
            <w:tcW w:type="dxa" w:w="6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bloque puede recibir varias solicitudes. La primera que el tutor confirma gana y las demás se rechazan automáticamente. Una solicitud sin respuesta expira al llegar la hora de inicio del bloque. Nadie puede solicitarse una tutoría a sí mismo.</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RN-04</w:t>
            </w:r>
          </w:p>
        </w:tc>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w:t>
            </w:r>
          </w:p>
        </w:tc>
        <w:tc>
          <w:tcPr>
            <w:tcW w:type="dxa" w:w="6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estudiante puede retirar su solicitud mientras está pendiente. Cualquiera de las partes puede cancelar una reserva confirmada antes de su inicio, y el bloque vuelve a quedar libre. En el MVP no hay plazo mínimo para cancelar (RF-15).</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RN-05</w:t>
            </w:r>
          </w:p>
        </w:tc>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 simulado</w:t>
            </w:r>
          </w:p>
        </w:tc>
        <w:tc>
          <w:tcPr>
            <w:tcW w:type="dxa" w:w="6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fija una tarifa por asignatura, que puede ser $0; con tarifa $0 la reserva no genera pago. Con tarifa mayor que cero, el estudiante paga (simulado) una vez confirmada la reserva. Si el pago falla, puede reintentarlo, y un pago pendiente o fallido no bloquea la sesión. Si se cancela una reserva pagada, el pago se reembolsa (simulado).</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RN-06</w:t>
            </w:r>
          </w:p>
        </w:tc>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Evaluación y reputación</w:t>
            </w:r>
          </w:p>
        </w:tc>
        <w:tc>
          <w:tcPr>
            <w:tcW w:type="dxa" w:w="6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Solo el estudiante evalúa, una vez por reserva y después de la hora de término de la sesión, con una nota de 1 a 5 y un comentario opcional de hasta 500 caracteres. La reputación del tutor es el promedio de sus evaluaciones visibles, junto con la cantidad. Una evaluación retirada por el administrador deja de contar.</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RN-07</w:t>
            </w:r>
          </w:p>
        </w:tc>
        <w:tc>
          <w:tcPr>
            <w:tcW w:type="dxa" w:w="19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Modalidad</w:t>
            </w:r>
          </w:p>
        </w:tc>
        <w:tc>
          <w:tcPr>
            <w:tcW w:type="dxa" w:w="65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Al confirmar, el tutor indica si la sesión es presencial (con lugar) o en línea (con un enlace externo). La plataforma no supervisa la sesión.</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RN-08</w:t>
            </w:r>
          </w:p>
        </w:tc>
        <w:tc>
          <w:tcPr>
            <w:tcW w:type="dxa" w:w="19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Cuentas</w:t>
            </w:r>
          </w:p>
        </w:tc>
        <w:tc>
          <w:tcPr>
            <w:tcW w:type="dxa" w:w="65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Una sola cuenta por persona, con un correo del dominio institucional de Duoc UC que se verifica antes del primer inicio de sesión. Una cuenta desactivada no puede iniciar sesión, con efecto inmediato, y deja de aparecer en las búsquedas dentro de los cinco minutos siguientes: la búsqueda se resuelve contra una copia de lectura que el programador sincroniza en ese ciclo. En la demostración el comando se ejecuta a mano para no esperar.</w:t>
            </w:r>
          </w:p>
        </w:tc>
      </w:tr>
    </w:tbl>
    <w:p>
      <w:pPr>
        <w:pStyle w:val="Heading2"/>
      </w:pPr>
      <w:r>
        <w:rPr>
          <w:rFonts w:ascii="Calibri" w:cs="Calibri" w:eastAsia="Calibri" w:hAnsi="Calibri"/>
        </w:rPr>
        <w:t xml:space="preserve">3.6 Requisitos no funcionales</w:t>
      </w:r>
    </w:p>
    <w:p>
      <w:pPr>
        <w:keepNext w:val="false"/>
        <w:spacing w:after="120" w:before="0" w:line="276"/>
        <w:jc w:val="both"/>
      </w:pPr>
      <w:r>
        <w:rPr>
          <w:rFonts w:ascii="Calibri" w:cs="Calibri" w:eastAsia="Calibri" w:hAnsi="Calibri"/>
          <w:b w:val="false"/>
          <w:bCs w:val="false"/>
          <w:i w:val="false"/>
          <w:iCs w:val="false"/>
          <w:sz w:val="22"/>
          <w:szCs w:val="22"/>
        </w:rPr>
        <w:t xml:space="preserve">Describen cómo debe comportarse el sistema, no qué hace. Cada uno es verificable y es la base de los criterios de calidad del Pilar 5.</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00"/>
        <w:gridCol w:w="1700"/>
        <w:gridCol w:w="6660"/>
      </w:tblGrid>
      <w:tr>
        <w:trPr>
          <w:cantSplit/>
          <w:tblHeader/>
        </w:trPr>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ID</w:t>
            </w:r>
          </w:p>
        </w:tc>
        <w:tc>
          <w:tcPr>
            <w:tcW w:type="dxa" w:w="17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Atributo</w:t>
            </w:r>
          </w:p>
        </w:tc>
        <w:tc>
          <w:tcPr>
            <w:tcW w:type="dxa" w:w="66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Requisito verificable</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RNF-01</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Seguridad</w:t>
            </w:r>
          </w:p>
        </w:tc>
        <w:tc>
          <w:tcPr>
            <w:tcW w:type="dxa" w:w="66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contraseñas se guardan con un algoritmo de hash robusto, las sesiones expiran, los intentos fallidos de inicio de sesión se limitan y cada servicio verifica la identidad en cada petición.</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RNF-02</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Rendimiento</w:t>
            </w:r>
          </w:p>
        </w:tc>
        <w:tc>
          <w:tcPr>
            <w:tcW w:type="dxa" w:w="66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búsqueda de tutores responde en menos de 2 segundos con al menos 500 usuarios de prueba en el entorno de evaluación.</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RNF-03</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Usabilidad</w:t>
            </w:r>
          </w:p>
        </w:tc>
        <w:tc>
          <w:tcPr>
            <w:tcW w:type="dxa" w:w="66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Todas las pantallas del MVP se pueden usar desde un teléfono (360 px de ancho) sin desplazamiento horizontal, y los mensajes de error indican qué corregir.</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RNF-04</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Compatibilidad</w:t>
            </w:r>
          </w:p>
        </w:tc>
        <w:tc>
          <w:tcPr>
            <w:tcW w:type="dxa" w:w="66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interfaz funciona en las versiones vigentes de Chrome, Edge y Firefox.</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RNF-05</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Portabilidad</w:t>
            </w:r>
          </w:p>
        </w:tc>
        <w:tc>
          <w:tcPr>
            <w:tcW w:type="dxa" w:w="66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sistema completo se levanta con un solo comando en el equipo de cualquier integrante, siguiendo solo el instructivo del repositorio.</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RNF-06</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Mantenibilidad</w:t>
            </w:r>
          </w:p>
        </w:tc>
        <w:tc>
          <w:tcPr>
            <w:tcW w:type="dxa" w:w="66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reglas de negocio de la sección 3.5 tienen pruebas automatizadas. La cobertura mínima y las herramientas se fijan en el Pilar 5.</w:t>
            </w:r>
          </w:p>
        </w:tc>
      </w:tr>
      <w:tr>
        <w:trPr>
          <w:cantSplit/>
        </w:trPr>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RNF-07</w:t>
            </w:r>
          </w:p>
        </w:tc>
        <w:tc>
          <w:tcPr>
            <w:tcW w:type="dxa" w:w="1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Privacidad</w:t>
            </w:r>
          </w:p>
        </w:tc>
        <w:tc>
          <w:tcPr>
            <w:tcW w:type="dxa" w:w="66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Solo se recolectan los datos necesarios (nombre, correo institucional, carrera, nivel y sede), el correo no se muestra a otros usuarios y durante el desarrollo y la demostración se usan datos de prueba. El diseño considera la Ley 19.628 y la Ley 21.719, cuya entrada en vigencia está fijada para el 1 de diciembre de 2026. El 1 de septiembre de 2026 el Gobierno ingresó al Senado el boletín 18.623-07, con suma urgencia, para postergarla un año; mientras no se publique, la fecha vigente sigue siendo el 1 de diciembre de 2026.</w:t>
            </w:r>
          </w:p>
        </w:tc>
      </w:tr>
      <w:tr>
        <w:trPr>
          <w:cantSplit/>
        </w:trPr>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RNF-08</w:t>
            </w:r>
          </w:p>
        </w:tc>
        <w:tc>
          <w:tcPr>
            <w:tcW w:type="dxa" w:w="1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Localización</w:t>
            </w:r>
          </w:p>
        </w:tc>
        <w:tc>
          <w:tcPr>
            <w:tcW w:type="dxa" w:w="66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interfaz está en español y muestra fechas y horas en la hora de Chile continental.</w:t>
            </w:r>
          </w:p>
        </w:tc>
      </w:tr>
    </w:tbl>
    <w:p>
      <w:pPr>
        <w:pStyle w:val="Heading1"/>
      </w:pPr>
      <w:r>
        <w:rPr>
          <w:rFonts w:ascii="Calibri" w:cs="Calibri" w:eastAsia="Calibri" w:hAnsi="Calibri"/>
        </w:rPr>
        <w:t xml:space="preserve">4. Exclusiones explícitas y su justificación</w:t>
      </w:r>
    </w:p>
    <w:p>
      <w:pPr>
        <w:keepNext w:val="false"/>
        <w:spacing w:after="120" w:before="0" w:line="276"/>
        <w:jc w:val="both"/>
      </w:pPr>
      <w:r>
        <w:rPr>
          <w:rFonts w:ascii="Calibri" w:cs="Calibri" w:eastAsia="Calibri" w:hAnsi="Calibri"/>
          <w:b w:val="false"/>
          <w:bCs w:val="false"/>
          <w:i w:val="false"/>
          <w:iCs w:val="false"/>
          <w:sz w:val="22"/>
          <w:szCs w:val="22"/>
        </w:rPr>
        <w:t xml:space="preserve">Esta sección es la defensa que tenemos frente a expectativas que aparezcan a mitad de camino, y la respuesta preparada ante la pregunta "¿y por qué no incluyeron esto?".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00"/>
        <w:gridCol w:w="6960"/>
      </w:tblGrid>
      <w:tr>
        <w:trPr>
          <w:cantSplit/>
          <w:tblHeader/>
        </w:trPr>
        <w:tc>
          <w:tcPr>
            <w:tcW w:type="dxa" w:w="2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Se excluye</w:t>
            </w:r>
          </w:p>
        </w:tc>
        <w:tc>
          <w:tcPr>
            <w:tcW w:type="dxa" w:w="69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Justificación</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Videollamada integrada</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plataforma coordina y agenda; la sesión ocurre de forma presencial o mediante un enlace externo que el tutor indica al confirmar. Es la funcionalidad de mayor costo del proyecto y no aporta al problema central, que es encontrar y agendar.</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Mensajería instantánea interna</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coordinación necesaria se resuelve con los datos de la reserva, la nota de la solicitud y los avisos por correo. Un chat exige presencia en tiempo real, moderación y almacenamiento que no caben en el plazo.</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Pagos con dinero real</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MVP registra el pago de forma simulada. Se documenta el punto de integración para que la incorporación de una pasarela real sea una extensión y no una reescritura.</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Datos reales de estudiantes</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sistema se puebla con datos de prueba. Se evita el tratamiento de datos personales reales durante el desarrollo académico.</w:t>
            </w:r>
          </w:p>
        </w:tc>
      </w:tr>
      <w:tr>
        <w:trPr>
          <w:cantSplit/>
        </w:trPr>
        <w:tc>
          <w:tcPr>
            <w:tcW w:type="dxa" w:w="2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Integración con sistemas de Duoc UC</w:t>
            </w:r>
          </w:p>
        </w:tc>
        <w:tc>
          <w:tcPr>
            <w:tcW w:type="dxa" w:w="69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 se dispone de una interfaz institucional para consultar matrículas o notas. El catálogo académico se carga de forma independiente. Tampoco se usa su inicio de sesión institucional: depende de que Duoc autorice la aplicación, no entrega la carrera ni el nivel y no reemplaza los avisos por correo. El registro usa una cuenta propia con el correo institucional verificado (AD-14 del Pilar 2).</w:t>
            </w:r>
          </w:p>
        </w:tc>
      </w:tr>
      <w:tr>
        <w:trPr>
          <w:cantSplit/>
        </w:trPr>
        <w:tc>
          <w:tcPr>
            <w:tcW w:type="dxa" w:w="2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Aplicación móvil nativa</w:t>
            </w:r>
          </w:p>
        </w:tc>
        <w:tc>
          <w:tcPr>
            <w:tcW w:type="dxa" w:w="69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interfaz web se diseña con enfoque adaptable (responsive), que cubre el uso desde teléfono sin duplicar el desarrollo.</w:t>
            </w:r>
          </w:p>
        </w:tc>
      </w:tr>
    </w:tbl>
    <w:p>
      <w:pPr>
        <w:pStyle w:val="Heading1"/>
      </w:pPr>
      <w:r>
        <w:rPr>
          <w:rFonts w:ascii="Calibri" w:cs="Calibri" w:eastAsia="Calibri" w:hAnsi="Calibri"/>
        </w:rPr>
        <w:t xml:space="preserve">5. Supuestos y restricciones</w:t>
      </w:r>
    </w:p>
    <w:p>
      <w:pPr>
        <w:pStyle w:val="Heading2"/>
      </w:pPr>
      <w:r>
        <w:rPr>
          <w:rFonts w:ascii="Calibri" w:cs="Calibri" w:eastAsia="Calibri" w:hAnsi="Calibri"/>
        </w:rPr>
        <w:t xml:space="preserve">5.1 Supuestos</w:t>
      </w:r>
    </w:p>
    <w:p>
      <w:pPr>
        <w:keepNext w:val="false"/>
        <w:spacing w:after="120" w:before="0" w:line="276"/>
        <w:jc w:val="both"/>
      </w:pPr>
      <w:r>
        <w:rPr>
          <w:rFonts w:ascii="Calibri" w:cs="Calibri" w:eastAsia="Calibri" w:hAnsi="Calibri"/>
          <w:b w:val="false"/>
          <w:bCs w:val="false"/>
          <w:i w:val="false"/>
          <w:iCs w:val="false"/>
          <w:sz w:val="22"/>
          <w:szCs w:val="22"/>
        </w:rPr>
        <w:t xml:space="preserve">Afirmaciones que se dan por ciertas al planificar. Si alguna se rompe, el alcance debe revisarse.</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Los usuarios cuentan con un correo institucional válido que permite verificar su pertenencia a la institución.</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La información de mallas curriculares está disponible públicamente y puede transcribirse al catálogo.</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Cada integrante dispone de 20 a 25 horas semanales para el proyecto, constantes durante el semestre, en tardes, noches y fines de semana: los tres cursan su práctica profesional con jornada completa y ninguno cursa otros ramos. </w:t>
      </w:r>
      <w:r>
        <w:rPr>
          <w:rFonts w:ascii="Calibri" w:cs="Calibri" w:eastAsia="Calibri" w:hAnsi="Calibri"/>
          <w:b/>
          <w:bCs/>
          <w:sz w:val="22"/>
          <w:szCs w:val="22"/>
        </w:rPr>
        <w:t xml:space="preserve">Es el supuesto más frágil del plan:</w:t>
      </w:r>
      <w:r>
        <w:rPr>
          <w:rFonts w:ascii="Calibri" w:cs="Calibri" w:eastAsia="Calibri" w:hAnsi="Calibri"/>
          <w:b w:val="false"/>
          <w:bCs w:val="false"/>
          <w:sz w:val="22"/>
          <w:szCs w:val="22"/>
        </w:rPr>
        <w:t xml:space="preserve"> sumado a la práctica, significa más de 60 horas semanales por persona. Se valida con la velocidad real del sprint 1.</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La carrera y el nivel los declara el propio usuario; sin integración institucional no pueden verificarse (RN-01).</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El proyecto se evalúa sobre un entorno de desarrollo desplegado localmente en contenedores, sin exigencia de infraestructura en la nube. Se confirma con el profesor en el primer reporte.</w:t>
      </w:r>
    </w:p>
    <w:p>
      <w:pPr>
        <w:pStyle w:val="ListParagraph"/>
        <w:numPr>
          <w:ilvl w:val="0"/>
          <w:numId w:val="2"/>
        </w:numPr>
        <w:spacing w:after="60" w:before="0" w:line="276"/>
        <w:jc w:val="both"/>
      </w:pPr>
      <w:r>
        <w:rPr>
          <w:rFonts w:ascii="Calibri" w:cs="Calibri" w:eastAsia="Calibri" w:hAnsi="Calibri"/>
          <w:b w:val="false"/>
          <w:bCs w:val="false"/>
          <w:sz w:val="22"/>
          <w:szCs w:val="22"/>
        </w:rPr>
        <w:t xml:space="preserve">La sesión de tutoría ocurre fuera de la plataforma; su realización se registra, pero no se supervisa.</w:t>
      </w:r>
    </w:p>
    <w:p>
      <w:pPr>
        <w:pStyle w:val="Heading2"/>
      </w:pPr>
      <w:r>
        <w:rPr>
          <w:rFonts w:ascii="Calibri" w:cs="Calibri" w:eastAsia="Calibri" w:hAnsi="Calibri"/>
        </w:rPr>
        <w:t xml:space="preserve">5.2 Restricciones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00"/>
        <w:gridCol w:w="6760"/>
      </w:tblGrid>
      <w:tr>
        <w:trPr>
          <w:cantSplit/>
          <w:tblHeader/>
        </w:trPr>
        <w:tc>
          <w:tcPr>
            <w:tcW w:type="dxa" w:w="26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Restricción</w:t>
            </w:r>
          </w:p>
        </w:tc>
        <w:tc>
          <w:tcPr>
            <w:tcW w:type="dxa" w:w="6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Implicancia sobre el alcance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Plazo de 12 semanas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Fecha de término inamovible, con el desarrollo organizado en 5 sprints de 2 semanas. El alcance es la única variable ajustable.</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Equipo de 3 personas, 20 a 25 h semanales cada una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Entre 600 y 750 horas brutas de equipo en las 10 semanas de sprint. El alcance se compromete sobre el piso de 600 h.</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Trabajo solo fuera del horario laboral</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Las reuniones y el trabajo sincrónico ocurren en tardes, noches y fines de semana. Un bloqueo puede tardar más en resolverse porque no hay horas compartidas durante el día.</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Arquitectura de microservicios exigida</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Agrega trabajo de infraestructura, comunicación entre servicios y despliegue que no se traduce en funcionalidad visible.</w:t>
            </w:r>
          </w:p>
        </w:tc>
      </w:tr>
      <w:tr>
        <w:trPr>
          <w:cantSplit/>
        </w:trPr>
        <w:tc>
          <w:tcPr>
            <w:tcW w:type="dxa" w:w="26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Experiencia previa limitada en sistemas distribuidos</w:t>
            </w:r>
          </w:p>
        </w:tc>
        <w:tc>
          <w:tcPr>
            <w:tcW w:type="dxa" w:w="6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Debe reservarse tiempo explícito de aprendizaje dentro de la planificación, no asumirlo como gratuito.</w:t>
            </w:r>
          </w:p>
        </w:tc>
      </w:tr>
      <w:tr>
        <w:trPr>
          <w:cantSplit/>
        </w:trPr>
        <w:tc>
          <w:tcPr>
            <w:tcW w:type="dxa" w:w="26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Sin presupuesto para servicios pagados</w:t>
            </w:r>
          </w:p>
        </w:tc>
        <w:tc>
          <w:tcPr>
            <w:tcW w:type="dxa" w:w="6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Toda herramienta e infraestructura, incluido el envío de correos, debe tener una alternativa gratuita o de ambiente de pruebas.</w:t>
            </w:r>
          </w:p>
        </w:tc>
      </w:tr>
    </w:tbl>
    <w:p>
      <w:pPr>
        <w:pStyle w:val="Heading1"/>
      </w:pPr>
      <w:r>
        <w:rPr>
          <w:rFonts w:ascii="Calibri" w:cs="Calibri" w:eastAsia="Calibri" w:hAnsi="Calibri"/>
        </w:rPr>
        <w:t xml:space="preserve">6. Riesgos que afectan al alcance</w:t>
      </w:r>
    </w:p>
    <w:p>
      <w:pPr>
        <w:keepNext w:val="false"/>
        <w:spacing w:after="120" w:before="0" w:line="276"/>
        <w:jc w:val="both"/>
      </w:pPr>
      <w:r>
        <w:rPr>
          <w:rFonts w:ascii="Calibri" w:cs="Calibri" w:eastAsia="Calibri" w:hAnsi="Calibri"/>
          <w:b w:val="false"/>
          <w:bCs w:val="false"/>
          <w:i w:val="false"/>
          <w:iCs w:val="false"/>
          <w:sz w:val="22"/>
          <w:szCs w:val="22"/>
        </w:rPr>
        <w:t>Los riesgos se identifican ahora para que la respuesta esté decidida antes de que ocurran. Desde la versión 1.0 del Pilar 5, esta tabla es el origen histórico y no se actualiza por separado: el registro vigente, con disparador observable y dueño, es el anexo A del Pilar 5 (R-01 a R-21), y se revisa al cierre de cada sprint.</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60"/>
        <w:gridCol w:w="1000"/>
        <w:gridCol w:w="900"/>
        <w:gridCol w:w="4400"/>
      </w:tblGrid>
      <w:tr>
        <w:trPr>
          <w:cantSplit/>
          <w:tblHeader/>
        </w:trPr>
        <w:tc>
          <w:tcPr>
            <w:tcW w:type="dxa" w:w="30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Riesgo</w:t>
            </w:r>
          </w:p>
        </w:tc>
        <w:tc>
          <w:tcPr>
            <w:tcW w:type="dxa" w:w="10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Impacto</w:t>
            </w:r>
          </w:p>
        </w:tc>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Prob.</w:t>
            </w:r>
          </w:p>
        </w:tc>
        <w:tc>
          <w:tcPr>
            <w:tcW w:type="dxa" w:w="44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Respuesta preparada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complejidad de la arquitectura de microservicios consume el tiempo destinado a funcionalidades.</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Limitar el número de servicios al mínimo justificable. Definir los contratos de las interfaces antes de programar. Levantar el esqueleto completo en el primer sprint.</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profesor solicita eliminar el sistema de pagos y dejar las tutorías gratuitas.</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pago es un componente independiente y su estado es un atributo opcional de la reserva. Como la tarifa puede ser $0, la plataforma ya funciona sin pagos: retirarlo es desactivar un componente, no rehacer el agendamiento.</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transcripción de mallas curriculares resulta más costosa de lo estimado.</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Asignar la carga a un responsable único, comenzar con 3 carreras y cargarlas con el script desde CSV. Si aun así se alarga, el catálogo se cierra con 3 carreras y no con 5. La importación desde el panel (RF-16) sigue siendo un Should y no se promueve para resolver este riesgo: construir el importador cuesta más horas que transcribir las carreras que faltan. Es la misma respuesta que R-13 del registro único.</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capacidad real queda bajo las 20 h semanales por persona por el cansancio o las exigencias de la práctica (horas extra, informes).</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Comprometer alcance sobre el piso de 20 h. Medir la velocidad desde el cierre del sprint 1 y aplicar el orden de recorte de la sección 8.3, en lugar de improvisar qué se elimina.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integración entre servicios se posterga y revela incompatibilidades al final.</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Integrar desde el primer sprint. Ningún servicio se considera terminado hasta que responde a través del punto de entrada común.</w:t>
            </w:r>
          </w:p>
        </w:tc>
      </w:tr>
      <w:tr>
        <w:trPr>
          <w:cantSplit/>
        </w:trPr>
        <w:tc>
          <w:tcPr>
            <w:tcW w:type="dxa" w:w="3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integrante se desconecta o entrega por debajo de lo comprometido.</w:t>
            </w:r>
          </w:p>
        </w:tc>
        <w:tc>
          <w:tcPr>
            <w:tcW w:type="dxa" w:w="10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Alto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Aplicar el protocolo de incumplimiento del Pilar 3 y la revisión semanal de avance. Evitar que un servicio quede en conocimiento de una sola persona.</w:t>
            </w:r>
          </w:p>
        </w:tc>
      </w:tr>
      <w:tr>
        <w:trPr>
          <w:cantSplit/>
        </w:trPr>
        <w:tc>
          <w:tcPr>
            <w:tcW w:type="dxa" w:w="3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profesor exige desplegar la solución en la nube.</w:t>
            </w:r>
          </w:p>
        </w:tc>
        <w:tc>
          <w:tcPr>
            <w:tcW w:type="dxa" w:w="10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Media</w:t>
            </w:r>
          </w:p>
        </w:tc>
        <w:tc>
          <w:tcPr>
            <w:tcW w:type="dxa" w:w="44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Confirmarlo en el primer reporte. Si se exige, el Pilar 4 planifica un despliegue con el mismo compositor de contenedores en una máquina virtual de capa gratuita, y ese trabajo se descuenta del alcance con el orden de recorte.</w:t>
            </w:r>
          </w:p>
        </w:tc>
      </w:tr>
    </w:tbl>
    <w:p>
      <w:pPr>
        <w:pStyle w:val="Heading1"/>
      </w:pPr>
      <w:r>
        <w:rPr>
          <w:rFonts w:ascii="Calibri" w:cs="Calibri" w:eastAsia="Calibri" w:hAnsi="Calibri"/>
        </w:rPr>
        <w:t xml:space="preserve">7. Criterios de aceptación del MVP</w:t>
      </w:r>
    </w:p>
    <w:p>
      <w:pPr>
        <w:keepNext w:val="false"/>
        <w:spacing w:after="120" w:before="0" w:line="276"/>
        <w:jc w:val="both"/>
      </w:pPr>
      <w:r>
        <w:rPr>
          <w:rFonts w:ascii="Calibri" w:cs="Calibri" w:eastAsia="Calibri" w:hAnsi="Calibri"/>
          <w:b w:val="false"/>
          <w:bCs w:val="false"/>
          <w:i w:val="false"/>
          <w:iCs w:val="false"/>
          <w:sz w:val="22"/>
          <w:szCs w:val="22"/>
        </w:rPr>
        <w:t xml:space="preserve">El proyecto se considera terminado cuando los siguientes escenarios se ejecutan de principio a fin sobre el sistema desplegado.</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00"/>
        <w:gridCol w:w="8460"/>
      </w:tblGrid>
      <w:tr>
        <w:trPr>
          <w:cantSplit/>
          <w:tblHeader/>
        </w:trPr>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N.º</w:t>
            </w:r>
          </w:p>
        </w:tc>
        <w:tc>
          <w:tcPr>
            <w:tcW w:type="dxa" w:w="84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Escenario que debe funcionar</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CA1</w:t>
            </w:r>
          </w:p>
        </w:tc>
        <w:tc>
          <w:tcPr>
            <w:tcW w:type="dxa" w:w="84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usuario nuevo se registra con su correo institucional, lo verifica e inicia sesión; al cerrar sesión, necesita autenticarse de nuevo para volver a entrar.</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CA2</w:t>
            </w:r>
          </w:p>
        </w:tc>
        <w:tc>
          <w:tcPr>
            <w:tcW w:type="dxa" w:w="84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usuario completa su perfil con carrera, nivel y sede, declara una asignatura de su malla de un semestre anterior a su nivel, con su tarifa, y publica bloques de disponibilidad horaria. Si intenta declarar una asignatura de su nivel o superior, el sistema lo impide.</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CA3</w:t>
            </w:r>
          </w:p>
        </w:tc>
        <w:tc>
          <w:tcPr>
            <w:tcW w:type="dxa" w:w="84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segundo usuario busca esa asignatura, encuentra al tutor entre los resultados junto con su reputación y solicita una tutoría en un bloque disponible, con una nota opcional. El tutor recibe un correo con la solicitud.</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CA4</w:t>
            </w:r>
          </w:p>
        </w:tc>
        <w:tc>
          <w:tcPr>
            <w:tcW w:type="dxa" w:w="84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El tutor confirma la solicitud e indica la modalidad y el lugar o enlace. El bloque deja de ofrecerse a otros usuarios, las demás solicitudes sobre ese bloque quedan rechazadas y el estudiante recibe un correo con la confirmación.</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CA5</w:t>
            </w:r>
          </w:p>
        </w:tc>
        <w:tc>
          <w:tcPr>
            <w:tcW w:type="dxa" w:w="84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 la tarifa es mayor que cero, el estudiante registra el pago simulado de la reserva confirmada; un pago fallido se puede reintentar. El estado del pago se refleja en el detalle de la tutoría.</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CA6</w:t>
            </w:r>
          </w:p>
        </w:tc>
        <w:tc>
          <w:tcPr>
            <w:tcW w:type="dxa" w:w="84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Pasada la hora de término de la sesión, el solicitante la encuentra en su historial y evalúa al tutor con una nota y un comentario opcional. La calificación se incorpora a la reputación visible en el perfil del tutor.</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CA7</w:t>
            </w:r>
          </w:p>
        </w:tc>
        <w:tc>
          <w:tcPr>
            <w:tcW w:type="dxa" w:w="84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 administrador consulta usuarios y tutorías, desactiva un usuario, que ya no puede iniciar sesión, y retira una evaluación, que deja de contar para la reputación.</w:t>
            </w:r>
          </w:p>
        </w:tc>
      </w:tr>
      <w:tr>
        <w:trPr>
          <w:cantSplit/>
        </w:trPr>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CA8</w:t>
            </w:r>
          </w:p>
        </w:tc>
        <w:tc>
          <w:tcPr>
            <w:tcW w:type="dxa" w:w="84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Todos los escenarios se ejecutan sobre los servicios desplegados en contenedores y accedidos a través de un único punto de entrada.</w:t>
            </w:r>
          </w:p>
        </w:tc>
      </w:tr>
      <w:tr>
        <w:trPr>
          <w:cantSplit/>
        </w:trPr>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CA9</w:t>
            </w:r>
          </w:p>
        </w:tc>
        <w:tc>
          <w:tcPr>
            <w:tcW w:type="dxa" w:w="84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de las partes cancela una reserva confirmada: el bloque vuelve a quedar libre y, si la reserva estaba pagada, el pago queda reembolsado (simulado).</w:t>
            </w:r>
          </w:p>
        </w:tc>
      </w:tr>
    </w:tbl>
    <w:p>
      <w:pPr>
        <w:keepNext w:val="false"/>
        <w:spacing w:after="120" w:before="120" w:line="276"/>
        <w:jc w:val="both"/>
      </w:pPr>
      <w:r>
        <w:rPr>
          <w:rFonts w:ascii="Calibri" w:cs="Calibri" w:eastAsia="Calibri" w:hAnsi="Calibri"/>
          <w:b w:val="false"/>
          <w:bCs w:val="false"/>
          <w:i/>
          <w:iCs/>
          <w:sz w:val="22"/>
          <w:szCs w:val="22"/>
        </w:rPr>
        <w:t xml:space="preserve">Los criterios CA1 a CA8 conservan la numeración de la versión 1.0 para no romper las referencias del Pilar 2; CA9 es nuevo.</w:t>
      </w:r>
    </w:p>
    <w:p>
      <w:pPr>
        <w:pStyle w:val="Heading2"/>
      </w:pPr>
      <w:r>
        <w:rPr>
          <w:rFonts w:ascii="Calibri" w:cs="Calibri" w:eastAsia="Calibri" w:hAnsi="Calibri"/>
        </w:rPr>
        <w:t xml:space="preserve">7.1 Trazabilidad: objetivos, requisitos y criterios</w:t>
      </w:r>
    </w:p>
    <w:p>
      <w:pPr>
        <w:keepNext w:val="false"/>
        <w:spacing w:after="120" w:before="0" w:line="276"/>
        <w:jc w:val="both"/>
      </w:pPr>
      <w:r>
        <w:rPr>
          <w:rFonts w:ascii="Calibri" w:cs="Calibri" w:eastAsia="Calibri" w:hAnsi="Calibri"/>
          <w:b w:val="false"/>
          <w:bCs w:val="false"/>
          <w:i w:val="false"/>
          <w:iCs w:val="false"/>
          <w:sz w:val="22"/>
          <w:szCs w:val="22"/>
        </w:rPr>
        <w:t xml:space="preserve">Cada objetivo específico tiene requisitos que lo implementan y criterios que demuestran que se cumplió. Si un requisito del Must no apareciera en esta tabla, sobraría; si un objetivo no tuviera criterio, no podría demostrarse. Los Should y Could se agregan a la tabla cuando se promueven.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160"/>
        <w:gridCol w:w="3700"/>
        <w:gridCol w:w="2500"/>
      </w:tblGrid>
      <w:tr>
        <w:trPr>
          <w:cantSplit/>
          <w:tblHeader/>
        </w:trPr>
        <w:tc>
          <w:tcPr>
            <w:tcW w:type="dxa" w:w="31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Objetivo</w:t>
            </w:r>
          </w:p>
        </w:tc>
        <w:tc>
          <w:tcPr>
            <w:tcW w:type="dxa" w:w="37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Requisitos del Must</w:t>
            </w:r>
          </w:p>
        </w:tc>
        <w:tc>
          <w:tcPr>
            <w:tcW w:type="dxa" w:w="25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Criterios</w:t>
            </w:r>
          </w:p>
        </w:tc>
      </w:tr>
      <w:tr>
        <w:trPr>
          <w:cantSplit/>
        </w:trPr>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OE1 · Catálogo académico</w:t>
            </w:r>
          </w:p>
        </w:tc>
        <w:tc>
          <w:tcPr>
            <w:tcW w:type="dxa" w:w="3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RF-04</w:t>
            </w:r>
          </w:p>
        </w:tc>
        <w:tc>
          <w:tcPr>
            <w:tcW w:type="dxa" w:w="2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CA2</w:t>
            </w:r>
          </w:p>
        </w:tc>
      </w:tr>
      <w:tr>
        <w:trPr>
          <w:cantSplit/>
        </w:trPr>
        <w:tc>
          <w:tcPr>
            <w:tcW w:type="dxa" w:w="3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OE2 · Registro, perfiles y roles</w:t>
            </w:r>
          </w:p>
        </w:tc>
        <w:tc>
          <w:tcPr>
            <w:tcW w:type="dxa" w:w="3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RF-01 · RF-02 · RF-03 · RF-13</w:t>
            </w:r>
          </w:p>
        </w:tc>
        <w:tc>
          <w:tcPr>
            <w:tcW w:type="dxa" w:w="2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CA1 · CA2 · CA7</w:t>
            </w:r>
          </w:p>
        </w:tc>
      </w:tr>
      <w:tr>
        <w:trPr>
          <w:cantSplit/>
        </w:trPr>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OE3 · Flujo de agendamiento</w:t>
            </w:r>
          </w:p>
        </w:tc>
        <w:tc>
          <w:tcPr>
            <w:tcW w:type="dxa" w:w="3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RF-05 · RF-06 · RF-07 · RF-08 · RF-09 · RF-10 · RF-12</w:t>
            </w:r>
          </w:p>
        </w:tc>
        <w:tc>
          <w:tcPr>
            <w:tcW w:type="dxa" w:w="2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CA2 · CA3 · CA4 · CA5 · CA6 · CA9</w:t>
            </w:r>
          </w:p>
        </w:tc>
      </w:tr>
      <w:tr>
        <w:trPr>
          <w:cantSplit/>
        </w:trPr>
        <w:tc>
          <w:tcPr>
            <w:tcW w:type="dxa" w:w="31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OE4 · Evaluación y reputación</w:t>
            </w:r>
          </w:p>
        </w:tc>
        <w:tc>
          <w:tcPr>
            <w:tcW w:type="dxa" w:w="37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RF-11 · RF-13</w:t>
            </w:r>
          </w:p>
        </w:tc>
        <w:tc>
          <w:tcPr>
            <w:tcW w:type="dxa" w:w="2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CA6 · CA7</w:t>
            </w:r>
          </w:p>
        </w:tc>
      </w:tr>
      <w:tr>
        <w:trPr>
          <w:cantSplit/>
        </w:trPr>
        <w:tc>
          <w:tcPr>
            <w:tcW w:type="dxa" w:w="31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OE5 · Microservicios y punto único de entrada</w:t>
            </w:r>
          </w:p>
        </w:tc>
        <w:tc>
          <w:tcPr>
            <w:tcW w:type="dxa" w:w="37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RNF-05 (requisito no funcional)</w:t>
            </w:r>
          </w:p>
        </w:tc>
        <w:tc>
          <w:tcPr>
            <w:tcW w:type="dxa" w:w="2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CA8</w:t>
            </w:r>
          </w:p>
        </w:tc>
      </w:tr>
    </w:tbl>
    <w:p>
      <w:pPr>
        <w:pStyle w:val="Heading1"/>
      </w:pPr>
      <w:r>
        <w:rPr>
          <w:rFonts w:ascii="Calibri" w:cs="Calibri" w:eastAsia="Calibri" w:hAnsi="Calibri"/>
        </w:rPr>
        <w:t xml:space="preserve">8. Verificación: el alcance frente a la capacidad real</w:t>
      </w:r>
    </w:p>
    <w:p>
      <w:pPr>
        <w:keepNext w:val="false"/>
        <w:spacing w:after="120" w:before="0" w:line="276"/>
        <w:jc w:val="both"/>
      </w:pPr>
      <w:r>
        <w:rPr>
          <w:rFonts w:ascii="Calibri" w:cs="Calibri" w:eastAsia="Calibri" w:hAnsi="Calibri"/>
          <w:b w:val="false"/>
          <w:bCs w:val="false"/>
          <w:i w:val="false"/>
          <w:iCs w:val="false"/>
          <w:sz w:val="22"/>
          <w:szCs w:val="22"/>
        </w:rPr>
        <w:t xml:space="preserve">Un alcance que no se contrasta con las horas disponibles es una lista de deseos. Esta sección hace ese contraste de forma explícita y define de antemano qué se recorta si la estimación no se cumple.</w:t>
      </w:r>
    </w:p>
    <w:p>
      <w:pPr>
        <w:pStyle w:val="Heading2"/>
      </w:pPr>
      <w:r>
        <w:rPr>
          <w:rFonts w:ascii="Calibri" w:cs="Calibri" w:eastAsia="Calibri" w:hAnsi="Calibri"/>
        </w:rPr>
        <w:t xml:space="preserve">8.1 Capacidad disponible</w:t>
      </w:r>
    </w:p>
    <w:p>
      <w:pPr>
        <w:keepNext w:val="false"/>
        <w:spacing w:after="120" w:before="0" w:line="276"/>
        <w:jc w:val="both"/>
      </w:pPr>
      <w:r>
        <w:rPr>
          <w:rFonts w:ascii="Calibri" w:cs="Calibri" w:eastAsia="Calibri" w:hAnsi="Calibri"/>
          <w:b w:val="false"/>
          <w:bCs w:val="false"/>
          <w:i w:val="false"/>
          <w:iCs w:val="false"/>
          <w:sz w:val="22"/>
          <w:szCs w:val="22"/>
        </w:rPr>
        <w:t>Tres integrantes con 20 a 25 horas semanales cada uno, durante las 10 semanas de sprint: entre 600 y 750 horas brutas de equipo. El alcance se compromete sobre el piso del rango (600 h); lo que exceda ese piso funciona como colchón y se usa según la regla de promoción de la sección 3.2. Si algún sprint incluye la semana de Fiestas Patrias, se descuentan las horas de quienes no estén disponibles; el calendario se fija en el Pilar 4. Esta cuenta cubre solo las diez semanas de sprint. El Pilar 4 suma además la semana de cimientos, con las horas del líder, y por eso trabaja con 622 h brutas y 394 h efectivas: son las mismas horas más esa semana (600 + 22 = 622 y 372 + 22 = 394). No son dos cifras distintas para lo mismo.</w:t>
      </w:r>
    </w:p>
    <w:p>
      <w:pPr>
        <w:keepNext w:val="false"/>
        <w:spacing w:after="120" w:before="0" w:line="276"/>
        <w:jc w:val="both"/>
      </w:pPr>
      <w:r>
        <w:rPr>
          <w:rFonts w:ascii="Calibri" w:cs="Calibri" w:eastAsia="Calibri" w:hAnsi="Calibri"/>
          <w:b w:val="false"/>
          <w:bCs w:val="false"/>
          <w:i w:val="false"/>
          <w:iCs w:val="false"/>
          <w:sz w:val="22"/>
          <w:szCs w:val="22"/>
        </w:rPr>
        <w:t xml:space="preserve">A diferencia de la versión 1.0, el trabajo que no es programación se estima en horas y no como porcentaje: la documentación, las reuniones y el aprendizaje son costos casi fijos, que no crecen porque el equipo disponga de más horas.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860"/>
        <w:gridCol w:w="4000"/>
        <w:gridCol w:w="1500"/>
      </w:tblGrid>
      <w:tr>
        <w:trPr>
          <w:cantSplit/>
          <w:tblHeader/>
        </w:trPr>
        <w:tc>
          <w:tcPr>
            <w:tcW w:type="dxa" w:w="38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Concepto</w:t>
            </w:r>
          </w:p>
        </w:tc>
        <w:tc>
          <w:tcPr>
            <w:tcW w:type="dxa" w:w="40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Base de cálculo</w:t>
            </w:r>
          </w:p>
        </w:tc>
        <w:tc>
          <w:tcPr>
            <w:tcW w:type="dxa" w:w="15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Horas</w:t>
            </w:r>
          </w:p>
        </w:tc>
      </w:tr>
      <w:tr>
        <w:trPr>
          <w:cantSplit/>
        </w:trPr>
        <w:tc>
          <w:tcPr>
            <w:tcW w:type="dxa" w:w="38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Documentación y entregables del portafolio</w:t>
            </w:r>
          </w:p>
        </w:tc>
        <w:tc>
          <w:tcPr>
            <w:tcW w:type="dxa" w:w="4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 20 h por persona</w:t>
            </w:r>
          </w:p>
        </w:tc>
        <w:tc>
          <w:tcPr>
            <w:tcW w:type="dxa" w:w="15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60 h</w:t>
            </w:r>
          </w:p>
        </w:tc>
      </w:tr>
      <w:tr>
        <w:trPr>
          <w:cantSplit/>
        </w:trPr>
        <w:tc>
          <w:tcPr>
            <w:tcW w:type="dxa" w:w="38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Reuniones y ceremonias de Scrum</w:t>
            </w:r>
          </w:p>
        </w:tc>
        <w:tc>
          <w:tcPr>
            <w:tcW w:type="dxa" w:w="4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Cadencia del Pilar 3: ≈ 2,25 h por persona a la semana</w:t>
            </w:r>
          </w:p>
        </w:tc>
        <w:tc>
          <w:tcPr>
            <w:tcW w:type="dxa" w:w="15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68 h</w:t>
            </w:r>
          </w:p>
        </w:tc>
      </w:tr>
      <w:tr>
        <w:trPr>
          <w:cantSplit/>
        </w:trPr>
        <w:tc>
          <w:tcPr>
            <w:tcW w:type="dxa" w:w="38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Coordinación del líder</w:t>
            </w:r>
          </w:p>
        </w:tc>
        <w:tc>
          <w:tcPr>
            <w:tcW w:type="dxa" w:w="40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Backlog, contratos de interfaz y reportes al profesor</w:t>
            </w:r>
          </w:p>
        </w:tc>
        <w:tc>
          <w:tcPr>
            <w:tcW w:type="dxa" w:w="15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40 h</w:t>
            </w:r>
          </w:p>
        </w:tc>
      </w:tr>
      <w:tr>
        <w:trPr>
          <w:cantSplit/>
        </w:trPr>
        <w:tc>
          <w:tcPr>
            <w:tcW w:type="dxa" w:w="38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Curva de aprendizaje (contenedores, servicios, integración)</w:t>
            </w:r>
          </w:p>
        </w:tc>
        <w:tc>
          <w:tcPr>
            <w:tcW w:type="dxa" w:w="40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 20 h por persona</w:t>
            </w:r>
          </w:p>
        </w:tc>
        <w:tc>
          <w:tcPr>
            <w:tcW w:type="dxa" w:w="15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60 h</w:t>
            </w:r>
          </w:p>
        </w:tc>
      </w:tr>
      <w:tr>
        <w:trPr>
          <w:cantSplit/>
        </w:trPr>
        <w:tc>
          <w:tcPr>
            <w:tcW w:type="dxa" w:w="38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Total de trabajo fuera del desarrollo</w:t>
            </w:r>
          </w:p>
        </w:tc>
        <w:tc>
          <w:tcPr>
            <w:tcW w:type="dxa" w:w="4000"/>
            <w:tcMar>
              <w:top w:type="dxa" w:w="80"/>
              <w:left w:type="dxa" w:w="110"/>
              <w:bottom w:type="dxa" w:w="80"/>
              <w:right w:type="dxa" w:w="110"/>
            </w:tcMar>
          </w:tcPr>
          <w:p>
            <w:pPr>
              <w:spacing w:after="0" w:line="260"/>
              <w:jc w:val="left"/>
            </w:pPr>
          </w:p>
        </w:tc>
        <w:tc>
          <w:tcPr>
            <w:tcW w:type="dxa" w:w="15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228 h</w:t>
            </w:r>
          </w:p>
        </w:tc>
      </w:tr>
      <w:tr>
        <w:trPr>
          <w:cantSplit/>
        </w:trPr>
        <w:tc>
          <w:tcPr>
            <w:tcW w:type="dxa" w:w="3860"/>
            <w:shd w:fill="F2F2F2" w:color="auto" w:val="clear"/>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Capacidad efectiva de desarrollo, sobre el piso</w:t>
            </w:r>
          </w:p>
        </w:tc>
        <w:tc>
          <w:tcPr>
            <w:tcW w:type="dxa" w:w="4000"/>
            <w:shd w:fill="F2F2F2" w:color="auto" w:val="clear"/>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600 h − 228 h</w:t>
            </w:r>
          </w:p>
        </w:tc>
        <w:tc>
          <w:tcPr>
            <w:tcW w:type="dxa" w:w="1500"/>
            <w:shd w:fill="F2F2F2" w:color="auto" w:val="clear"/>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 372 h</w:t>
            </w:r>
          </w:p>
        </w:tc>
      </w:tr>
      <w:tr>
        <w:trPr>
          <w:cantSplit/>
        </w:trPr>
        <w:tc>
          <w:tcPr>
            <w:tcW w:type="dxa" w:w="3860"/>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Capacidad efectiva de desarrollo, sobre el techo</w:t>
            </w:r>
          </w:p>
        </w:tc>
        <w:tc>
          <w:tcPr>
            <w:tcW w:type="dxa" w:w="4000"/>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750 h − 228 h</w:t>
            </w:r>
          </w:p>
        </w:tc>
        <w:tc>
          <w:tcPr>
            <w:tcW w:type="dxa" w:w="15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 522 h</w:t>
            </w:r>
          </w:p>
        </w:tc>
      </w:tr>
    </w:tbl>
    <w:p>
      <w:pPr>
        <w:pStyle w:val="Heading2"/>
      </w:pPr>
      <w:r>
        <w:rPr>
          <w:rFonts w:ascii="Calibri" w:cs="Calibri" w:eastAsia="Calibri" w:hAnsi="Calibri"/>
        </w:rPr>
        <w:t xml:space="preserve">8.2 Estimación gruesa del Must have</w:t>
      </w:r>
    </w:p>
    <w:p>
      <w:pPr>
        <w:keepNext w:val="false"/>
        <w:spacing w:after="120" w:before="0" w:line="276"/>
        <w:jc w:val="both"/>
      </w:pPr>
      <w:r>
        <w:rPr>
          <w:rFonts w:ascii="Calibri" w:cs="Calibri" w:eastAsia="Calibri" w:hAnsi="Calibri"/>
          <w:b w:val="false"/>
          <w:bCs w:val="false"/>
          <w:i w:val="false"/>
          <w:iCs w:val="false"/>
          <w:sz w:val="22"/>
          <w:szCs w:val="22"/>
        </w:rPr>
        <w:t xml:space="preserve">Estimación preliminar, a refinar en el Pilar 4 cuando el equipo descomponga el Must en historias y las estime en conjunto. Sirve para dimensionar, no para comprometer fechas. La versión 1.0 sumaba 205 h; esta versión agrega lo que el alcance incorporó y las horas que antes no se consideraban: pruebas, integración y un frontend estimado por pantalla.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500"/>
        <w:gridCol w:w="900"/>
        <w:gridCol w:w="900"/>
        <w:gridCol w:w="4060"/>
      </w:tblGrid>
      <w:tr>
        <w:trPr>
          <w:cantSplit/>
          <w:tblHeader/>
        </w:trPr>
        <w:tc>
          <w:tcPr>
            <w:tcW w:type="dxa" w:w="35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Componente</w:t>
            </w:r>
          </w:p>
        </w:tc>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v1.0</w:t>
            </w:r>
          </w:p>
        </w:tc>
        <w:tc>
          <w:tcPr>
            <w:tcW w:type="dxa" w:w="9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v1.1</w:t>
            </w:r>
          </w:p>
        </w:tc>
        <w:tc>
          <w:tcPr>
            <w:tcW w:type="dxa" w:w="40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Qué cambia</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Infraestructura base: contenedores, punto de entrada, esqueleto de servicios</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30 h</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40 h</w:t>
            </w:r>
          </w:p>
        </w:tc>
        <w:tc>
          <w:tcPr>
            <w:tcW w:type="dxa" w:w="4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Servidor de correo para desarrollo, tareas programadas y prueba del clon limpio.</w:t>
            </w:r>
          </w:p>
        </w:tc>
      </w:tr>
      <w:tr>
        <w:trPr>
          <w:cantSplit/>
        </w:trPr>
        <w:tc>
          <w:tcPr>
            <w:tcW w:type="dxa" w:w="3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registro, verificación, sesión y perfil</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 h</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35 h</w:t>
            </w:r>
          </w:p>
        </w:tc>
        <w:tc>
          <w:tcPr>
            <w:tcW w:type="dxa" w:w="4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Cierre de sesión, edición del perfil y envío de correos.</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Catálogo académico y carga de mallas</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 h</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30 h</w:t>
            </w:r>
          </w:p>
        </w:tc>
        <w:tc>
          <w:tcPr>
            <w:tcW w:type="dxa" w:w="4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Script de carga desde CSV y transcripción de 3 a 5 carreras.</w:t>
            </w:r>
          </w:p>
        </w:tc>
      </w:tr>
      <w:tr>
        <w:trPr>
          <w:cantSplit/>
        </w:trPr>
        <w:tc>
          <w:tcPr>
            <w:tcW w:type="dxa" w:w="3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Tutorías: perfiles, disponibilidad, búsqueda, reservas y estados</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40 h</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60 h</w:t>
            </w:r>
          </w:p>
        </w:tc>
        <w:tc>
          <w:tcPr>
            <w:tcW w:type="dxa" w:w="4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Regla de habilitación, cancelación, expiración de solicitudes y confirmación concurrente.</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Evaluaciones y reputación</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15 h</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20 h</w:t>
            </w:r>
          </w:p>
        </w:tc>
        <w:tc>
          <w:tcPr>
            <w:tcW w:type="dxa" w:w="4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Comentario opcional y retiro de evaluaciones.</w:t>
            </w:r>
          </w:p>
        </w:tc>
      </w:tr>
      <w:tr>
        <w:trPr>
          <w:cantSplit/>
        </w:trPr>
        <w:tc>
          <w:tcPr>
            <w:tcW w:type="dxa" w:w="3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 simulado</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15 h</w:t>
            </w:r>
          </w:p>
        </w:tc>
        <w:tc>
          <w:tcPr>
            <w:tcW w:type="dxa" w:w="4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Reintento, reembolso y sincronización con la reserva.</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Avisos por correo</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10 h</w:t>
            </w:r>
          </w:p>
        </w:tc>
        <w:tc>
          <w:tcPr>
            <w:tcW w:type="dxa" w:w="4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Nuevo en el Must (RF-09).</w:t>
            </w:r>
          </w:p>
        </w:tc>
      </w:tr>
      <w:tr>
        <w:trPr>
          <w:cantSplit/>
        </w:trPr>
        <w:tc>
          <w:tcPr>
            <w:tcW w:type="dxa" w:w="3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Interfaz web de las pantallas del MVP</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45 h</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80 h</w:t>
            </w:r>
          </w:p>
        </w:tc>
        <w:tc>
          <w:tcPr>
            <w:tcW w:type="dxa" w:w="4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Estimada por pantalla: cerca de 13 pantallas de usuario, más la base común.</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Panel de administración</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15 h</w:t>
            </w:r>
          </w:p>
        </w:tc>
        <w:tc>
          <w:tcPr>
            <w:tcW w:type="dxa" w:w="9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 h</w:t>
            </w:r>
          </w:p>
        </w:tc>
        <w:tc>
          <w:tcPr>
            <w:tcW w:type="dxa" w:w="40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Pantallas propias contra la API; el diseño se confirma en el Pilar 2.</w:t>
            </w:r>
          </w:p>
        </w:tc>
      </w:tr>
      <w:tr>
        <w:trPr>
          <w:cantSplit/>
        </w:trPr>
        <w:tc>
          <w:tcPr>
            <w:tcW w:type="dxa" w:w="35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Pruebas automatizadas e integración entre servicios</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w:t>
            </w:r>
          </w:p>
        </w:tc>
        <w:tc>
          <w:tcPr>
            <w:tcW w:type="dxa" w:w="9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40 h</w:t>
            </w:r>
          </w:p>
        </w:tc>
        <w:tc>
          <w:tcPr>
            <w:tcW w:type="dxa" w:w="40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En la versión 1.0 no tenía horas asignadas.</w:t>
            </w:r>
          </w:p>
        </w:tc>
      </w:tr>
      <w:tr>
        <w:trPr>
          <w:cantSplit/>
        </w:trPr>
        <w:tc>
          <w:tcPr>
            <w:tcW w:type="dxa" w:w="3500"/>
            <w:tcMar>
              <w:top w:type="dxa" w:w="80"/>
              <w:left w:type="dxa" w:w="110"/>
              <w:bottom w:type="dxa" w:w="80"/>
              <w:right w:type="dxa" w:w="110"/>
            </w:tcMar>
          </w:tcPr>
          <w:p>
            <w:pPr>
              <w:spacing w:after="0" w:line="260"/>
              <w:jc w:val="left"/>
            </w:pPr>
            <w:r>
              <w:rPr>
                <w:rFonts w:ascii="Calibri" w:cs="Calibri" w:eastAsia="Calibri" w:hAnsi="Calibri"/>
                <w:b/>
                <w:bCs/>
                <w:sz w:val="20"/>
                <w:szCs w:val="20"/>
              </w:rPr>
              <w:t xml:space="preserve">Total estimado del Must have</w:t>
            </w:r>
          </w:p>
        </w:tc>
        <w:tc>
          <w:tcPr>
            <w:tcW w:type="dxa" w:w="9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 205 h</w:t>
            </w:r>
          </w:p>
        </w:tc>
        <w:tc>
          <w:tcPr>
            <w:tcW w:type="dxa" w:w="900"/>
            <w:tcMar>
              <w:top w:type="dxa" w:w="80"/>
              <w:left w:type="dxa" w:w="110"/>
              <w:bottom w:type="dxa" w:w="80"/>
              <w:right w:type="dxa" w:w="110"/>
            </w:tcMar>
          </w:tcPr>
          <w:p>
            <w:pPr>
              <w:spacing w:after="0" w:line="260"/>
              <w:jc w:val="center"/>
            </w:pPr>
            <w:r>
              <w:rPr>
                <w:rFonts w:ascii="Calibri" w:cs="Calibri" w:eastAsia="Calibri" w:hAnsi="Calibri"/>
                <w:b/>
                <w:bCs/>
                <w:sz w:val="20"/>
                <w:szCs w:val="20"/>
              </w:rPr>
              <w:t xml:space="preserve">≈ 355 h</w:t>
            </w:r>
          </w:p>
        </w:tc>
        <w:tc>
          <w:tcPr>
            <w:tcW w:type="dxa" w:w="4060"/>
            <w:tcMar>
              <w:top w:type="dxa" w:w="80"/>
              <w:left w:type="dxa" w:w="110"/>
              <w:bottom w:type="dxa" w:w="80"/>
              <w:right w:type="dxa" w:w="110"/>
            </w:tcMar>
          </w:tcPr>
          <w:p>
            <w:pPr>
              <w:spacing w:after="0" w:line="260"/>
              <w:jc w:val="left"/>
            </w:pPr>
          </w:p>
        </w:tc>
      </w:tr>
    </w:tbl>
    <w:p>
      <w:pPr>
        <w:pStyle w:val="Heading2"/>
      </w:pPr>
      <w:r>
        <w:rPr>
          <w:rFonts w:ascii="Calibri" w:cs="Calibri" w:eastAsia="Calibri" w:hAnsi="Calibri"/>
        </w:rPr>
        <w:t xml:space="preserve">8.3 Conclusión y orden de recorte</w:t>
      </w:r>
    </w:p>
    <w:p>
      <w:pPr>
        <w:keepNext w:val="false"/>
        <w:spacing w:after="120" w:before="0" w:line="276"/>
        <w:jc w:val="both"/>
      </w:pPr>
      <w:r>
        <w:rPr>
          <w:rFonts w:ascii="Calibri" w:cs="Calibri" w:eastAsia="Calibri" w:hAnsi="Calibri"/>
          <w:b/>
          <w:bCs/>
          <w:i w:val="false"/>
          <w:iCs w:val="false"/>
          <w:sz w:val="22"/>
          <w:szCs w:val="22"/>
        </w:rPr>
        <w:t xml:space="preserve">Con la base de compromiso (≈ 372 h efectivas), el Must re-estimado (≈ 355 h) cabe, pero con un margen cercano al 5 %.</w:t>
      </w:r>
      <w:r>
        <w:rPr>
          <w:rFonts w:ascii="Calibri" w:cs="Calibri" w:eastAsia="Calibri" w:hAnsi="Calibri"/>
          <w:b w:val="false"/>
          <w:bCs w:val="false"/>
          <w:i w:val="false"/>
          <w:iCs w:val="false"/>
          <w:sz w:val="22"/>
          <w:szCs w:val="22"/>
        </w:rPr>
        <w:t xml:space="preserve"> Con el techo del rango (≈ 522 h), el margen sube a cerca de un 30 %. La capacidad adicional frente a la versión 1.0 la absorben la re-estimación del Must y lo que se incorporó al alcance, así que no alcanza para comprometer los Should desde el inicio. Por eso entran según la regla de promoción de la sección 3.2, y el orden de recorte queda definido desde el primer día.</w:t>
      </w:r>
    </w:p>
    <w:p>
      <w:pPr>
        <w:keepNext/>
        <w:spacing w:after="120" w:before="0" w:line="276"/>
        <w:jc w:val="both"/>
      </w:pPr>
      <w:r>
        <w:rPr>
          <w:rFonts w:ascii="Calibri" w:cs="Calibri" w:eastAsia="Calibri" w:hAnsi="Calibri"/>
          <w:b w:val="false"/>
          <w:bCs w:val="false"/>
          <w:i w:val="false"/>
          <w:iCs w:val="false"/>
          <w:sz w:val="22"/>
          <w:szCs w:val="22"/>
        </w:rPr>
        <w:t xml:space="preserve">Orden de recorte acordado, de primero a último:</w:t>
      </w:r>
    </w:p>
    <w:p>
      <w:pPr>
        <w:pStyle w:val="ListParagraph"/>
        <w:numPr>
          <w:ilvl w:val="0"/>
          <w:numId w:val="2"/>
        </w:numPr>
        <w:spacing w:after="60" w:before="0" w:line="276"/>
        <w:jc w:val="both"/>
      </w:pPr>
      <w:r>
        <w:rPr>
          <w:rFonts w:ascii="Calibri" w:cs="Calibri" w:eastAsia="Calibri" w:hAnsi="Calibri"/>
          <w:b/>
          <w:bCs/>
          <w:sz w:val="22"/>
          <w:szCs w:val="22"/>
        </w:rPr>
        <w:t xml:space="preserve">1.º</w:t>
      </w:r>
      <w:r>
        <w:rPr>
          <w:rFonts w:ascii="Calibri" w:cs="Calibri" w:eastAsia="Calibri" w:hAnsi="Calibri"/>
          <w:b w:val="false"/>
          <w:bCs w:val="false"/>
          <w:sz w:val="22"/>
          <w:szCs w:val="22"/>
        </w:rPr>
        <w:t xml:space="preserve"> Todo el bloque Could have.</w:t>
      </w:r>
    </w:p>
    <w:p>
      <w:pPr>
        <w:pStyle w:val="ListParagraph"/>
        <w:numPr>
          <w:ilvl w:val="0"/>
          <w:numId w:val="2"/>
        </w:numPr>
        <w:spacing w:after="60" w:before="0" w:line="276"/>
        <w:jc w:val="both"/>
      </w:pPr>
      <w:r>
        <w:rPr>
          <w:rFonts w:ascii="Calibri" w:cs="Calibri" w:eastAsia="Calibri" w:hAnsi="Calibri"/>
          <w:b/>
          <w:bCs/>
          <w:sz w:val="22"/>
          <w:szCs w:val="22"/>
        </w:rPr>
        <w:t xml:space="preserve">2.º</w:t>
      </w:r>
      <w:r>
        <w:rPr>
          <w:rFonts w:ascii="Calibri" w:cs="Calibri" w:eastAsia="Calibri" w:hAnsi="Calibri"/>
          <w:b w:val="false"/>
          <w:bCs w:val="false"/>
          <w:sz w:val="22"/>
          <w:szCs w:val="22"/>
        </w:rPr>
        <w:t xml:space="preserve"> El bloque Should have, empezando por el último de la lista (filtros avanzados de búsqueda).</w:t>
      </w:r>
    </w:p>
    <w:p>
      <w:pPr>
        <w:pStyle w:val="ListParagraph"/>
        <w:numPr>
          <w:ilvl w:val="0"/>
          <w:numId w:val="2"/>
        </w:numPr>
        <w:spacing w:after="60" w:before="0" w:line="276"/>
        <w:jc w:val="both"/>
      </w:pPr>
      <w:r>
        <w:rPr>
          <w:rFonts w:ascii="Calibri" w:cs="Calibri" w:eastAsia="Calibri" w:hAnsi="Calibri"/>
          <w:b/>
          <w:bCs/>
          <w:sz w:val="22"/>
          <w:szCs w:val="22"/>
        </w:rPr>
        <w:t xml:space="preserve">3.º</w:t>
      </w:r>
      <w:r>
        <w:rPr>
          <w:rFonts w:ascii="Calibri" w:cs="Calibri" w:eastAsia="Calibri" w:hAnsi="Calibri"/>
          <w:b w:val="false"/>
          <w:bCs w:val="false"/>
          <w:sz w:val="22"/>
          <w:szCs w:val="22"/>
        </w:rPr>
        <w:t xml:space="preserve"> El panel de administración se reduce a consulta y desactivación de usuarios.</w:t>
      </w:r>
    </w:p>
    <w:p>
      <w:pPr>
        <w:pStyle w:val="ListParagraph"/>
        <w:numPr>
          <w:ilvl w:val="0"/>
          <w:numId w:val="2"/>
        </w:numPr>
        <w:spacing w:after="60" w:before="0" w:line="276"/>
        <w:jc w:val="both"/>
      </w:pPr>
      <w:r>
        <w:rPr>
          <w:rFonts w:ascii="Calibri" w:cs="Calibri" w:eastAsia="Calibri" w:hAnsi="Calibri"/>
          <w:b/>
          <w:bCs/>
          <w:sz w:val="22"/>
          <w:szCs w:val="22"/>
        </w:rPr>
        <w:t xml:space="preserve">4.º</w:t>
      </w:r>
      <w:r>
        <w:rPr>
          <w:rFonts w:ascii="Calibri" w:cs="Calibri" w:eastAsia="Calibri" w:hAnsi="Calibri"/>
          <w:b w:val="false"/>
          <w:bCs w:val="false"/>
          <w:sz w:val="22"/>
          <w:szCs w:val="22"/>
        </w:rPr>
        <w:t xml:space="preserve"> Se elimina el pago simulado y las tutorías quedan como gratuitas.</w:t>
      </w:r>
    </w:p>
    <w:p>
      <w:pPr>
        <w:pStyle w:val="ListParagraph"/>
        <w:numPr>
          <w:ilvl w:val="0"/>
          <w:numId w:val="2"/>
        </w:numPr>
        <w:spacing w:after="60" w:before="0" w:line="276"/>
        <w:jc w:val="both"/>
      </w:pPr>
      <w:r>
        <w:rPr>
          <w:rFonts w:ascii="Calibri" w:cs="Calibri" w:eastAsia="Calibri" w:hAnsi="Calibri"/>
          <w:b/>
          <w:bCs/>
          <w:sz w:val="22"/>
          <w:szCs w:val="22"/>
        </w:rPr>
        <w:t xml:space="preserve">5.º</w:t>
      </w:r>
      <w:r>
        <w:rPr>
          <w:rFonts w:ascii="Calibri" w:cs="Calibri" w:eastAsia="Calibri" w:hAnsi="Calibri"/>
          <w:b w:val="false"/>
          <w:bCs w:val="false"/>
          <w:sz w:val="22"/>
          <w:szCs w:val="22"/>
        </w:rPr>
        <w:t xml:space="preserve"> Los avisos por correo se reemplazan por un indicador de pendientes dentro de la aplicación.</w:t>
      </w:r>
    </w:p>
    <w:p>
      <w:pPr>
        <w:pStyle w:val="ListParagraph"/>
        <w:numPr>
          <w:ilvl w:val="0"/>
          <w:numId w:val="2"/>
        </w:numPr>
        <w:spacing w:after="60" w:before="0" w:line="276"/>
        <w:jc w:val="both"/>
      </w:pPr>
      <w:r>
        <w:rPr>
          <w:rFonts w:ascii="Calibri" w:cs="Calibri" w:eastAsia="Calibri" w:hAnsi="Calibri"/>
          <w:b/>
          <w:bCs/>
          <w:sz w:val="22"/>
          <w:szCs w:val="22"/>
        </w:rPr>
        <w:t xml:space="preserve">6.º</w:t>
      </w:r>
      <w:r>
        <w:rPr>
          <w:rFonts w:ascii="Calibri" w:cs="Calibri" w:eastAsia="Calibri" w:hAnsi="Calibri"/>
          <w:b w:val="false"/>
          <w:bCs w:val="false"/>
          <w:sz w:val="22"/>
          <w:szCs w:val="22"/>
        </w:rPr>
        <w:t xml:space="preserve"> Las evaluaciones se reducen a una calificación numérica, sin comentario.</w:t>
      </w:r>
    </w:p>
    <w:p>
      <w:pPr>
        <w:keepNext w:val="false"/>
        <w:spacing w:after="120" w:before="0" w:line="276"/>
        <w:jc w:val="both"/>
      </w:pPr>
      <w:r>
        <w:rPr>
          <w:rFonts w:ascii="Calibri" w:cs="Calibri" w:eastAsia="Calibri" w:hAnsi="Calibri"/>
          <w:b w:val="false"/>
          <w:bCs w:val="false"/>
          <w:i/>
          <w:iCs/>
          <w:sz w:val="22"/>
          <w:szCs w:val="22"/>
        </w:rPr>
        <w:t>Se recorta desde arriba hacia abajo. Nunca se recorta un elemento del Must have por sobre uno de esta lista. Advertencia sobre los dos primeros escalones: como el Pilar 4 no planificó ninguna historia de Could ni de Should, esos escalones ya están aplicados de fábrica y no liberan una sola hora. El primer recorte con efecto real es el tercero, cuesta 25 h y se lleva la mitad del CA7; conviene saberlo antes de confiar en un colchón que no existe.</w:t>
      </w:r>
    </w:p>
    <w:p>
      <w:pPr>
        <w:pStyle w:val="Heading1"/>
      </w:pPr>
      <w:r>
        <w:rPr>
          <w:rFonts w:ascii="Calibri" w:cs="Calibri" w:eastAsia="Calibri" w:hAnsi="Calibri"/>
        </w:rPr>
        <w:t xml:space="preserve">9. Registro de decisiones de alcance</w:t>
      </w:r>
    </w:p>
    <w:p>
      <w:pPr>
        <w:keepNext w:val="false"/>
        <w:spacing w:after="120" w:before="0" w:line="276"/>
        <w:jc w:val="both"/>
      </w:pPr>
      <w:r>
        <w:rPr>
          <w:rFonts w:ascii="Calibri" w:cs="Calibri" w:eastAsia="Calibri" w:hAnsi="Calibri"/>
          <w:b w:val="false"/>
          <w:bCs w:val="false"/>
          <w:i w:val="false"/>
          <w:iCs w:val="false"/>
          <w:sz w:val="22"/>
          <w:szCs w:val="22"/>
        </w:rPr>
        <w:t xml:space="preserve">Decisiones cerradas en esta fase. Cambiar cualquiera de ellas más adelante exige revisar la sección 8. El registro solo crece: una decisión que se modifica se registra como una fila nueva.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200"/>
        <w:gridCol w:w="5760"/>
        <w:gridCol w:w="1400"/>
      </w:tblGrid>
      <w:tr>
        <w:trPr>
          <w:cantSplit/>
          <w:tblHeader/>
        </w:trPr>
        <w:tc>
          <w:tcPr>
            <w:tcW w:type="dxa" w:w="220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Tema</w:t>
            </w:r>
          </w:p>
        </w:tc>
        <w:tc>
          <w:tcPr>
            <w:tcW w:type="dxa" w:w="5760"/>
            <w:shd w:fill="1F4E79" w:color="auto" w:val="clear"/>
            <w:tcMar>
              <w:top w:type="dxa" w:w="80"/>
              <w:left w:type="dxa" w:w="110"/>
              <w:bottom w:type="dxa" w:w="80"/>
              <w:right w:type="dxa" w:w="110"/>
            </w:tcMar>
          </w:tcPr>
          <w:p>
            <w:pPr>
              <w:spacing w:after="0" w:line="260"/>
              <w:jc w:val="left"/>
            </w:pPr>
            <w:r>
              <w:rPr>
                <w:rFonts w:ascii="Calibri" w:cs="Calibri" w:eastAsia="Calibri" w:hAnsi="Calibri"/>
                <w:b/>
                <w:bCs/>
                <w:color w:val="FFFFFF"/>
                <w:sz w:val="20"/>
                <w:szCs w:val="20"/>
              </w:rPr>
              <w:t xml:space="preserve">Decisión</w:t>
            </w:r>
          </w:p>
        </w:tc>
        <w:tc>
          <w:tcPr>
            <w:tcW w:type="dxa" w:w="1400"/>
            <w:shd w:fill="1F4E79" w:color="auto" w:val="clear"/>
            <w:tcMar>
              <w:top w:type="dxa" w:w="80"/>
              <w:left w:type="dxa" w:w="110"/>
              <w:bottom w:type="dxa" w:w="80"/>
              <w:right w:type="dxa" w:w="110"/>
            </w:tcMar>
          </w:tcPr>
          <w:p>
            <w:pPr>
              <w:spacing w:after="0" w:line="260"/>
              <w:jc w:val="center"/>
            </w:pPr>
            <w:r>
              <w:rPr>
                <w:rFonts w:ascii="Calibri" w:cs="Calibri" w:eastAsia="Calibri" w:hAnsi="Calibri"/>
                <w:b/>
                <w:bCs/>
                <w:color w:val="FFFFFF"/>
                <w:sz w:val="20"/>
                <w:szCs w:val="20"/>
              </w:rPr>
              <w:t xml:space="preserve">Fecha</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Modalidad de la sesión</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plataforma agenda; la sesión es presencial o por enlace externo. Sin videollamada integrada.</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07-09-2026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Mallas curriculares</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Modelo de datos escalable a las 92 carreras; carga inicial de 3 a 5 carreras completas; importación del resto vía script o CSV.</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07-09-2026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Sistema de pagos</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Pago simulado en el MVP, con el punto de integración documentado para una pasarela real posterior.</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07-09-2026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Identidad de usuario</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Una sola cuenta por persona; los roles de estudiante y tutor conviven en el mismo usuario.</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07-09-2026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Capacidad de planificación</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20 a 25 h semanales por persona durante las 10 semanas de sprint; el alcance se compromete sobre el piso de 600 h brutas. Reemplaza el supuesto de 5 a 10 h de la versión 1.0.</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Reglas del pago</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Tarifa por asignatura fijada por el tutor, que puede ser $0; pago simulado después de la confirmación; reintento si falla; reembolso simulado al cancelar una reserva pagada.</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Habilitación del tutor</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Solo asignaturas de la malla de su carrera ubicadas en semestres anteriores a su nivel.</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Avisos por correo</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Correo por nueva solicitud y por confirmación o rechazo en el Must; recordatorios y aviso de cancelación en Should.</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Evaluaciones</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Nota de 1 a 5 y comentario opcional; moderar consiste en que el administrador retira la evaluación.</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Cancelación simple y retiro de solicitudes pendientes en el Must; reglas de plazo y reprogramación en Should.</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Carga de mallas</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Script de carga desde CSV en el Must; importación desde el panel de administración en Should.</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Sede</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sede se guarda en el perfil y se muestra en los resultados de búsqueda. El filtro por sede queda en Should (RF-17). Surge de la revisión del frontend ya construido.</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11-09-2026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Modelo de datos</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 aprueban los trece ajustes del anexo A del Pilar 2: cinco tablas nuevas, la sede como dato de referencia, el bloque de disponibilidad guardado como dos instantes y el estado de la cuenta copiado a Tutorías. El anexo pasa a ser la fuente del esquema.</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Sede</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Deja de ser texto libre en el perfil y pasa a ser una tabla de referencia del catálogo académico. El perfil guarda el identificador, no el nombre, para que el filtro del RF-17 compare identificadores.</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Cambio de carrera o nivel</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Las asignaturas declaradas que dejan de cumplir RN-01 se desactivan solas dentro de los cinco minutos siguientes; las reservas ya creadas no se tocan. Se descartó bloquear el cambio y se descartó dejarlo fuera del MVP.</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14-09-2026</w:t>
            </w:r>
          </w:p>
        </w:tc>
      </w:tr>
      <w:tr>
        <w:trPr>
          <w:cantSplit/>
        </w:trPr>
        <w:tc>
          <w:tcPr>
            <w:tcW w:type="dxa" w:w="220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Inicio de sesión</w:t>
            </w:r>
          </w:p>
        </w:tc>
        <w:tc>
          <w:tcPr>
            <w:tcW w:type="dxa" w:w="5760"/>
            <w:shd w:fill="F2F2F2" w:color="auto" w:val="clear"/>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 xml:space="preserve">La cuenta es propia de la plataforma, con el correo @duocuc.cl verificado por un enlace de un solo uso. El inicio de sesión institucional de Duoc queda fuera del MVP: se consulta al profesor en el primer reporte y, si Duoc lo autoriza, se evalúa como un Should más, con la misma regla de promoción.</w:t>
            </w:r>
          </w:p>
        </w:tc>
        <w:tc>
          <w:tcPr>
            <w:tcW w:type="dxa" w:w="1400"/>
            <w:shd w:fill="F2F2F2" w:color="auto" w:val="clear"/>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 xml:space="preserve">25-09-2026</w:t>
            </w:r>
          </w:p>
        </w:tc>
      </w:tr>
      <w:tr>
        <w:trPr>
          <w:cantSplit/>
        </w:trPr>
        <w:tc>
          <w:tcPr>
            <w:tcW w:type="dxa" w:w="220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Datos del registro</w:t>
            </w:r>
          </w:p>
        </w:tc>
        <w:tc>
          <w:tcPr>
            <w:tcW w:type="dxa" w:w="5760"/>
            <w:tcMar>
              <w:top w:type="dxa" w:w="80"/>
              <w:left w:type="dxa" w:w="110"/>
              <w:bottom w:type="dxa" w:w="80"/>
              <w:right w:type="dxa" w:w="110"/>
            </w:tcMar>
          </w:tcPr>
          <w:p>
            <w:pPr>
              <w:spacing w:after="0" w:line="260"/>
              <w:jc w:val="left"/>
            </w:pPr>
            <w:r>
              <w:rPr>
                <w:rFonts w:ascii="Calibri" w:cs="Calibri" w:eastAsia="Calibri" w:hAnsi="Calibri"/>
                <w:b w:val="false"/>
                <w:bCs w:val="false"/>
                <w:sz w:val="20"/>
                <w:szCs w:val="20"/>
              </w:rPr>
              <w:t>El registro pide solo nombre, apellido, correo institucional y contraseña. Carrera, nivel y sede se completan después en el perfil (RF-02): carrera y sede se eligen de las listas del catálogo y el nivel lo declara el propio usuario. RN-01 los necesita recién cuando alguien declara una asignatura.</w:t>
            </w:r>
          </w:p>
        </w:tc>
        <w:tc>
          <w:tcPr>
            <w:tcW w:type="dxa" w:w="1400"/>
            <w:tcMar>
              <w:top w:type="dxa" w:w="80"/>
              <w:left w:type="dxa" w:w="110"/>
              <w:bottom w:type="dxa" w:w="80"/>
              <w:right w:type="dxa" w:w="110"/>
            </w:tcMar>
          </w:tcPr>
          <w:p>
            <w:pPr>
              <w:spacing w:after="0" w:line="260"/>
              <w:jc w:val="center"/>
            </w:pPr>
            <w:r>
              <w:rPr>
                <w:rFonts w:ascii="Calibri" w:cs="Calibri" w:eastAsia="Calibri" w:hAnsi="Calibri"/>
                <w:b w:val="false"/>
                <w:bCs w:val="false"/>
                <w:sz w:val="20"/>
                <w:szCs w:val="20"/>
              </w:rPr>
              <w:t>25-09-2026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0"/>
      <w:szCs w:val="30"/>
    </w:rPr>
  </w:style>
  <w:style w:type="paragraph" w:styleId="Heading2">
    <w:name w:val="heading 2"/>
    <w:basedOn w:val="Normal"/>
    <w:next w:val="Normal"/>
    <w:qFormat/>
    <w:pPr>
      <w:keepNext/>
      <w:spacing w:after="120" w:before="260"/>
      <w:outlineLvl w:val="1"/>
    </w:pPr>
    <w:rPr>
      <w:rFonts w:ascii="Calibri" w:cs="Calibri" w:eastAsia="Calibri" w:hAnsi="Calibri"/>
      <w:b/>
      <w:bCs/>
      <w:color w:val="2E5E8C"/>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Planificación del proyecto — Pilar 1: Definición del Alcance (v1.1)</dc:title>
  <dc:creator>Equipo Plataforma de Tutorías</dc:creator>
  <cp:lastModifiedBy>Un-named</cp:lastModifiedBy>
  <cp:revision>1</cp:revision>
  <dcterms:created xsi:type="dcterms:W3CDTF">2026-09-11T23:20:08.888Z</dcterms:created>
  <dcterms:modified xsi:type="dcterms:W3CDTF">2026-09-11T23:20:08.889Z</dcterms:modified>
</cp:coreProperties>
</file>

<file path=docProps/custom.xml><?xml version="1.0" encoding="utf-8"?>
<Properties xmlns="http://schemas.openxmlformats.org/officeDocument/2006/custom-properties" xmlns:vt="http://schemas.openxmlformats.org/officeDocument/2006/docPropsVTypes"/>
</file>