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pacing w:val="20"/>
          <w:sz w:val="17"/>
          <w:szCs w:val="17"/>
        </w:rPr>
        <w:t xml:space="preserve">PLATAFORMA DE TUTORÍAS ENTRE ESTUDIANTES  ·  LISTADO DE DOCUMENTOS</w:t>
      </w:r>
    </w:p>
    <w:p>
      <w:pPr>
        <w:spacing w:after="60"/>
      </w:pPr>
      <w:r>
        <w:rPr>
          <w:b/>
          <w:bCs/>
          <w:color w:val="1F4E79"/>
          <w:sz w:val="44"/>
          <w:szCs w:val="44"/>
        </w:rPr>
        <w:t xml:space="preserve">Evidencias Técnicas del Diseño</w:t>
      </w:r>
    </w:p>
    <w:p>
      <w:pPr>
        <w:pBdr>
          <w:bottom w:val="single" w:color="1F4E79" w:sz="8" w:space="6"/>
        </w:pBdr>
        <w:spacing w:after="200"/>
      </w:pPr>
      <w:r>
        <w:rPr>
          <w:color w:val="595959"/>
          <w:sz w:val="23"/>
          <w:szCs w:val="23"/>
        </w:rPr>
        <w:t xml:space="preserve">Arquitectura, despliegue con Docker, modelo de datos, diagramas UML, requisitos no funcionales, pruebas e integración continua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Ítem del listado</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Nota del listado: evidencias técnicas (arquitectura, modelo de datos y otras)</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Proyecto</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Plataforma de Tutorías entre Estudiantes · Capstone PTY4614 · sección 004D · Duoc UC, sede San Joaquín</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Equipo</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Bryan Bacchi (líder: Product Owner y Scrum Master) · Francisco Tejeda · Damaris Iriarte</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Versión</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1.1 · 23-10-2026. La 1.0 es del 27-09, con las secciones 3 y 6 al 01-10-2026</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Estado</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Vigente. La versión 1.1 pone al día el estado de cada evidencia con develop al 23-10 y rehace las figuras 2, 4 a 8, 10 y 12 a 14 con el modelo implementado y la decisión AD-12. Conviene que el equipo revise los diagramas UML.</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Se basa en</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Pilar 2 v1.7 y su anexo A v1.5 · Pilar 1 v1.7 (RNF) · Pilar 5 v1.5 (pruebas e integración continua) · repositorio al 23-10, develop hasta el PR #18 (docker-compose.yml, README, .github/workflows y los modelos de cada servicio)</w:t>
            </w:r>
          </w:p>
        </w:tc>
      </w:tr>
    </w:tbl>
    <w:p>
      <w:pPr>
        <w:spacing w:after="160"/>
      </w:pPr>
    </w:p>
    <w:p>
      <w:pPr>
        <w:keepNext/>
        <w:spacing w:after="120" w:before="0" w:line="264" w:lineRule="auto"/>
        <w:jc w:val="left"/>
      </w:pPr>
      <w:r>
        <w:t xml:space="preserve">El listado pide agregar las evidencias técnicas que demuestran el diseño de la solución. El instructivo del Capstone exige además, sea cual sea la metodología, arquitectura, modelo de datos, diagramas UML mínimos (casos de uso, clases, secuencia de la funcionalidad principal y componentes), requisitos no funcionales, Docker y pruebas. Este documento los reúne en un solo lugar y dice dónde está la fuente de cada uno.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047"/>
        <w:gridCol w:w="2700"/>
      </w:tblGrid>
      <w:tr>
        <w:trPr>
          <w:cantSplit/>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Evidencia exigida</w:t>
            </w:r>
          </w:p>
        </w:tc>
        <w:tc>
          <w:tcPr>
            <w:tcW w:type="dxa" w:w="40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Dónde está</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Estado al 23-10</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Arquitectura y componentes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1 · Pilar 2 §1 a §3 · README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Vigente</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Comunicación entre servicios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1 · Pilar 2 §4, §5.4 y §7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Diseño vigente; las llamadas internas llegan con HU-14, HU-21, HU-23 y HU-28. Contratos OpenAPI de Identidad y Tutorías en docs/api; faltan el de Catálogo y el de Pagos, que llega con HU-23</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Docker: Dockerfile, docker-compose, variables y cómo levantar</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2 · docker-compose.yml, .env.example y README del repositorio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Vigente para 10 de los 11 contenedores; falta el programador (HU-37). Las páginas no llevan contenedor (AD-12)</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Modelo de datos (ER)</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3 · anexo A del Pilar 2 · docs/diagramas/01 a 05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Vigente: anexo A v1.5 (23-10), con el modelo implementado</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UML: casos de uso</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4.1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Del 27-09, a revisar</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UML: clases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4.2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Actualizado el 23-10, a revisar</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UML: secuencia de la funcionalidad principal</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4.4 (registro, reserva y pago)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Actualizado el 23-10, a revisar</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UML: componentes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1 (figura 1) · Pilar 2 figura 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Vigente</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UML: estados de la reserva</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4.3 · Pilar 2 figura 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Vigente</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Requisitos no funcionales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5 · Pilar 1 §3.6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Vigente</w:t>
            </w:r>
          </w:p>
        </w:tc>
      </w:tr>
      <w:tr>
        <w:trPr>
          <w:cantSplit/>
        </w:trPr>
        <w:tc>
          <w:tcPr>
            <w:tcW w:type="dxa" w:w="2891"/>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Pruebas e integración continua</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Sección 6 · Pilar 5 §9 y §10 · plan de pruebas en cada Sprint Planning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Vigente, con la exigencia de cobertura todavía sin activar; la evidencia de ejecución se agrega en cada Sprint Review</w:t>
            </w:r>
          </w:p>
        </w:tc>
      </w:tr>
    </w:tbl>
    <w:p>
      <w:pPr>
        <w:keepNext w:val="false"/>
        <w:spacing w:after="140"/>
      </w:pPr>
    </w:p>
    <w:p>
      <w:pPr>
        <w:pStyle w:val="Heading1"/>
        <w:keepNext/>
        <w:pageBreakBefore/>
      </w:pPr>
      <w:r>
        <w:t xml:space="preserve">1. Arquitectura y comunicación entre servicios</w:t>
      </w:r>
    </w:p>
    <w:p>
      <w:pPr>
        <w:keepNext/>
        <w:spacing w:after="60" w:before="60" w:line="240" w:lineRule="auto"/>
        <w:jc w:val="center"/>
      </w:pPr>
      <w:r>
        <w:drawing>
          <wp:inline distT="0" distB="0" distL="0" distR="0">
            <wp:extent cx="6124575" cy="4229100"/>
            <wp:effectExtent t="0" r="0" b="0" l="0"/>
            <wp:docPr id="1" name="arquitectura.png" descr="Figura 1. Arquitectura de alto nivel y componentes (Pilar 2, figura 1)." title="Figura 1. Arquitectura de alto nivel y componentes (Pilar 2, 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4229100"/>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1. Arquitectura de alto nivel y componentes (Pilar 2, figura 1).</w:t>
      </w:r>
    </w:p>
    <w:p>
      <w:pPr>
        <w:keepNext w:val="false"/>
        <w:spacing w:after="160" w:before="0" w:line="264" w:lineRule="auto"/>
        <w:jc w:val="left"/>
      </w:pPr>
      <w:r>
        <w:rPr>
          <w:i/>
          <w:iCs/>
          <w:color w:val="595959"/>
          <w:sz w:val="17"/>
          <w:szCs w:val="17"/>
        </w:rPr>
        <w:t xml:space="preserve">La figura 1 es la del Pilar 2 y difiere de lo implementado en dos puntos. El cliente no es una SPA en React: son páginas HTML, CSS y JavaScript que el gateway sirve en /app/, la alternativa que AD-12 dejaba prevista si la base en React no estaba lista. Y el gateway no configura CORS, porque las páginas y la API salen del mismo origen (AD-13).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3662"/>
        <w:gridCol w:w="2891"/>
        <w:gridCol w:w="1158"/>
      </w:tblGrid>
      <w:tr>
        <w:trPr>
          <w:cantSplit/>
          <w:tblHeader/>
        </w:trPr>
        <w:tc>
          <w:tcPr>
            <w:tcW w:type="dxa" w:w="19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Servicio</w:t>
            </w:r>
          </w:p>
        </w:tc>
        <w:tc>
          <w:tcPr>
            <w:tcW w:type="dxa" w:w="36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Responsabilidad</w:t>
            </w:r>
          </w:p>
        </w:tc>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Lo que explícitamente no hace</w:t>
            </w:r>
          </w:p>
        </w:tc>
        <w:tc>
          <w:tcPr>
            <w:tcW w:type="dxa" w:w="11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Base</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Identidad · /api/identity</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Registro, verificación del correo, sesión y tokens, datos del usuario, marca de administrador y envío de todos los correos.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No sabe de asignaturas, reservas ni evaluaciones. Es el único que conoce las direcciones de correo.</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identity_db</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Catálogo académico · /api/catalog</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Carreras, sedes, mallas, semestres, asignaturas y prerrequisitos; búsqueda e importación.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No conoce usuarios ni tutores.</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catalog_db</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Tutorías · /api/tutoring</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Perfiles de tutor, disponibilidad, búsqueda, reservas con su ciclo de vida, cancelaciones, evaluaciones y reputación.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No autentica (solo verifica el token), no cobra y no envía correos por su cuenta.</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tutoring_db</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Pagos · /api/payments</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Pago asociado a una reserva, su estado y el reembolso, con resultado simulado.</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No conoce usuarios, asignaturas ni disponibilidad.</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payment_db</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Llamada interna</w:t>
            </w:r>
          </w:p>
        </w:tc>
        <w:tc>
          <w:tcPr>
            <w:tcW w:type="dxa" w:w="73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Para qué</w:t>
            </w:r>
          </w:p>
        </w:tc>
      </w:tr>
      <w:tr>
        <w:trPr>
          <w:cantSplit/>
        </w:trPr>
        <w:tc>
          <w:tcPr>
            <w:tcW w:type="dxa" w:w="2313"/>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1 · Tutorías → Catálogo</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Valida la asignatura contra la malla y el nivel (RN-01) y trae la sigla y el nombre de la asignatura, que Tutorías copia.</w:t>
            </w:r>
          </w:p>
        </w:tc>
      </w:tr>
      <w:tr>
        <w:trPr>
          <w:cantSplit/>
        </w:trPr>
        <w:tc>
          <w:tcPr>
            <w:tcW w:type="dxa" w:w="2313"/>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2 · Tutorías → Identidad</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Pide los datos del usuario, su estado y su nivel (uno a uno o por lotes en la sincronización) y pide el envío de los avisos por correo.</w:t>
            </w:r>
          </w:p>
        </w:tc>
      </w:tr>
      <w:tr>
        <w:trPr>
          <w:cantSplit/>
        </w:trPr>
        <w:tc>
          <w:tcPr>
            <w:tcW w:type="dxa" w:w="2313"/>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3 · Pagos → Tutorías</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Consulta la reserva y le informa cada estado del pago: PENDIENTE al crearlo (T-174) y después el resultado o el reembolso.</w:t>
            </w:r>
          </w:p>
        </w:tc>
      </w:tr>
      <w:tr>
        <w:trPr>
          <w:cantSplit/>
        </w:trPr>
        <w:tc>
          <w:tcPr>
            <w:tcW w:type="dxa" w:w="2313"/>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4 · Tutorías → Pagos</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Pide el reembolso simulado al cancelar una reserva pagada.</w:t>
            </w:r>
          </w:p>
        </w:tc>
      </w:tr>
    </w:tbl>
    <w:p>
      <w:pPr>
        <w:keepNext w:val="false"/>
        <w:spacing w:after="140"/>
      </w:pPr>
    </w:p>
    <w:p>
      <w:pPr>
        <w:keepNext w:val="false"/>
        <w:spacing w:after="160" w:before="0" w:line="264" w:lineRule="auto"/>
        <w:jc w:val="left"/>
      </w:pPr>
      <w:r>
        <w:rPr>
          <w:i/>
          <w:iCs/>
          <w:color w:val="595959"/>
          <w:sz w:val="17"/>
          <w:szCs w:val="17"/>
        </w:rPr>
        <w:t xml:space="preserve">Las rutas /internal no las enruta el gateway: responde 404 a cualquiera de ellas. Las cuatro llamadas internas llegan en los sprints 3 y 4: la 1 y la 2 con HU-14 y HU-21, la 3 con HU-23 y la 4 con la cancelación (HU-28). Quien llama envía la clave de servicio en la cabecera X-Clave-Servicio; sin la clave, o con otra, la ruta responde 404, como una ruta que no existe. Los tokens de usuario se firman con RS256 y solo Identidad tiene la clave privada (AD-06).</w:t>
      </w:r>
    </w:p>
    <w:p>
      <w:pPr>
        <w:pStyle w:val="Heading1"/>
        <w:keepNext/>
      </w:pPr>
      <w:r>
        <w:t xml:space="preserve">2. Despliegue con Docker</w:t>
      </w:r>
    </w:p>
    <w:p>
      <w:pPr>
        <w:keepNext/>
        <w:spacing w:after="60" w:before="60" w:line="240" w:lineRule="auto"/>
        <w:jc w:val="center"/>
      </w:pPr>
      <w:r>
        <w:drawing>
          <wp:inline distT="0" distB="0" distL="0" distR="0">
            <wp:extent cx="6032500" cy="2714625"/>
            <wp:effectExtent t="0" r="0" b="0" l="0"/>
            <wp:docPr id="1" name="despliegue.png" descr="Figura 2. Despliegue con Docker Compose: redes, contenedores y puertos publicados." title="Figura 2. Despliegue con Docker Compose: redes, contenedores y puertos pub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2500" cy="2714625"/>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2. Despliegue con Docker Compose: redes, contenedores y puertos publicados.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tblHeader/>
        </w:trPr>
        <w:tc>
          <w:tcPr>
            <w:tcW w:type="dxa" w:w="19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7"/>
                <w:szCs w:val="17"/>
              </w:rPr>
              <w:t xml:space="preserve">Aspecto</w:t>
            </w:r>
          </w:p>
        </w:tc>
        <w:tc>
          <w:tcPr>
            <w:tcW w:type="dxa" w:w="77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7"/>
                <w:szCs w:val="17"/>
              </w:rPr>
              <w:t xml:space="preserve">Cómo queda</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Comando</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rFonts w:ascii="Consolas" w:cs="Consolas" w:eastAsia="Consolas" w:hAnsi="Consolas"/>
                <w:sz w:val="15"/>
                <w:szCs w:val="15"/>
              </w:rPr>
              <w:t xml:space="preserve">docker compose up -d --build</w:t>
            </w:r>
            <w:r>
              <w:rPr>
                <w:sz w:val="17"/>
                <w:szCs w:val="17"/>
              </w:rPr>
              <w:t xml:space="preserve"> desde la raíz del repositorio, con el .env copiado desde .env.example y las claves del token generadas la primera vez (README, «Probar la demo»).</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Contenedores</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Once en total: gateway (Nginx), los cuatro servicios Django, sus cuatro bases PostgreSQL 16, Mailpit y el programador (HU-37). Hoy existen los diez primeros. No hay contenedor de frontend: el gateway sirve las páginas en /app/ (AD-12).</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Puertos</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El gateway es el único componente del sistema que publica un puerto (8080, configurable con PUERTO_GATEWAY). La bandeja de Mailpit publica además el 8025, solo en 127.0.0.1, y no es parte del sistema evaluado.</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Redes</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Una red interna (internal: true) para servicios y bases, y una de borde para lo que se publica. El gateway y Mailpit están en ambas.</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Variables</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Un solo .env en la raíz para los cuatro servicios; .env.example versionado y .env excluido del repositorio.</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Migraciones</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Cada servicio aplica las suyas al arrancar. Ningún servicio toca las tablas de otro.</w:t>
            </w:r>
          </w:p>
        </w:tc>
      </w:tr>
      <w:tr>
        <w:trPr>
          <w:cantSplit/>
        </w:trPr>
        <w:tc>
          <w:tcPr>
            <w:tcW w:type="dxa" w:w="192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Verificación continua</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El trabajo «levantar» de la integración continua levanta el sistema, consulta el estado de los cuatro servicios por el gateway y comprueba que la bandeja recibe el correo de Identidad.</w:t>
            </w:r>
          </w:p>
        </w:tc>
      </w:tr>
    </w:tbl>
    <w:p>
      <w:pPr>
        <w:keepNext w:val="false"/>
        <w:spacing w:after="140"/>
      </w:pPr>
    </w:p>
    <w:p>
      <w:pPr>
        <w:keepNext/>
        <w:spacing w:after="60" w:before="60" w:line="240" w:lineRule="auto"/>
        <w:jc w:val="center"/>
      </w:pPr>
      <w:r>
        <w:drawing>
          <wp:inline distT="0" distB="0" distL="0" distR="0">
            <wp:extent cx="3371850" cy="1790700"/>
            <wp:effectExtent t="0" r="0" b="0" l="0"/>
            <wp:docPr id="1" name="sistema_levantado.png" descr="Figura 3. Evidencia de HU-01: la página de estado del gateway muestra los cuatro servicios y sus bases respondiendo." title="Figura 3. Evidencia de HU-01: la página de estado del gateway muestra los cuatro servicios y sus bases respond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71850" cy="1790700"/>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3. Evidencia de HU-01: la página de estado del gateway muestra los cuatro servicios y sus bases respondiendo.</w:t>
      </w:r>
    </w:p>
    <w:p>
      <w:pPr>
        <w:sectPr>
          <w:headerReference w:type="default" r:id="rId7"/>
          <w:footerReference w:type="default" r:id="rId8"/>
          <w:pgSz w:w="11906" w:h="16838" w:orient="portrait"/>
          <w:pgMar w:top="1134" w:right="1134" w:bottom="1134" w:left="1134" w:header="560" w:footer="560" w:gutter="0"/>
          <w:pgNumType/>
          <w:docGrid w:linePitch="360"/>
        </w:sectPr>
      </w:pPr>
    </w:p>
    <w:p>
      <w:pPr>
        <w:pStyle w:val="Heading1"/>
        <w:keepNext/>
      </w:pPr>
      <w:r>
        <w:t xml:space="preserve">3. Modelo de datos</w:t>
      </w:r>
    </w:p>
    <w:p>
      <w:pPr>
        <w:keepNext/>
        <w:spacing w:after="120" w:before="0" w:line="264" w:lineRule="auto"/>
        <w:jc w:val="left"/>
      </w:pPr>
      <w:r>
        <w:t xml:space="preserve">Cada servicio tiene su propia base PostgreSQL y ninguna clave foránea cruza de una base a otra (AD-08). El anexo A del Pilar 2 lleva el modelo al nivel de la migración y es la fuente del esquema: su versión 1.5, del 23-10, tiene las 21 tablas del modelo implementado. Los diagramas de cada base están en docs/diagramas del repositorio. Como ningún servicio instala django.contrib.auth ni contenttypes, cada base suma solo la tabla django_migrations. La vista global muestra solo las entidades que participan de una frontera: la línea continua es una clave foránea real y la punteada, una referencia lógica que sostienen las llamadas internas.</w:t>
      </w:r>
    </w:p>
    <w:p>
      <w:pPr>
        <w:keepNext/>
        <w:spacing w:after="60" w:before="60" w:line="240" w:lineRule="auto"/>
        <w:jc w:val="center"/>
      </w:pPr>
      <w:r>
        <w:drawing>
          <wp:inline distT="0" distB="0" distL="0" distR="0">
            <wp:extent cx="8039107" cy="3913346"/>
            <wp:effectExtent t="0" r="0" b="0" l="0"/>
            <wp:docPr id="1" name="vista_global.png" descr="Figura 4. Vista global del modelo implementado al 23-10 y de los datos que cruzan fronteras." title="Figura 4. Vista global del modelo implementado al 23-10 y de los datos que cruzan front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039107" cy="3913346"/>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4. Vista global del modelo implementado al 23-10 y de los datos que cruzan fronteras.</w:t>
      </w:r>
    </w:p>
    <w:p>
      <w:pPr>
        <w:sectPr>
          <w:headerReference w:type="default" r:id="rId9"/>
          <w:footerReference w:type="default" r:id="rId10"/>
          <w:pgSz w:w="16838" w:h="11906" w:orient="landscape"/>
          <w:pgMar w:top="1134" w:right="1134" w:bottom="1134" w:left="1134" w:header="560" w:footer="560"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771"/>
        <w:gridCol w:w="7325"/>
      </w:tblGrid>
      <w:tr>
        <w:trPr>
          <w:cantSplit/>
          <w:tblHeader/>
        </w:trPr>
        <w:tc>
          <w:tcPr>
            <w:tcW w:type="dxa" w:w="1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7"/>
                <w:szCs w:val="17"/>
              </w:rPr>
              <w:t xml:space="preserve">Base</w:t>
            </w:r>
          </w:p>
        </w:tc>
        <w:tc>
          <w:tcPr>
            <w:tcW w:type="dxa" w:w="7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7"/>
                <w:szCs w:val="17"/>
              </w:rPr>
              <w:t xml:space="preserve">Tablas</w:t>
            </w:r>
          </w:p>
        </w:tc>
        <w:tc>
          <w:tcPr>
            <w:tcW w:type="dxa" w:w="73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7"/>
                <w:szCs w:val="17"/>
              </w:rPr>
              <w:t xml:space="preserve">Detalle</w:t>
            </w:r>
          </w:p>
        </w:tc>
      </w:tr>
      <w:tr>
        <w:trPr>
          <w:cantSplit/>
        </w:trPr>
        <w:tc>
          <w:tcPr>
            <w:tcW w:type="dxa" w:w="1542"/>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identity_db</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4</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usuario · token_verificacion · refresh_token · aviso_correo</w:t>
            </w:r>
          </w:p>
        </w:tc>
      </w:tr>
      <w:tr>
        <w:trPr>
          <w:cantSplit/>
        </w:trPr>
        <w:tc>
          <w:tcPr>
            <w:tcW w:type="dxa" w:w="1542"/>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catalog_db</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8</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carrera · malla · asignatura · malla_asignatura · prerrequisito · sede · importacion_catalogo · importacion_error</w:t>
            </w:r>
          </w:p>
        </w:tc>
      </w:tr>
      <w:tr>
        <w:trPr>
          <w:cantSplit/>
        </w:trPr>
        <w:tc>
          <w:tcPr>
            <w:tcW w:type="dxa" w:w="1542"/>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tutoring_db</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7</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usuario_ref · asignatura_ref · perfil_tutor · bloque_disponibilidad · reserva · evaluacion · ejecucion_tarea</w:t>
            </w:r>
          </w:p>
        </w:tc>
      </w:tr>
      <w:tr>
        <w:trPr>
          <w:cantSplit/>
        </w:trPr>
        <w:tc>
          <w:tcPr>
            <w:tcW w:type="dxa" w:w="1542"/>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payment_db</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2</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pago · intento_pago</w:t>
            </w:r>
          </w:p>
        </w:tc>
      </w:tr>
    </w:tbl>
    <w:p>
      <w:pPr>
        <w:keepNext w:val="false"/>
        <w:spacing w:after="140"/>
      </w:pPr>
    </w:p>
    <w:p>
      <w:pPr>
        <w:keepNext w:val="false"/>
        <w:spacing w:after="160" w:before="0" w:line="264" w:lineRule="auto"/>
        <w:jc w:val="left"/>
      </w:pPr>
      <w:r>
        <w:rPr>
          <w:i/>
          <w:iCs/>
          <w:color w:val="595959"/>
          <w:sz w:val="17"/>
          <w:szCs w:val="17"/>
        </w:rPr>
        <w:t xml:space="preserve">Diagramas entidad-relación por base: docs/diagramas/01_identity_db, 02_catalog_db, 03_tutoring_db y 04_payment_db (.mmd y .png); vista global: 05_vista_global.</w:t>
      </w:r>
    </w:p>
    <w:p>
      <w:pPr>
        <w:keepNext w:val="false"/>
        <w:spacing w:after="120" w:before="0" w:line="264" w:lineRule="auto"/>
        <w:jc w:val="left"/>
      </w:pPr>
      <w:r>
        <w:t xml:space="preserve">La revisión de normalización del 30-09 corrigió tres puntos del anexo A v1.4. En usuario_ref se quitaron carrera_nombre y sede_nombre, que dependían de carrera_id y sede_id y no de la clave (dependencia transitiva, 3FN). En reserva se quitó tutor_usuario_id, porque el tutor se deduce del bloque (3FN); por eso la regla de que nadie reserve su propio bloque (RN-03) pasó del CHECK ck_reserva_no_auto al disparador trg_reserva_no_auto, en la migración 0003 de Tutorías. La columna errores jsonb de importacion_catalogo pasó a la tabla hija importacion_error, con la fila y el mensaje de cada error, porque una lista guardada en una celda no cumple la 1FN.</w:t>
      </w:r>
    </w:p>
    <w:p>
      <w:pPr>
        <w:keepNext w:val="false"/>
        <w:spacing w:after="120" w:before="0" w:line="264" w:lineRule="auto"/>
        <w:jc w:val="left"/>
      </w:pPr>
      <w:r>
        <w:t xml:space="preserve">La misma revisión resolvió siete observaciones sobre el modelo. Un bloque de disponibilidad que ya recibió solicitudes no se borra: pasa a ELIMINADO, y el EXCLUDE ignora los eliminados, así que su horario queda libre para publicar otro (T-169); el que nunca recibió una se borra. La columna estado_pago de reserva queda en nulo al confirmar y pasa a PENDIENTE cuando Pagos crea el pago (T-174). Un bloque solo acepta PATCH si está LIBRE y sin solicitudes pendientes; si no, la API responde 409 (T-208). La fila de usuario_ref nace cuando la persona declara una asignatura, publica un bloque o solicita una tutoría (T-166). También se quitó el CHECK opcional de duración (T-167), la convención de marcas de tiempo se acotó a las filas que se editan (T-161) e importacion_catalogo quedó en la migración inicial (T-158), con SEDES entre los valores de tipo, como pide el criterio 2 de HU-07.</w:t>
      </w:r>
    </w:p>
    <w:p>
      <w:pPr>
        <w:keepNext w:val="false"/>
        <w:spacing w:after="120" w:before="0" w:line="264" w:lineRule="auto"/>
        <w:jc w:val="left"/>
      </w:pPr>
      <w:r>
        <w:t xml:space="preserve">Después, HU-12 agregó a asignatura la columna area (PR #9), con la que la API filtra la búsqueda por área (GET /asignaturas?area=). El anexo A v1.5 reúne todos estos cambios en su sección 3.1. Las reglas ON DELETE de las figuras 5 a 8 las aplica el ORM, no la base (anexo A, sección 2).</w:t>
      </w:r>
    </w:p>
    <w:p>
      <w:pPr>
        <w:sectPr>
          <w:headerReference w:type="default" r:id="rId11"/>
          <w:footerReference w:type="default" r:id="rId12"/>
          <w:pgSz w:w="11906" w:h="16838" w:orient="portrait"/>
          <w:pgMar w:top="1134" w:right="1134" w:bottom="1134" w:left="1134" w:header="560" w:footer="560" w:gutter="0"/>
          <w:pgNumType/>
          <w:docGrid w:linePitch="360"/>
        </w:sectPr>
      </w:pPr>
    </w:p>
    <w:p>
      <w:pPr>
        <w:keepNext/>
        <w:spacing w:after="60" w:before="60" w:line="240" w:lineRule="auto"/>
        <w:jc w:val="center"/>
      </w:pPr>
      <w:r>
        <w:drawing>
          <wp:inline distT="0" distB="0" distL="0" distR="0">
            <wp:extent cx="8773988" cy="4083828"/>
            <wp:effectExtent t="0" r="0" b="0" l="0"/>
            <wp:docPr id="1001" name="01_identity_db.png" descr="Figura 5. Modelo implementado al 23-10: identity_db (4 tablas)." title="Figura 5. Modelo implementado al 23-10: identity_db (4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773988" cy="4083828"/>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5. Modelo implementado al 23-10: identity_db (4 tablas).</w:t>
      </w:r>
    </w:p>
    <w:p>
      <w:pPr>
        <w:keepNext/>
        <w:spacing w:after="60" w:before="60" w:line="240" w:lineRule="auto"/>
        <w:jc w:val="center"/>
      </w:pPr>
      <w:r>
        <w:drawing>
          <wp:inline distT="0" distB="0" distL="0" distR="0">
            <wp:extent cx="8482676" cy="5120640"/>
            <wp:effectExtent t="0" r="0" b="0" l="0"/>
            <wp:docPr id="1002" name="02_catalog_db.png" descr="Figura 6. Modelo implementado al 23-10: catalog_db (8 tablas, con importacion_error y la columna area)." title="Figura 6. Modelo implementado al 23-10: catalog_db (8 tablas, con importacion_error y la columna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482676" cy="5120640"/>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6. Modelo implementado al 23-10: catalog_db (8 tablas, con importacion_error y la columna area).</w:t>
      </w:r>
    </w:p>
    <w:p>
      <w:pPr>
        <w:keepNext/>
        <w:spacing w:after="60" w:before="60" w:line="240" w:lineRule="auto"/>
        <w:jc w:val="center"/>
      </w:pPr>
      <w:r>
        <w:drawing>
          <wp:inline distT="0" distB="0" distL="0" distR="0">
            <wp:extent cx="7298383" cy="5110351"/>
            <wp:effectExtent t="0" r="0" b="0" l="0"/>
            <wp:docPr id="1003" name="03_tutoring_db.png" descr="Figura 7. Modelo implementado al 23-10: tutoring_db (7 tablas)." title="Figura 7. Modelo implementado al 23-10: tutoring_db (7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7298383" cy="5110351"/>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7. Modelo implementado al 23-10: tutoring_db (7 tablas).</w:t>
      </w:r>
    </w:p>
    <w:p>
      <w:pPr>
        <w:keepNext/>
        <w:spacing w:after="60" w:before="60" w:line="240" w:lineRule="auto"/>
        <w:jc w:val="center"/>
      </w:pPr>
      <w:r>
        <w:drawing>
          <wp:inline distT="0" distB="0" distL="0" distR="0">
            <wp:extent cx="5282283" cy="5120640"/>
            <wp:effectExtent t="0" r="0" b="0" l="0"/>
            <wp:docPr id="1004" name="04_payment_db.png" descr="Figura 8. Modelo implementado al 23-10: payment_db (2 tablas)." title="Figura 8. Modelo implementado al 23-10: payment_db (2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82283" cy="5120640"/>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8. Modelo implementado al 23-10: payment_db (2 tablas).</w:t>
      </w:r>
    </w:p>
    <w:p>
      <w:pPr>
        <w:sectPr>
          <w:headerReference w:type="default" r:id="rId9"/>
          <w:footerReference w:type="default" r:id="rId10"/>
          <w:pgSz w:w="16838" w:h="11906" w:orient="landscape"/>
          <w:pgMar w:top="1134" w:right="1134" w:bottom="1134" w:left="1134" w:header="560" w:footer="560" w:gutter="0"/>
          <w:pgNumType/>
          <w:docGrid w:linePitch="360"/>
        </w:sectPr>
      </w:pPr>
    </w:p>
    <w:p>
      <w:pPr>
        <w:pStyle w:val="Heading1"/>
        <w:keepNext/>
      </w:pPr>
      <w:r>
        <w:t xml:space="preserve">4. Diagramas UML</w:t>
      </w:r>
    </w:p>
    <w:p>
      <w:pPr>
        <w:pStyle w:val="Heading2"/>
        <w:keepNext/>
      </w:pPr>
      <w:r>
        <w:t xml:space="preserve">4.1 Casos de uso</w:t>
      </w:r>
    </w:p>
    <w:p>
      <w:pPr>
        <w:keepNext/>
        <w:spacing w:after="60" w:before="60" w:line="240" w:lineRule="auto"/>
        <w:jc w:val="center"/>
      </w:pPr>
      <w:r>
        <w:drawing>
          <wp:inline distT="0" distB="0" distL="0" distR="0">
            <wp:extent cx="6124575" cy="4648200"/>
            <wp:effectExtent t="0" r="0" b="0" l="0"/>
            <wp:docPr id="1" name="casos_de_uso.png" descr="Figura 9. Casos de uso de la plataforma." title="Figura 9. Casos de uso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4648200"/>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9. Casos de uso de la plataforma.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734"/>
        <w:gridCol w:w="3085"/>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Casos de uso</w:t>
            </w:r>
          </w:p>
        </w:tc>
        <w:tc>
          <w:tcPr>
            <w:tcW w:type="dxa" w:w="17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Requisitos</w:t>
            </w:r>
          </w:p>
        </w:tc>
        <w:tc>
          <w:tcPr>
            <w:tcW w:type="dxa" w:w="30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Historias</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CU-06 Registrarse · CU-07 Iniciar y cerrar sesión</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RF-01</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HU-04 · HU-05 · HU-09</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CU-08 Completar el perfil</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RF-02</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HU-10 · HU-12</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CU-11 Declarar asignaturas · CU-12 Publicar disponibilidad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RF-03 · RF-05</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HU-14 · HU-15</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CU-01 Buscar tutores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RF-06</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HU-18 · HU-20</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CU-02 Solicitar · CU-13 Confirmar o rechazar · CU-18 Avisos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RF-07 · RF-09</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HU-21 · HU-22 · HU-16</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CU-03 Retirar · CU-10 Cancelar · CU-20 Expirar</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RF-08</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HU-28 · HU-29</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CU-04 Pagar la reserva</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RF-12</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HU-23 · HU-24</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CU-05 Evaluar · CU-09 Ver el historial · CU-19 Cerrar reservas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RF-10 · RF-11</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HU-25 · HU-26 · HU-29</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CU-14 a CU-17 Administración</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RF-13 · RF-04</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HU-31 · HU-33 · HU-07 · HU-13</w:t>
            </w:r>
          </w:p>
        </w:tc>
      </w:tr>
      <w:tr>
        <w:trPr>
          <w:cantSplit/>
        </w:trPr>
        <w:tc>
          <w:tcPr>
            <w:tcW w:type="dxa" w:w="4819"/>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sz w:val="16"/>
                <w:szCs w:val="16"/>
              </w:rPr>
              <w:t xml:space="preserve">CU-21 Sincronizar copias de lectura</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RN-01 · RN-08</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HU-19</w:t>
            </w:r>
          </w:p>
        </w:tc>
      </w:tr>
    </w:tbl>
    <w:p>
      <w:pPr>
        <w:keepNext w:val="false"/>
        <w:spacing w:after="140"/>
      </w:pPr>
    </w:p>
    <w:p>
      <w:pPr>
        <w:pStyle w:val="Heading2"/>
        <w:keepNext/>
      </w:pPr>
      <w:r>
        <w:t xml:space="preserve">4.2 Clases del dominio de Tutorías</w:t>
      </w:r>
    </w:p>
    <w:p>
      <w:pPr>
        <w:keepNext/>
        <w:spacing w:after="120" w:before="0" w:line="264" w:lineRule="auto"/>
        <w:jc w:val="left"/>
      </w:pPr>
      <w:r>
        <w:t xml:space="preserve">Con Django, las clases del dominio son los modelos de cada servicio. El diagrama muestra el de Tutorías, que concentra las reglas de negocio. Los atributos salen del modelo implementado (anexo A v1.5): UsuarioRef ya no copia los nombres de la carrera ni de la sede, y el tutor de una reserva es el dueño del bloque; las operaciones de Reserva corresponden a las transiciones de la sección 9 del anexo, y sus nombres son una propuesta.</w:t>
      </w:r>
    </w:p>
    <w:p>
      <w:pPr>
        <w:keepNext/>
        <w:spacing w:after="60" w:before="60" w:line="240" w:lineRule="auto"/>
        <w:jc w:val="center"/>
      </w:pPr>
      <w:r>
        <w:drawing>
          <wp:inline distT="0" distB="0" distL="0" distR="0">
            <wp:extent cx="5258580" cy="3857625"/>
            <wp:effectExtent t="0" r="0" b="0" l="0"/>
            <wp:docPr id="1" name="clases_tutorias.png" descr="Figura 10. Diagrama de clases del servicio de Tutorías." title="Figura 10. Diagrama de clases del servicio de Tuto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58580" cy="3857625"/>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10. Diagrama de clases del servicio de Tutorías.</w:t>
      </w:r>
    </w:p>
    <w:p>
      <w:pPr>
        <w:pStyle w:val="Heading2"/>
        <w:keepNext/>
      </w:pPr>
      <w:r>
        <w:t xml:space="preserve">4.3 Estados de la reserva</w:t>
      </w:r>
    </w:p>
    <w:p>
      <w:pPr>
        <w:keepNext/>
        <w:spacing w:after="60" w:before="60" w:line="240" w:lineRule="auto"/>
        <w:jc w:val="center"/>
      </w:pPr>
      <w:r>
        <w:drawing>
          <wp:inline distT="0" distB="0" distL="0" distR="0">
            <wp:extent cx="6124575" cy="3019425"/>
            <wp:effectExtent t="0" r="0" b="0" l="0"/>
            <wp:docPr id="1" name="estados_reserva.png" descr="Figura 11. Ciclo de vida de una reserva (Pilar 2, figura 2). El estado del pago es un atributo aparte." title="Figura 11. Ciclo de vida de una reserva (Pilar 2, figura 2). El estado del pago es un atributo ap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3019425"/>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11. Ciclo de vida de una reserva (Pilar 2, figura 2). El estado del pago es un atributo aparte.</w:t>
      </w:r>
    </w:p>
    <w:p>
      <w:pPr>
        <w:keepNext w:val="false"/>
        <w:spacing w:after="160" w:before="0" w:line="264" w:lineRule="auto"/>
        <w:jc w:val="left"/>
      </w:pPr>
      <w:r>
        <w:rPr>
          <w:i/>
          <w:iCs/>
          <w:color w:val="595959"/>
          <w:sz w:val="17"/>
          <w:szCs w:val="17"/>
        </w:rPr>
        <w:t xml:space="preserve">Una solicitud también pasa a RECHAZADA si el tutor elimina el bloque, que queda ELIMINADO (anexo A, sección 9 y M-06).</w:t>
      </w:r>
    </w:p>
    <w:p>
      <w:pPr>
        <w:sectPr>
          <w:headerReference w:type="default" r:id="rId11"/>
          <w:footerReference w:type="default" r:id="rId12"/>
          <w:pgSz w:w="11906" w:h="16838" w:orient="portrait"/>
          <w:pgMar w:top="1134" w:right="1134" w:bottom="1134" w:left="1134" w:header="560" w:footer="560" w:gutter="0"/>
          <w:pgNumType/>
          <w:docGrid w:linePitch="360"/>
        </w:sectPr>
      </w:pPr>
    </w:p>
    <w:p>
      <w:pPr>
        <w:pStyle w:val="Heading2"/>
        <w:keepNext/>
      </w:pPr>
      <w:r>
        <w:t xml:space="preserve">4.4 Secuencia de la funcionalidad principal</w:t>
      </w:r>
    </w:p>
    <w:p>
      <w:pPr>
        <w:keepNext/>
        <w:spacing w:after="120" w:before="0" w:line="264" w:lineRule="auto"/>
        <w:jc w:val="left"/>
      </w:pPr>
      <w:r>
        <w:t xml:space="preserve">Tres secuencias cubren el recorrido principal: crear la cuenta y entrar (CA1), solicitar y confirmar una tutoría (CA3 y CA4), y pagar y reembolsar (CA5 y CA9). Muestran también las llamadas internas y la transacción que evita las dobles reservas. La figura 12 muestra lo que ya está en develop; las figuras 13 y 14, el diseño de HU-21 a HU-24 y de la cancelación (HU-28), con los avisos por correo de HU-16.</w:t>
      </w:r>
    </w:p>
    <w:p>
      <w:pPr>
        <w:keepNext/>
        <w:spacing w:after="60" w:before="60" w:line="240" w:lineRule="auto"/>
        <w:jc w:val="center"/>
      </w:pPr>
      <w:r>
        <w:drawing>
          <wp:inline distT="0" distB="0" distL="0" distR="0">
            <wp:extent cx="6573092" cy="4667250"/>
            <wp:effectExtent t="0" r="0" b="0" l="0"/>
            <wp:docPr id="1" name="seq_registro.png" descr="Figura 12. Registro, verificación del correo e inicio de sesión." title="Figura 12. Registro, verificación del correo 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573092" cy="4667250"/>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12. Registro, verificación del correo e inicio de sesión.</w:t>
      </w:r>
    </w:p>
    <w:p>
      <w:pPr>
        <w:keepNext/>
        <w:pageBreakBefore/>
        <w:spacing w:after="60" w:before="60" w:line="240" w:lineRule="auto"/>
        <w:jc w:val="center"/>
      </w:pPr>
      <w:r>
        <w:drawing>
          <wp:inline distT="0" distB="0" distL="0" distR="0">
            <wp:extent cx="8609258" cy="5391150"/>
            <wp:effectExtent t="0" r="0" b="0" l="0"/>
            <wp:docPr id="1" name="seq_reserva.png" descr="Figura 13. Solicitud y confirmación de una tutoría." title="Figura 13. Solicitud y confirmación de una tu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609258" cy="5391150"/>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13. Solicitud y confirmación de una tutoría.</w:t>
      </w:r>
    </w:p>
    <w:p>
      <w:pPr>
        <w:keepNext/>
        <w:pageBreakBefore/>
        <w:spacing w:after="60" w:before="60" w:line="240" w:lineRule="auto"/>
        <w:jc w:val="center"/>
      </w:pPr>
      <w:r>
        <w:drawing>
          <wp:inline distT="0" distB="0" distL="0" distR="0">
            <wp:extent cx="6365903" cy="5391150"/>
            <wp:effectExtent t="0" r="0" b="0" l="0"/>
            <wp:docPr id="1" name="seq_pago.png" descr="Figura 14. Pago simulado y reembolso al cancelar." title="Figura 14. Pago simulado y reembolso al 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365903" cy="5391150"/>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14. Pago simulado y reembolso al cancelar.</w:t>
      </w:r>
    </w:p>
    <w:p>
      <w:pPr>
        <w:sectPr>
          <w:headerReference w:type="default" r:id="rId13"/>
          <w:footerReference w:type="default" r:id="rId14"/>
          <w:pgSz w:w="16838" w:h="11906" w:orient="landscape"/>
          <w:pgMar w:top="1134" w:right="1134" w:bottom="1134" w:left="1134" w:header="560" w:footer="560" w:gutter="0"/>
          <w:pgNumType/>
          <w:docGrid w:linePitch="360"/>
        </w:sectPr>
      </w:pPr>
    </w:p>
    <w:p>
      <w:pPr>
        <w:pStyle w:val="Heading1"/>
        <w:keepNext/>
      </w:pPr>
      <w:r>
        <w:t xml:space="preserve">5.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252"/>
        <w:gridCol w:w="4047"/>
        <w:gridCol w:w="3472"/>
      </w:tblGrid>
      <w:tr>
        <w:trPr>
          <w:cantSplit/>
          <w:tblHeader/>
        </w:trPr>
        <w:tc>
          <w:tcPr>
            <w:tcW w:type="dxa" w:w="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ID</w:t>
            </w:r>
          </w:p>
        </w:tc>
        <w:tc>
          <w:tcPr>
            <w:tcW w:type="dxa" w:w="12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Atributo</w:t>
            </w:r>
          </w:p>
        </w:tc>
        <w:tc>
          <w:tcPr>
            <w:tcW w:type="dxa" w:w="40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Requisito verificable</w:t>
            </w:r>
          </w:p>
        </w:tc>
        <w:tc>
          <w:tcPr>
            <w:tcW w:type="dxa" w:w="34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Cómo y cuándo se verifica</w:t>
            </w:r>
          </w:p>
        </w:tc>
      </w:tr>
      <w:tr>
        <w:trPr>
          <w:cantSplit/>
        </w:trPr>
        <w:tc>
          <w:tcPr>
            <w:tcW w:type="dxa" w:w="86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RNF-01</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Seguridad</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Contraseñas con hash robusto, sesiones que expiran, intentos de inicio limitados y cada servicio verifica la identidad en cada petición.</w:t>
            </w:r>
          </w:p>
        </w:tc>
        <w:tc>
          <w:tcPr>
            <w:tcW w:type="dxa" w:w="34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Pruebas de tokens (HU-11 y HU-17) y límite en el gateway (HU-05).</w:t>
            </w:r>
          </w:p>
        </w:tc>
      </w:tr>
      <w:tr>
        <w:trPr>
          <w:cantSplit/>
        </w:trPr>
        <w:tc>
          <w:tcPr>
            <w:tcW w:type="dxa" w:w="86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RNF-02</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Rendimiento</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La búsqueda de tutores responde en menos de 2 s con al menos 500 usuarios de prueba.</w:t>
            </w:r>
          </w:p>
        </w:tc>
        <w:tc>
          <w:tcPr>
            <w:tcW w:type="dxa" w:w="34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Script de carga y medición en HU-34 (sprint 4).</w:t>
            </w:r>
          </w:p>
        </w:tc>
      </w:tr>
      <w:tr>
        <w:trPr>
          <w:cantSplit/>
        </w:trPr>
        <w:tc>
          <w:tcPr>
            <w:tcW w:type="dxa" w:w="86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RNF-03</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Usabilidad</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Todas las pantallas se usan en 360 px sin desplazamiento horizontal y los errores dicen qué corregir.</w:t>
            </w:r>
          </w:p>
        </w:tc>
        <w:tc>
          <w:tcPr>
            <w:tcW w:type="dxa" w:w="34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Criterio de cada historia de pantallas y revisión completa en HU-35.</w:t>
            </w:r>
          </w:p>
        </w:tc>
      </w:tr>
      <w:tr>
        <w:trPr>
          <w:cantSplit/>
        </w:trPr>
        <w:tc>
          <w:tcPr>
            <w:tcW w:type="dxa" w:w="86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RNF-04</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Compatibilidad</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Funciona en las versiones vigentes de Chrome, Edge y Firefox.</w:t>
            </w:r>
          </w:p>
        </w:tc>
        <w:tc>
          <w:tcPr>
            <w:tcW w:type="dxa" w:w="34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Revisión en HU-35.</w:t>
            </w:r>
          </w:p>
        </w:tc>
      </w:tr>
      <w:tr>
        <w:trPr>
          <w:cantSplit/>
        </w:trPr>
        <w:tc>
          <w:tcPr>
            <w:tcW w:type="dxa" w:w="86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RNF-05</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Portabilidad</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El sistema completo se levanta con un solo comando en el equipo de cualquier integrante.</w:t>
            </w:r>
          </w:p>
        </w:tc>
        <w:tc>
          <w:tcPr>
            <w:tcW w:type="dxa" w:w="34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HU-01, trabajo «levantar» y prueba del clon limpio al cierre del sprint 1.</w:t>
            </w:r>
          </w:p>
        </w:tc>
      </w:tr>
      <w:tr>
        <w:trPr>
          <w:cantSplit/>
        </w:trPr>
        <w:tc>
          <w:tcPr>
            <w:tcW w:type="dxa" w:w="86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RNF-06</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Mantenibilidad</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Las reglas de negocio tienen pruebas automatizadas; cobertura mínima de 60 % en Identidad y Tutorías.</w:t>
            </w:r>
          </w:p>
        </w:tc>
        <w:tc>
          <w:tcPr>
            <w:tcW w:type="dxa" w:w="34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HU-11, HU-27 y HU-36. La cobertura sale en el registro de cada Pull Request; la exigencia del 60 % todavía no está activada.</w:t>
            </w:r>
          </w:p>
        </w:tc>
      </w:tr>
      <w:tr>
        <w:trPr>
          <w:cantSplit/>
        </w:trPr>
        <w:tc>
          <w:tcPr>
            <w:tcW w:type="dxa" w:w="86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RNF-07</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Privacidad</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Solo se recolectan nombre, correo institucional, carrera, nivel y sede; el correo no se muestra a otros usuarios; datos de prueba.</w:t>
            </w:r>
          </w:p>
        </w:tc>
        <w:tc>
          <w:tcPr>
            <w:tcW w:type="dxa" w:w="34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El correo no sale de Identidad (AD-11) y no viaja en el token (HU-05).</w:t>
            </w:r>
          </w:p>
        </w:tc>
      </w:tr>
      <w:tr>
        <w:trPr>
          <w:cantSplit/>
        </w:trPr>
        <w:tc>
          <w:tcPr>
            <w:tcW w:type="dxa" w:w="867"/>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RNF-08</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Localización</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Interfaz en español, con fechas y horas de Chile continental.</w:t>
            </w:r>
          </w:p>
        </w:tc>
        <w:tc>
          <w:tcPr>
            <w:tcW w:type="dxa" w:w="34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Prueba de las 20:00 de Chile guardadas en UTC (HU-36).</w:t>
            </w:r>
          </w:p>
        </w:tc>
      </w:tr>
    </w:tbl>
    <w:p>
      <w:pPr>
        <w:keepNext w:val="false"/>
        <w:spacing w:after="140"/>
      </w:pPr>
    </w:p>
    <w:p>
      <w:pPr>
        <w:pStyle w:val="Heading1"/>
        <w:keepNext/>
      </w:pPr>
      <w:r>
        <w:t xml:space="preserve">6. Pruebas e integración continua</w:t>
      </w:r>
    </w:p>
    <w:p>
      <w:pPr>
        <w:keepNext/>
        <w:spacing w:after="60" w:before="60" w:line="240" w:lineRule="auto"/>
        <w:jc w:val="center"/>
      </w:pPr>
      <w:r>
        <w:drawing>
          <wp:inline distT="0" distB="0" distL="0" distR="0">
            <wp:extent cx="5819775" cy="1876425"/>
            <wp:effectExtent t="0" r="0" b="0" l="0"/>
            <wp:docPr id="1" name="integracion_continua.png" descr="Figura 15. Lo que ocurre en cada Pull Request (Pilar 5)." title="Figura 15. Lo que ocurre en cada Pull Request (Pil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9775" cy="1876425"/>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15. Lo que ocurre en cada Pull Request (Pilar 5).</w:t>
      </w:r>
    </w:p>
    <w:p>
      <w:pPr>
        <w:keepNext w:val="false"/>
        <w:spacing w:after="160" w:before="0" w:line="264" w:lineRule="auto"/>
        <w:jc w:val="left"/>
      </w:pPr>
      <w:r>
        <w:rPr>
          <w:i/>
          <w:iCs/>
          <w:color w:val="595959"/>
          <w:sz w:val="17"/>
          <w:szCs w:val="17"/>
        </w:rPr>
        <w:t xml:space="preserve">La figura 15 es la del Pilar 5. En ci.yml los cuatro trabajos corren en paralelo, y la regla de develop exige los siete checks en verde y una aprobación. ESLint, Prettier y Vitest corren solo si existe frontend/package.json; con las páginas de AD-12 esos pasos hoy no se ejecutan.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313"/>
        <w:gridCol w:w="3758"/>
        <w:gridCol w:w="2122"/>
      </w:tblGrid>
      <w:tr>
        <w:trPr>
          <w:cantSplit/>
          <w:tblHeader/>
        </w:trPr>
        <w:tc>
          <w:tcPr>
            <w:tcW w:type="dxa" w:w="14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Nivel</w:t>
            </w:r>
          </w:p>
        </w:tc>
        <w:tc>
          <w:tcPr>
            <w:tcW w:type="dxa" w:w="2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Herramienta</w:t>
            </w:r>
          </w:p>
        </w:tc>
        <w:tc>
          <w:tcPr>
            <w:tcW w:type="dxa" w:w="37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Qué demuestra</w:t>
            </w:r>
          </w:p>
        </w:tc>
        <w:tc>
          <w:tcPr>
            <w:tcW w:type="dxa" w:w="21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6"/>
                <w:szCs w:val="16"/>
              </w:rPr>
              <w:t xml:space="preserve">Cuándo</w:t>
            </w:r>
          </w:p>
        </w:tc>
      </w:tr>
      <w:tr>
        <w:trPr>
          <w:cantSplit/>
        </w:trPr>
        <w:tc>
          <w:tcPr>
            <w:tcW w:type="dxa" w:w="1445"/>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Unitaria</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pytest</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Que cada regla de negocio se comporta como dice el Pilar 1.</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En cada Pull Request</w:t>
            </w:r>
          </w:p>
        </w:tc>
      </w:tr>
      <w:tr>
        <w:trPr>
          <w:cantSplit/>
        </w:trPr>
        <w:tc>
          <w:tcPr>
            <w:tcW w:type="dxa" w:w="1445"/>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De servicio</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pytest y el cliente de pruebas de Django REST</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Que un endpoint responde el código y el cuerpo de su contrato, con y sin token.</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En cada Pull Request</w:t>
            </w:r>
          </w:p>
        </w:tc>
      </w:tr>
      <w:tr>
        <w:trPr>
          <w:cantSplit/>
        </w:trPr>
        <w:tc>
          <w:tcPr>
            <w:tcW w:type="dxa" w:w="1445"/>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De contrato</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Revisión del Pull Request contra docs/api (casilla de la plantilla del PR); la integración continua no lo automatiza</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Que el servicio no se desvió de lo acordado.</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En cada Pull Request que cambia una API pública. Catálogo todavía no tiene contrato en docs/api</w:t>
            </w:r>
          </w:p>
        </w:tc>
      </w:tr>
      <w:tr>
        <w:trPr>
          <w:cantSplit/>
        </w:trPr>
        <w:tc>
          <w:tcPr>
            <w:tcW w:type="dxa" w:w="1445"/>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De integración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pytest sobre el sistema levantado con Docker</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Que el recorrido completo funciona entre servicios.</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Sprint 4 (HU-34) y a mano en el cierre del sprint 3</w:t>
            </w:r>
          </w:p>
        </w:tc>
      </w:tr>
      <w:tr>
        <w:trPr>
          <w:cantSplit/>
        </w:trPr>
        <w:tc>
          <w:tcPr>
            <w:tcW w:type="dxa" w:w="1445"/>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De frontend</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Navegador, con el recorrido escrito en «Cómo probarlo» del Pull Request</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Que los formularios validan y las pantallas muestran carga y error.</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En cada Pull Request que toca frontend/. El trabajo pruebas-frontend de la integración continua espera un proyecto de Node: hoy termina en verde sin ejecutar pruebas (AD-12)</w:t>
            </w:r>
          </w:p>
        </w:tc>
      </w:tr>
      <w:tr>
        <w:trPr>
          <w:cantSplit/>
        </w:trPr>
        <w:tc>
          <w:tcPr>
            <w:tcW w:type="dxa" w:w="1445"/>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6"/>
                <w:szCs w:val="16"/>
              </w:rPr>
              <w:t xml:space="preserve">Manual guionada</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Los nueve criterios del Pilar 1</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Que el sistema hace lo que el proyecto prometió.</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6"/>
                <w:szCs w:val="16"/>
              </w:rPr>
              <w:t xml:space="preserve">Cierre de cada sprint</w:t>
            </w:r>
          </w:p>
        </w:tc>
      </w:tr>
    </w:tbl>
    <w:p>
      <w:pPr>
        <w:keepNext w:val="false"/>
        <w:spacing w:after="140"/>
      </w:pPr>
    </w:p>
    <w:p>
      <w:pPr>
        <w:keepNext w:val="false"/>
        <w:spacing w:after="120" w:before="0" w:line="264" w:lineRule="auto"/>
        <w:jc w:val="left"/>
      </w:pPr>
      <w:r>
        <w:t xml:space="preserve">Los PR de HU-04, HU-07, HU-08 y HU-23 (#5 a #8) incluyeron pruebas de modelo con pytest: cada una intenta guardar algo que el anexo A prohíbe y comprueba que PostgreSQL lo rechaza sin pasar por el código de la aplicación. El script scripts/probar_restricciones.ps1, que llegó a develop con el PR #16, hace veinte intentos sobre las bases levantadas. En la verificación del 30-09, hecha sobre un esquema equivalente en PostgreSQL 16, la base rechazó los diecinueve inválidos y aceptó el válido, que se incluyó a propósito: un bloque encima de otro eliminado.</w:t>
      </w:r>
    </w:p>
    <w:p>
      <w:pPr>
        <w:keepNext w:val="false"/>
        <w:spacing w:after="120" w:before="0" w:line="264" w:lineRule="auto"/>
        <w:jc w:val="left"/>
      </w:pPr>
      <w:r>
        <w:t xml:space="preserve">El plan de pruebas de cada sprint está en su Sprint Planning (carpeta de cada sprint) y los resultados en su Sprint Review: la evidencia de pruebas queda por sprint, como pide el instructivo.</w:t>
      </w:r>
    </w:p>
    <w:sectPr>
      <w:headerReference w:type="default" r:id="rId15"/>
      <w:footerReference w:type="default" r:id="rId16"/>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Pagina"/>
      <w:pBdr>
        <w:top w:val="single" w:color="D9D9D9" w:sz="4" w:space="4"/>
      </w:pBdr>
      <w:tabs>
        <w:tab w:val="right" w:pos="9638"/>
      </w:tabs>
    </w:pPr>
    <w:r>
      <w:rPr>
        <w:color w:val="8C8C8C"/>
        <w:sz w:val="15"/>
        <w:szCs w:val="15"/>
      </w:rPr>
      <w:t xml:space="preserve">Capstone PTY4614 · Duoc UC</w:t>
    </w:r>
    <w:r>
      <w:rPr>
        <w:sz w:val="15"/>
        <w:szCs w:val="15"/>
      </w:rPr>
      <w:tab/>
    </w:r>
    <w:r>
      <w:rPr>
        <w:color w:val="8C8C8C"/>
        <w:sz w:val="15"/>
        <w:szCs w:val="15"/>
      </w:rPr>
      <w:t xml:space="preserve">Página </w:t>
    </w:r>
    <w:r>
      <w:rPr>
        <w:color w:val="8C8C8C"/>
        <w:sz w:val="15"/>
        <w:szCs w:val="15"/>
      </w:rPr>
      <w:fldChar w:fldCharType="begin"/>
      <w:instrText xml:space="preserve">PAGE</w:instrText>
      <w:fldChar w:fldCharType="separate"/>
      <w:fldChar w:fldCharType="end"/>
    </w:r>
    <w:r>
      <w:rPr>
        <w:color w:val="8C8C8C"/>
        <w:sz w:val="15"/>
        <w:szCs w:val="15"/>
      </w:rPr>
      <w:t xml:space="preserve"> de </w:t>
    </w:r>
    <w:r>
      <w:rPr>
        <w:color w:val="8C8C8C"/>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Pagina"/>
      <w:pBdr>
        <w:top w:val="single" w:color="D9D9D9" w:sz="4" w:space="4"/>
      </w:pBdr>
      <w:tabs>
        <w:tab w:val="right" w:pos="14570"/>
      </w:tabs>
    </w:pPr>
    <w:r>
      <w:rPr>
        <w:color w:val="8C8C8C"/>
        <w:sz w:val="15"/>
        <w:szCs w:val="15"/>
      </w:rPr>
      <w:t xml:space="preserve">Capstone PTY4614 · Duoc UC</w:t>
    </w:r>
    <w:r>
      <w:rPr>
        <w:sz w:val="15"/>
        <w:szCs w:val="15"/>
      </w:rPr>
      <w:tab/>
    </w:r>
    <w:r>
      <w:rPr>
        <w:color w:val="8C8C8C"/>
        <w:sz w:val="15"/>
        <w:szCs w:val="15"/>
      </w:rPr>
      <w:t xml:space="preserve">Página </w:t>
    </w:r>
    <w:r>
      <w:rPr>
        <w:color w:val="8C8C8C"/>
        <w:sz w:val="15"/>
        <w:szCs w:val="15"/>
      </w:rPr>
      <w:fldChar w:fldCharType="begin"/>
      <w:instrText xml:space="preserve">PAGE</w:instrText>
      <w:fldChar w:fldCharType="separate"/>
      <w:fldChar w:fldCharType="end"/>
    </w:r>
    <w:r>
      <w:rPr>
        <w:color w:val="8C8C8C"/>
        <w:sz w:val="15"/>
        <w:szCs w:val="15"/>
      </w:rPr>
      <w:t xml:space="preserve"> de </w:t>
    </w:r>
    <w:r>
      <w:rPr>
        <w:color w:val="8C8C8C"/>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Pagina"/>
      <w:pBdr>
        <w:top w:val="single" w:color="D9D9D9" w:sz="4" w:space="4"/>
      </w:pBdr>
      <w:tabs>
        <w:tab w:val="right" w:pos="9638"/>
      </w:tabs>
    </w:pPr>
    <w:r>
      <w:rPr>
        <w:color w:val="8C8C8C"/>
        <w:sz w:val="15"/>
        <w:szCs w:val="15"/>
      </w:rPr>
      <w:t xml:space="preserve">Capstone PTY4614 · Duoc UC</w:t>
    </w:r>
    <w:r>
      <w:rPr>
        <w:sz w:val="15"/>
        <w:szCs w:val="15"/>
      </w:rPr>
      <w:tab/>
    </w:r>
    <w:r>
      <w:rPr>
        <w:color w:val="8C8C8C"/>
        <w:sz w:val="15"/>
        <w:szCs w:val="15"/>
      </w:rPr>
      <w:t xml:space="preserve">Página </w:t>
    </w:r>
    <w:r>
      <w:rPr>
        <w:color w:val="8C8C8C"/>
        <w:sz w:val="15"/>
        <w:szCs w:val="15"/>
      </w:rPr>
      <w:fldChar w:fldCharType="begin"/>
      <w:instrText xml:space="preserve">PAGE</w:instrText>
      <w:fldChar w:fldCharType="separate"/>
      <w:fldChar w:fldCharType="end"/>
    </w:r>
    <w:r>
      <w:rPr>
        <w:color w:val="8C8C8C"/>
        <w:sz w:val="15"/>
        <w:szCs w:val="15"/>
      </w:rPr>
      <w:t xml:space="preserve"> de </w:t>
    </w:r>
    <w:r>
      <w:rPr>
        <w:color w:val="8C8C8C"/>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Pagina"/>
      <w:pBdr>
        <w:top w:val="single" w:color="D9D9D9" w:sz="4" w:space="4"/>
      </w:pBdr>
      <w:tabs>
        <w:tab w:val="right" w:pos="14570"/>
      </w:tabs>
    </w:pPr>
    <w:r>
      <w:rPr>
        <w:color w:val="8C8C8C"/>
        <w:sz w:val="15"/>
        <w:szCs w:val="15"/>
      </w:rPr>
      <w:t xml:space="preserve">Capstone PTY4614 · Duoc UC</w:t>
    </w:r>
    <w:r>
      <w:rPr>
        <w:sz w:val="15"/>
        <w:szCs w:val="15"/>
      </w:rPr>
      <w:tab/>
    </w:r>
    <w:r>
      <w:rPr>
        <w:color w:val="8C8C8C"/>
        <w:sz w:val="15"/>
        <w:szCs w:val="15"/>
      </w:rPr>
      <w:t xml:space="preserve">Página </w:t>
    </w:r>
    <w:r>
      <w:rPr>
        <w:color w:val="8C8C8C"/>
        <w:sz w:val="15"/>
        <w:szCs w:val="15"/>
      </w:rPr>
      <w:fldChar w:fldCharType="begin"/>
      <w:instrText xml:space="preserve">PAGE</w:instrText>
      <w:fldChar w:fldCharType="separate"/>
      <w:fldChar w:fldCharType="end"/>
    </w:r>
    <w:r>
      <w:rPr>
        <w:color w:val="8C8C8C"/>
        <w:sz w:val="15"/>
        <w:szCs w:val="15"/>
      </w:rPr>
      <w:t xml:space="preserve"> de </w:t>
    </w:r>
    <w:r>
      <w:rPr>
        <w:color w:val="8C8C8C"/>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Pagina"/>
      <w:pBdr>
        <w:top w:val="single" w:color="D9D9D9" w:sz="4" w:space="4"/>
      </w:pBdr>
      <w:tabs>
        <w:tab w:val="right" w:pos="9638"/>
      </w:tabs>
    </w:pPr>
    <w:r>
      <w:rPr>
        <w:color w:val="8C8C8C"/>
        <w:sz w:val="15"/>
        <w:szCs w:val="15"/>
      </w:rPr>
      <w:t xml:space="preserve">Capstone PTY4614 · Duoc UC</w:t>
    </w:r>
    <w:r>
      <w:rPr>
        <w:sz w:val="15"/>
        <w:szCs w:val="15"/>
      </w:rPr>
      <w:tab/>
    </w:r>
    <w:r>
      <w:rPr>
        <w:color w:val="8C8C8C"/>
        <w:sz w:val="15"/>
        <w:szCs w:val="15"/>
      </w:rPr>
      <w:t xml:space="preserve">Página </w:t>
    </w:r>
    <w:r>
      <w:rPr>
        <w:color w:val="8C8C8C"/>
        <w:sz w:val="15"/>
        <w:szCs w:val="15"/>
      </w:rPr>
      <w:fldChar w:fldCharType="begin"/>
      <w:instrText xml:space="preserve">PAGE</w:instrText>
      <w:fldChar w:fldCharType="separate"/>
      <w:fldChar w:fldCharType="end"/>
    </w:r>
    <w:r>
      <w:rPr>
        <w:color w:val="8C8C8C"/>
        <w:sz w:val="15"/>
        <w:szCs w:val="15"/>
      </w:rPr>
      <w:t xml:space="preserve"> de </w:t>
    </w:r>
    <w:r>
      <w:rPr>
        <w:color w:val="8C8C8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C8C8C"/>
        <w:sz w:val="15"/>
        <w:szCs w:val="15"/>
      </w:rPr>
      <w:t xml:space="preserve">Plataforma de Tutorías entre Estudiantes  ·  Evidencias Técnicas del Diseño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C8C8C"/>
        <w:sz w:val="15"/>
        <w:szCs w:val="15"/>
      </w:rPr>
      <w:t xml:space="preserve">Plataforma de Tutorías entre Estudiantes  ·  Evidencias Técnicas del Diseño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C8C8C"/>
        <w:sz w:val="15"/>
        <w:szCs w:val="15"/>
      </w:rPr>
      <w:t xml:space="preserve">Plataforma de Tutorías entre Estudiantes  ·  Evidencias Técnicas del Diseño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C8C8C"/>
        <w:sz w:val="15"/>
        <w:szCs w:val="15"/>
      </w:rPr>
      <w:t xml:space="preserve">Plataforma de Tutorías entre Estudiantes  ·  Evidencias Técnicas del Diseño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C8C8C"/>
        <w:sz w:val="15"/>
        <w:szCs w:val="15"/>
      </w:rPr>
      <w:t xml:space="preserve">Plataforma de Tutorías entre Estudiantes  ·  Evidencias Técnicas del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200" w:hanging="17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DePagina">
    <w:name w:val="Pie de pagina del listado"/>
    <w:basedOn w:val="Normal"/>
    <w:pPr>
      <w:spacing w:after="0" w:before="0"/>
    </w:pPr>
    <w:rPr>
      <w:color w:val="8C8C8C"/>
      <w:sz w:val="15"/>
      <w:szCs w:val="15"/>
    </w:rPr>
  </w:style>
  <w:style w:type="paragraph" w:styleId="Heading1">
    <w:name w:val="Heading 1"/>
    <w:basedOn w:val="Normal"/>
    <w:next w:val="Normal"/>
    <w:qFormat/>
    <w:pPr>
      <w:keepNext/>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F4E79"/>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02be4db5839b623c38068edb55cb5546d2b3cf59.png"/><Relationship Id="rId18" Type="http://schemas.openxmlformats.org/officeDocument/2006/relationships/image" Target="media/83a30013c67613600196762a08a2900cb8421d0c.png"/><Relationship Id="rId19" Type="http://schemas.openxmlformats.org/officeDocument/2006/relationships/image" Target="media/bf8a67047817f0850d8b5027872d6579cff11881.png"/><Relationship Id="rId20" Type="http://schemas.openxmlformats.org/officeDocument/2006/relationships/image" Target="media/05_vista_global.png"/><Relationship Id="rId21" Type="http://schemas.openxmlformats.org/officeDocument/2006/relationships/image" Target="media/e1138cf765f3975b77a61852f64098c2928b350c.png"/><Relationship Id="rId22" Type="http://schemas.openxmlformats.org/officeDocument/2006/relationships/image" Target="media/7775e38a98067e6c235adc1689bad71f13fe583c.png"/><Relationship Id="rId23" Type="http://schemas.openxmlformats.org/officeDocument/2006/relationships/image" Target="media/4bf158e0dc3aba360b6e9ad96037db589c2b03dc.png"/><Relationship Id="rId24" Type="http://schemas.openxmlformats.org/officeDocument/2006/relationships/image" Target="media/107159dded2840f09c525beb7a15a7075da2531f.png"/><Relationship Id="rId25" Type="http://schemas.openxmlformats.org/officeDocument/2006/relationships/image" Target="media/f049179a31a0866b355e7fa5d51e8aafd37fa120.png"/><Relationship Id="rId26" Type="http://schemas.openxmlformats.org/officeDocument/2006/relationships/image" Target="media/a6f5996f17b2e65d9e896e8c23caefda2c677ae0.png"/><Relationship Id="rId27" Type="http://schemas.openxmlformats.org/officeDocument/2006/relationships/image" Target="media/514d31aa0b3721ae7790b223f9952966eb189e08.png"/><Relationship Id="rId28" Type="http://schemas.openxmlformats.org/officeDocument/2006/relationships/fontTable" Target="fontTable.xml"/><Relationship Id="rId29" Type="http://schemas.openxmlformats.org/officeDocument/2006/relationships/image" Target="media/01_identity_db.png"/><Relationship Id="rId30" Type="http://schemas.openxmlformats.org/officeDocument/2006/relationships/image" Target="media/02_catalog_db.png"/><Relationship Id="rId31" Type="http://schemas.openxmlformats.org/officeDocument/2006/relationships/image" Target="media/03_tutoring_db.png"/><Relationship Id="rId32" Type="http://schemas.openxmlformats.org/officeDocument/2006/relationships/image" Target="media/04_payment_d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Técnicas del Diseño</dc:title>
  <dc:creator>Equipo Plataforma de Tutorías</dc:creator>
  <dc:description>Arquitectura, despliegue con Docker, modelo de datos, diagramas UML, requisitos no funcionales, pruebas e integración continua</dc:description>
  <cp:lastModifiedBy>Equipo Plataforma de Tutorías</cp:lastModifiedBy>
  <cp:revision>1</cp:revision>
  <dcterms:created xsi:type="dcterms:W3CDTF">2026-09-27T18:49:12.706Z</dcterms:created>
  <dcterms:modified xsi:type="dcterms:W3CDTF">2026-10-23T18:00:00Z</dcterms:modified>
</cp:coreProperties>
</file>

<file path=docProps/custom.xml><?xml version="1.0" encoding="utf-8"?>
<Properties xmlns="http://schemas.openxmlformats.org/officeDocument/2006/custom-properties" xmlns:vt="http://schemas.openxmlformats.org/officeDocument/2006/docPropsVTypes"/>
</file>