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DOCUMENTO DE PLANIFICACIÓN DEL PROYECTO</w:t>
      </w:r>
    </w:p>
    <w:p>
      <w:pPr>
        <w:spacing w:after="60"/>
        <w:jc w:val="center"/>
      </w:pPr>
      <w:r>
        <w:rPr>
          <w:rFonts w:ascii="Calibri" w:cs="Calibri" w:eastAsia="Calibri" w:hAnsi="Calibri"/>
          <w:color w:val="444444"/>
          <w:sz w:val="28"/>
          <w:szCs w:val="28"/>
        </w:rPr>
        <w:t xml:space="preserve">Plataforma de Tutorías entre Estudiantes</w:t>
      </w:r>
    </w:p>
    <w:p>
      <w:pPr>
        <w:pBdr>
          <w:bottom w:val="single" w:color="1F4E79" w:sz="8" w:space="8"/>
        </w:pBdr>
        <w:spacing w:after="300"/>
        <w:jc w:val="center"/>
      </w:pPr>
      <w:r>
        <w:rPr>
          <w:rFonts w:ascii="Calibri" w:cs="Calibri" w:eastAsia="Calibri" w:hAnsi="Calibri"/>
          <w:i/>
          <w:iCs/>
          <w:color w:val="666666"/>
          <w:sz w:val="20"/>
          <w:szCs w:val="20"/>
        </w:rPr>
        <w:t xml:space="preserve">Portafolio de Título · Ingeniería en Informática · Duoc UC</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960"/>
      </w:tblGrid>
      <w:tr>
        <w:trPr>
          <w:cantSplit/>
          <w:tblHeader/>
        </w:trPr>
        <w:tc>
          <w:tcPr>
            <w:tcW w:type="dxa" w:w="2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Campo</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Sección del documento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Pilar 2 — Diseño y Arquitectura (el "cómo")</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Versión</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1.7 — carrera y sede se validan donde se usan</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Fecha</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25 de septiembre de 2026 (versión 1.0: 2 de septiembre de 2026)</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Depende de</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Pilar 1 — Definición del Alcance, versión 1.7</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Estado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Planificación cerrada, sin puntos abiertos: P1 v1.7, P2 v1.7, P3 v1.7, P4 v1.6 y P5 v1.5, con el anexo A v1.4 aprobado.</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Anexo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Anexo A — Modelo de datos detallado (versión 1.4), aprobado el 14-09-2026. Lleva la sección 6 al nivel de la migración: tipos, nulabilidad, restricciones e índices. Ante cualquier diferencia con esta sección, manda el anexo.</w:t>
            </w:r>
          </w:p>
        </w:tc>
      </w:tr>
    </w:tbl>
    <w:p>
      <w:pPr>
        <w:keepNext w:val="false"/>
        <w:spacing w:after="120" w:before="0" w:line="276"/>
        <w:jc w:val="both"/>
      </w:pPr>
      <w:r>
        <w:rPr>
          <w:rFonts w:ascii="Calibri" w:cs="Calibri" w:eastAsia="Calibri" w:hAnsi="Calibri"/>
          <w:b w:val="false"/>
          <w:bCs w:val="false"/>
          <w:i w:val="false"/>
          <w:iCs w:val="false"/>
          <w:sz w:val="22"/>
          <w:szCs w:val="22"/>
        </w:rPr>
        <w:t xml:space="preserve">Este pilar responde a cómo se construye lo definido en el Pilar 1. Su propósito no es agotar el detalle técnico, sino dejar cerradas las decisiones que, si se postergan, obligan a rehacer trabajo: las fronteras entre servicios, la forma de autenticar, el modelo de datos de cada servicio y la manera en que los datos cruzan de uno a otro.</w:t>
      </w:r>
    </w:p>
    <w:p>
      <w:pPr>
        <w:pStyle w:val="Heading1"/>
      </w:pPr>
      <w:r>
        <w:rPr>
          <w:rFonts w:ascii="Calibri" w:cs="Calibri" w:eastAsia="Calibri" w:hAnsi="Calibri"/>
        </w:rPr>
        <w:t xml:space="preserve">Control de cambios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1400"/>
        <w:gridCol w:w="6960"/>
      </w:tblGrid>
      <w:tr>
        <w:trPr>
          <w:cantSplit/>
          <w:tblHeader/>
        </w:trPr>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Versión</w:t>
            </w:r>
          </w:p>
        </w:tc>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Fecha</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Cambios</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02-09-2026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Versión inicial para revisión del equipo.</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Cinco decisiones nuevas: panel de administración, transiciones por tiempo, correo, base del frontend y almacenamiento del token (AD-09 a AD-13). Contratos completos, con endpoints de administración e internos y especificación OpenAPI por servicio. Modelo de datos alineado con las reglas de negocio del Pilar 1 v1.1. Cuarta llamada interna para el reembolso. Ciclo de vida con retiro de solicitudes, expiración y liberación del bloque. Las dos figuras se rehicieron.</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1.2</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 agrega la sede del usuario al modelo de Identidad y a la copia de lectura de Tutorías, junto con los endpoints que la exponen. Viene de la revisión del frontend ya construido y del Pilar 1 v1.2.</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Auditoría cruzada. El endpoint interno de la malla devuelve además el nombre de la carrera, que la sección 7 ya daba por copiado y ningún contrato entregaba. Se agrega el endpoint que devuelve las evaluaciones visibles de un tutor, sin el cual moderar un comentario no tiene objeto. El token deja de llevar el correo, para no contradecir la sección 3 ni el RNF-07. Se precisa el puerto de la bandeja de correo, se remite la tabla de riesgos al anexo A del Pilar 5 y se cierra la sección 14.</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equipo aprobó los trece ajustes del anexo A y la sección 6 los recoge: cinco tablas nuevas (aviso_correo, sede, importacion_catalogo, ejecucion_tarea e intento_pago), la sede como dato de referencia del Catálogo, el bloque de disponibilidad como dos instantes y el estado de la cuenta copiado a usuario_ref, que es lo que hace cumplible RN-08 en la búsqueda. Dos endpoints nuevos que los ajustes exigen: GET /internal/usuarios?ids= en Identidad y GET /sedes con su interno en Catálogo. PATCH /yo deja registrado qué pasa con los perfiles de tutor cuando cambia la carrera o el nivel.</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1.5</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La sección 9 y la sección 3 del Pilar 5 describían dos estructuras de repositorio distintas, y HU-01 la crea esta semana: ahora las dos muestran el mismo árbol, con infra/nginx en lugar de gateway y con docs/diagramas, que el anexo A cita seis veces. La sección 2 enumera qué lleva cada llamada interna. La sección 7 dejaba de copiar y copiar el estado de la cuenta en dos filas seguidas. La sección 14 daba por abiertos los ajustes del anexo, que ya están aprobados.</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1.6</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AD-14 nueva: la cuenta es propia, con el correo institucional verificado, y el inicio de sesión de Duoc queda registrado como alternativa evaluada, con el motivo y la condición para retomarla. AD-11 deja escrito lo que Mailpit no prueba: en la demostración, la verificación muestra el flujo, pero no la pertenencia, porque ningún correo llega a una casilla real. La sección 10 recoge lo que comprobó HU-02: Docker no publica los puertos de un contenedor que solo está en una red interna, así que la bandeja de correo va en las dos redes, igual que Nginx, e Identidad no depende de ella para arrancar.</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1.7</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25-09-2026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AD-15 nueva: Identidad guarda la carrera y la sede del perfil sin consultarlas a Catálogo, y se validan donde se usan. El anexo decía que se validaban al registrar, con una llamada de Identidad a Catálogo que no estaba entre las cuatro de la sección 2. GET /carreras dice qué formulario lo usa. La sección 10 recoge lo que dejó HU-01: un solo .env en la raíz, no uno por servicio, y cada servicio escuchando en el puerto 8000 de su contenedor, que la figura 1 mostraba como 8001 a 8004. Las secciones 9 y 14 dicen qué parte del árbol creó HU-01, qué hay de verdad en infra/nginx y en cada servicio, y que HU-03 congela solo el contrato de Identidad.</w:t>
            </w:r>
          </w:p>
        </w:tc>
      </w:tr>
    </w:tbl>
    <w:p>
      <w:pPr>
        <w:pStyle w:val="Heading1"/>
      </w:pPr>
      <w:r>
        <w:rPr>
          <w:rFonts w:ascii="Calibri" w:cs="Calibri" w:eastAsia="Calibri" w:hAnsi="Calibri"/>
        </w:rPr>
        <w:t xml:space="preserve">1. Decisiones de arquitectura</w:t>
      </w:r>
    </w:p>
    <w:p>
      <w:pPr>
        <w:keepNext w:val="false"/>
        <w:spacing w:after="120" w:before="0" w:line="276"/>
        <w:jc w:val="both"/>
      </w:pPr>
      <w:r>
        <w:rPr>
          <w:rFonts w:ascii="Calibri" w:cs="Calibri" w:eastAsia="Calibri" w:hAnsi="Calibri"/>
          <w:b w:val="false"/>
          <w:bCs w:val="false"/>
          <w:i w:val="false"/>
          <w:iCs w:val="false"/>
          <w:sz w:val="22"/>
          <w:szCs w:val="22"/>
        </w:rPr>
        <w:t xml:space="preserve">Cada decisión se registra con las alternativas que se evaluaron, para tener la respuesta preparada ante la pregunta "¿por qué lo hicieron así?".</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00"/>
        <w:gridCol w:w="2100"/>
        <w:gridCol w:w="2300"/>
        <w:gridCol w:w="4160"/>
      </w:tblGrid>
      <w:tr>
        <w:trPr>
          <w:cantSplit/>
          <w:tblHeader/>
        </w:trPr>
        <w:tc>
          <w:tcPr>
            <w:tcW w:type="dxa" w:w="8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ID</w:t>
            </w:r>
          </w:p>
        </w:tc>
        <w:tc>
          <w:tcPr>
            <w:tcW w:type="dxa" w:w="21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Decisión</w:t>
            </w:r>
          </w:p>
        </w:tc>
        <w:tc>
          <w:tcPr>
            <w:tcW w:type="dxa" w:w="23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Alternativas evaluadas</w:t>
            </w:r>
          </w:p>
        </w:tc>
        <w:tc>
          <w:tcPr>
            <w:tcW w:type="dxa" w:w="4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Justificación</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AD-01</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Cuatro microservicios: Identidad, Catálogo académico, Tutorías y Pagos.</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Tres servicios (fusionando Identidad y Catálogo); cinco (separando Evaluaciones).</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Cuatro fronteras defendibles con el menor sobrecosto de infraestructura. Fusionar identidad con catálogo académico mezcla dos dominios sin relación.</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AD-02</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Django REST Framework, React y PostgreSQL.</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Node con NestJS; Spring Boot; políglota por servicio.</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Django aporta ORM, migraciones, autenticación y panel de administración de fábrica. Con la capacidad efectiva que fija el Pilar 1 (≈372 h sobre el piso de 20 h por persona), lo que viene resuelto vale más que lo elegante.</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AD-03</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Nginx como proxy inverso, sin lógica de negocio.</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Kong; un gateway propio en Django o FastAPI.</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gateway solo necesita enrutar, resolver CORS, limitar los intentos de inicio de sesión y ser el único puerto expuesto. La validación del token vive en cada servicio de todos modos.</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AD-04</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Monorepo con una carpeta por servicio.</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repositorio por servicio.</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 tres personas, un único clon, un único historial y un solo comando para levantar el sistema completo. Múltiples repositorios agregan coordinación sin aportar aislamiento real aquí.</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AD-05</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Comunicación síncrona REST sobre JSON.</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RabbitMQ o Kafka para eventos.</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hay ningún flujo que exija procesamiento asíncrono, y las tareas por tiempo se resuelven con el programador de AD-10. Un intermediario de mensajes sería complejidad sin caso de uso que la sostenga.</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AD-06</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Tokens JWT firmados con RS256.</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HS256 con secreto compartido; sesiones en servidor.</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 RS256 solo Identidad puede emitir tokens; los demás únicamente verifican. Con secreto compartido, comprometer un servicio permite falsificar identidades en todos.</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AD-07</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Duplicación controlada de datos de solo lectura entre servicios.</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Llamada HTTP por cada elemento listado; composición en el gateway.</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Evita el problema N+1 en la búsqueda de tutores, que es la pantalla más usada. Se acepta consistencia eventual en nombre y carrera.</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AD-08</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base de datos PostgreSQL por servicio.</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instancia compartida con esquemas separados.</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aislamiento de datos es la propiedad que distingue a un microservicio de un módulo. Si la memoria del equipo lo impide, se colapsa a una instancia con cuatro bases y cuatro roles sin permisos cruzados.</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AD-09</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Panel de administración propio: pantallas en React contra endpoints protegidos por la marca de administrador del token.</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panel de Django de cada servicio; un panel por servicio.</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panel de Django sale casi gratis, pero serían cuatro paneles con sesión propia y usuarios administradores en cada base, lo que contradice que Identidad sea la única fuente de verdad. El panel propio es uno solo, usa el mismo token y cubre el CA7. El panel de Django se conserva como herramienta interna de desarrollo, no como entregable.</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AD-10</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contenedor programador ejecuta cada cinco minutos un comando de Tutorías que cierra reservas y expira solicitudes.</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Calcular el estado al leer la reserva; Celery con un intermediario de mensajes.</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Calcular al leer obliga a repetir la regla en cada consulta y deja los datos atrasados si nadie entra. Celery exige el intermediario que AD-05 descartó. El programador reutiliza la imagen de Tutorías con otro comando: cuesta un contenedor y deja el estado real en la base, que es lo que se demuestra en la defensa.</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AD-11</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Mailpit como servidor de correo en desarrollo y en la demostración. Identidad es el único servicio que envía correos.</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Backend de consola de Django; una cuenta SMTP real.</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Mailpit tiene bandeja web, así que la verificación y los avisos se muestran en vivo sin enviar correo a personas reales, en línea con la exclusión de datos reales del Pilar 1. Concentrar el envío en Identidad evita copiar direcciones a otros servicios. Consecuencia aceptada: como ningún correo llega a una casilla real, en la demostración la verificación prueba el flujo, no que el estudiante sea dueño de su correo. En un despliegue real se cambia la configuración SMTP y el mismo enlace sí lo prueba (AD-14 y S-02 del Pilar 5).</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AD-12</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Frontend en React con Vite, enrutamiento propio, una librería de componentes y un cliente HTTP con renovación automática del token. El HTML y el CSS ya construidos se portan como base visual.</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Seguir con HTML, CSS y JavaScript sin framework, servidos por Nginx.</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 trece pantallas repartidas entre tres personas, los componentes evitan repetir la misma tabla y el mismo formulario en cada pantalla. El riesgo es la experiencia: solo un integrante ha usado React. Por eso la base la construye esa persona en el sprint 1 y queda un punto de decisión: si al cierre de ese sprint la base no está funcionando, se pasa al plan sin framework, que reutiliza las páginas ya escritas.</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AD-13</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Token de acceso en memoria y token de renovación en una cookie httpOnly del mismo origen.</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Ambos tokens en localStorage.</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localStorage es más simple, pero cualquier script inyectado puede leer los tokens. Con la cookie httpOnly el navegador la envía sola y el JavaScript de la página no la ve. Como el frontend y la API salen por el mismo Nginx, no hace falta configuración adicional.</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AD-14</w:t>
            </w:r>
          </w:p>
        </w:tc>
        <w:tc>
          <w:tcPr>
            <w:tcW w:type="dxa" w:w="21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Cuenta propia en Identidad: el usuario se registra con su correo @duocuc.cl y lo verifica con un enlace de un solo uso.</w:t>
            </w:r>
          </w:p>
        </w:tc>
        <w:tc>
          <w:tcPr>
            <w:tcW w:type="dxa" w:w="2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Inicio de sesión institucional de Duoc (OpenID Connect contra su Microsoft Entra ID); verificación de estudiantes por un servicio externo, como SheerID.</w:t>
            </w:r>
          </w:p>
        </w:tc>
        <w:tc>
          <w:tcPr>
            <w:tcW w:type="dxa" w:w="4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inicio de sesión de Duoc prueba la pertenencia de forma más directa, pero depende de que Duoc autorice la aplicación, algo que el equipo no controla en doce semanas. Además no entrega la carrera ni el nivel, que RN-01 sigue tomando de lo que declara el usuario, y no reemplaza los avisos por correo. Un servicio externo de verificación es comercial, y el Pilar 1 descarta los servicios pagados (sección 5.2). Se consulta al profesor en el primer reporte. Si Duoc lo autoriza, entra como segundo método sin tocar a los otros tres servicios: Identidad valida que el token venga del directorio de Duoc, marca la cuenta como verificada y emite su propio JWT, como hoy.</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AD-15</w:t>
            </w:r>
          </w:p>
        </w:tc>
        <w:tc>
          <w:tcPr>
            <w:tcW w:type="dxa" w:w="21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guarda la carrera y la sede del perfil como identificadores, sin consultarlas a Catálogo. Se validan donde se usan.</w:t>
            </w:r>
          </w:p>
        </w:tc>
        <w:tc>
          <w:tcPr>
            <w:tcW w:type="dxa" w:w="2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Que Identidad pregunte a Catálogo si existen antes de guardarlas.</w:t>
            </w:r>
          </w:p>
        </w:tc>
        <w:tc>
          <w:tcPr>
            <w:tcW w:type="dxa" w:w="4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perfil solo ofrece valores de GET /carreras y GET /sedes, y la carrera se valida donde importa: al declarar una asignatura, Tutorías pide la malla a Catálogo (RN-01) y un identificador que no existe se rechaza ahí. Preguntar al guardar sería una quinta llamada interna, y la primera que sale de Identidad, que hoy no depende de ningún otro servicio, solo para repetir esa validación. Consecuencia aceptada: un identificador inventado por fuera de la interfaz queda guardado, pero no habilita ninguna asignatura ni muestra ninguna sede.</w:t>
            </w:r>
          </w:p>
        </w:tc>
      </w:tr>
    </w:tbl>
    <w:p>
      <w:pPr>
        <w:pStyle w:val="Heading1"/>
      </w:pPr>
      <w:r>
        <w:rPr>
          <w:rFonts w:ascii="Calibri" w:cs="Calibri" w:eastAsia="Calibri" w:hAnsi="Calibri"/>
        </w:rPr>
        <w:t xml:space="preserve">2. Vista de alto nivel</w:t>
      </w:r>
    </w:p>
    <w:p>
      <w:pPr>
        <w:keepNext/>
        <w:spacing w:after="60" w:before="60"/>
        <w:jc w:val="center"/>
      </w:pPr>
      <w:r>
        <w:drawing>
          <wp:inline distT="0" distB="0" distL="0" distR="0">
            <wp:extent cx="59436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105275"/>
                    </a:xfrm>
                    <a:prstGeom prst="rect">
                      <a:avLst/>
                    </a:prstGeom>
                  </pic:spPr>
                </pic:pic>
              </a:graphicData>
            </a:graphic>
          </wp:inline>
        </w:drawing>
      </w:r>
    </w:p>
    <w:p>
      <w:pPr>
        <w:spacing w:after="160"/>
        <w:jc w:val="center"/>
      </w:pPr>
      <w:r>
        <w:rPr>
          <w:rFonts w:ascii="Calibri" w:cs="Calibri" w:eastAsia="Calibri" w:hAnsi="Calibri"/>
          <w:b w:val="false"/>
          <w:bCs w:val="false"/>
          <w:i/>
          <w:iCs/>
          <w:color w:val="595959"/>
          <w:sz w:val="20"/>
          <w:szCs w:val="20"/>
        </w:rPr>
        <w:t xml:space="preserve">Figura 1. Componentes, fronteras y llamadas internas. Solo el gateway expone un puerto al exterior.</w:t>
      </w:r>
    </w:p>
    <w:p>
      <w:pPr>
        <w:keepNext w:val="false"/>
        <w:spacing w:after="120" w:before="0" w:line="276"/>
        <w:jc w:val="both"/>
      </w:pPr>
      <w:r>
        <w:rPr>
          <w:rFonts w:ascii="Calibri" w:cs="Calibri" w:eastAsia="Calibri" w:hAnsi="Calibri"/>
          <w:b w:val="false"/>
          <w:bCs w:val="false"/>
          <w:i w:val="false"/>
          <w:iCs w:val="false"/>
          <w:sz w:val="22"/>
          <w:szCs w:val="22"/>
        </w:rPr>
        <w:t xml:space="preserve">Tres propiedades sostienen todo el diseño y conviene enunciarlas antes del detalle:</w:t>
      </w:r>
    </w:p>
    <w:p>
      <w:pPr>
        <w:pStyle w:val="ListParagraph"/>
        <w:numPr>
          <w:ilvl w:val="0"/>
          <w:numId w:val="2"/>
        </w:numPr>
        <w:spacing w:after="60" w:before="0" w:line="276"/>
        <w:jc w:val="both"/>
      </w:pPr>
      <w:r>
        <w:rPr>
          <w:rFonts w:ascii="Calibri" w:cs="Calibri" w:eastAsia="Calibri" w:hAnsi="Calibri"/>
          <w:b/>
          <w:bCs/>
          <w:sz w:val="22"/>
          <w:szCs w:val="22"/>
        </w:rPr>
        <w:t xml:space="preserve">Un solo punto de entrada.</w:t>
      </w:r>
      <w:r>
        <w:rPr>
          <w:rFonts w:ascii="Calibri" w:cs="Calibri" w:eastAsia="Calibri" w:hAnsi="Calibri"/>
          <w:b w:val="false"/>
          <w:bCs w:val="false"/>
          <w:sz w:val="22"/>
          <w:szCs w:val="22"/>
        </w:rPr>
        <w:t xml:space="preserve"> El navegador nunca habla con un servicio directamente. Los servicios no publican puertos al equipo anfitrión; viven en una red interna de contenedores.</w:t>
      </w:r>
    </w:p>
    <w:p>
      <w:pPr>
        <w:pStyle w:val="ListParagraph"/>
        <w:numPr>
          <w:ilvl w:val="0"/>
          <w:numId w:val="2"/>
        </w:numPr>
        <w:spacing w:after="60" w:before="0" w:line="276"/>
        <w:jc w:val="both"/>
      </w:pPr>
      <w:r>
        <w:rPr>
          <w:rFonts w:ascii="Calibri" w:cs="Calibri" w:eastAsia="Calibri" w:hAnsi="Calibri"/>
          <w:b/>
          <w:bCs/>
          <w:sz w:val="22"/>
          <w:szCs w:val="22"/>
        </w:rPr>
        <w:t xml:space="preserve">Cada servicio es dueño de sus datos.</w:t>
      </w:r>
      <w:r>
        <w:rPr>
          <w:rFonts w:ascii="Calibri" w:cs="Calibri" w:eastAsia="Calibri" w:hAnsi="Calibri"/>
          <w:b w:val="false"/>
          <w:bCs w:val="false"/>
          <w:sz w:val="22"/>
          <w:szCs w:val="22"/>
        </w:rPr>
        <w:t xml:space="preserve"> Ningún servicio consulta la base de datos de otro, ni siquiera para una lectura simple. Romper esta regla convierte la arquitectura en un monolito distribuido, que combina los costos de ambos mundos sin los beneficios de ninguno.</w:t>
      </w:r>
    </w:p>
    <w:p>
      <w:pPr>
        <w:pStyle w:val="ListParagraph"/>
        <w:numPr>
          <w:ilvl w:val="0"/>
          <w:numId w:val="2"/>
        </w:numPr>
        <w:spacing w:after="60" w:before="0" w:line="276"/>
        <w:jc w:val="both"/>
      </w:pPr>
      <w:r>
        <w:rPr>
          <w:rFonts w:ascii="Calibri" w:cs="Calibri" w:eastAsia="Calibri" w:hAnsi="Calibri"/>
          <w:b/>
          <w:bCs/>
          <w:sz w:val="22"/>
          <w:szCs w:val="22"/>
        </w:rPr>
        <w:t xml:space="preserve">Las llamadas internas son pocas y deliberadas.</w:t>
      </w:r>
      <w:r>
        <w:rPr>
          <w:rFonts w:ascii="Calibri" w:cs="Calibri" w:eastAsia="Calibri" w:hAnsi="Calibri"/>
          <w:b w:val="false"/>
          <w:bCs w:val="false"/>
          <w:sz w:val="22"/>
          <w:szCs w:val="22"/>
        </w:rPr>
        <w:t xml:space="preserve"> Son cuatro, están enumeradas en la figura y cada una tiene una razón. Cada llamada nueva que se agregue debe justificarse: son el principal costo oculto de esta arquitectura.</w:t>
      </w:r>
    </w:p>
    <w:p>
      <w:pPr>
        <w:keepNext w:val="false"/>
        <w:spacing w:after="120" w:before="0" w:line="276"/>
        <w:jc w:val="both"/>
      </w:pPr>
      <w:r>
        <w:rPr>
          <w:rFonts w:ascii="Calibri" w:cs="Calibri" w:eastAsia="Calibri" w:hAnsi="Calibri"/>
          <w:b w:val="false"/>
          <w:bCs w:val="false"/>
          <w:i w:val="false"/>
          <w:iCs w:val="false"/>
          <w:sz w:val="22"/>
          <w:szCs w:val="22"/>
        </w:rPr>
        <w:t>Conviene enumerarlas, porque cada una creció con los endpoints que el modelo aprobado exige y la leyenda de la figura solo resume la primera razón de cada una. La primera, Tutorías hacia Catálogo, valida la asignatura contra la malla y el nivel (RN-01) y trae de paso la sigla, el nombre de la asignatura, el nombre de la carrera y el de la sede, que son los campos de presentación que Tutorías copia. La segunda, Tutorías hacia Identidad, pide los datos del usuario, el estado de su cuenta y su nivel — uno por uno al crear el perfil, y por lotes en el paso de sincronización del programador — y pide también el envío de los avisos por correo. La tercera, Pagos hacia Tutorías, consulta la reserva y avisa el resultado del pago. La cuarta, Tutorías hacia Pagos, nace de una regla del Pilar 1: al cancelar una reserva ya pagada, el pago se reembolsa; solo ocurre cuando el estado del pago es PAGADO, así que con el componente de pagos desactivado no existe. A los cuatro servicios se suman dos componentes de apoyo que no son microservicios: el servidor de correo de desarrollo y el programador de tareas.</w:t>
      </w:r>
    </w:p>
    <w:p>
      <w:pPr>
        <w:pStyle w:val="Heading1"/>
      </w:pPr>
      <w:r>
        <w:rPr>
          <w:rFonts w:ascii="Calibri" w:cs="Calibri" w:eastAsia="Calibri" w:hAnsi="Calibri"/>
        </w:rPr>
        <w:t xml:space="preserve">3. Descomposición en servicios</w:t>
      </w:r>
    </w:p>
    <w:p>
      <w:pPr>
        <w:keepNext w:val="false"/>
        <w:spacing w:after="120" w:before="0" w:line="276"/>
        <w:jc w:val="both"/>
      </w:pPr>
      <w:r>
        <w:rPr>
          <w:rFonts w:ascii="Calibri" w:cs="Calibri" w:eastAsia="Calibri" w:hAnsi="Calibri"/>
          <w:b w:val="false"/>
          <w:bCs w:val="false"/>
          <w:i w:val="false"/>
          <w:iCs w:val="false"/>
          <w:sz w:val="22"/>
          <w:szCs w:val="22"/>
        </w:rPr>
        <w:t xml:space="preserve">La columna "no hace" es tan importante como la de responsabilidades: define dónde termina cada servicio y evita que uno de ellos crezca hasta absorber a los demás.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830"/>
        <w:gridCol w:w="3630"/>
      </w:tblGrid>
      <w:tr>
        <w:trPr>
          <w:cantSplit/>
          <w:tblHeader/>
        </w:trPr>
        <w:tc>
          <w:tcPr>
            <w:tcW w:type="dxa" w:w="19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Servicio</w:t>
            </w:r>
          </w:p>
        </w:tc>
        <w:tc>
          <w:tcPr>
            <w:tcW w:type="dxa" w:w="383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Responsabilidad</w:t>
            </w:r>
          </w:p>
        </w:tc>
        <w:tc>
          <w:tcPr>
            <w:tcW w:type="dxa" w:w="363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Lo que explícitamente no hace</w:t>
            </w:r>
          </w:p>
        </w:tc>
      </w:tr>
      <w:tr>
        <w:trPr>
          <w:cantSplit/>
        </w:trPr>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/api/identity</w:t>
            </w:r>
          </w:p>
        </w:tc>
        <w:tc>
          <w:tcPr>
            <w:tcW w:type="dxa" w:w="38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Registro, verificación de correo institucional, inicio y cierre de sesión, emisión y renovación de tokens, datos básicos del usuario, marca de administrador y envío de los correos del sistema.</w:t>
            </w:r>
          </w:p>
        </w:tc>
        <w:tc>
          <w:tcPr>
            <w:tcW w:type="dxa" w:w="36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sabe qué asignaturas tutorea nadie, ni conoce reservas, ni evaluaciones. Es la única fuente de verdad de la identidad y la única que conoce las direcciones de correo.</w:t>
            </w:r>
          </w:p>
        </w:tc>
      </w:tr>
      <w:tr>
        <w:trPr>
          <w:cantSplit/>
        </w:trPr>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Catálogo académico
/api/catalog</w:t>
            </w:r>
          </w:p>
        </w:tc>
        <w:tc>
          <w:tcPr>
            <w:tcW w:type="dxa" w:w="38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Carreras, mallas, semestres, asignaturas y prerrequisitos. Búsqueda de asignaturas, entrega de la malla por semestre e importación masiva.</w:t>
            </w:r>
          </w:p>
        </w:tc>
        <w:tc>
          <w:tcPr>
            <w:tcW w:type="dxa" w:w="36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conoce usuarios ni tutores. Es un servicio de datos de referencia, casi todo de lectura.</w:t>
            </w:r>
          </w:p>
        </w:tc>
      </w:tr>
      <w:tr>
        <w:trPr>
          <w:cantSplit/>
        </w:trPr>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/api/tutoring</w:t>
            </w:r>
          </w:p>
        </w:tc>
        <w:tc>
          <w:tcPr>
            <w:tcW w:type="dxa" w:w="38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Perfiles de tutor con su tarifa, disponibilidad horaria, búsqueda de tutores, reservas con su ciclo de vida, cancelaciones, evaluaciones y reputación. Es el corazón del sistema.</w:t>
            </w:r>
          </w:p>
        </w:tc>
        <w:tc>
          <w:tcPr>
            <w:tcW w:type="dxa" w:w="363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autentica (solo verifica el token), no cobra, no envía correos por su cuenta y no es dueño de los datos académicos ni de los personales.</w:t>
            </w:r>
          </w:p>
        </w:tc>
      </w:tr>
      <w:tr>
        <w:trPr>
          <w:cantSplit/>
        </w:trPr>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
/api/payments</w:t>
            </w:r>
          </w:p>
        </w:tc>
        <w:tc>
          <w:tcPr>
            <w:tcW w:type="dxa" w:w="38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Registro del pago asociado a una reserva, su estado y el reembolso. En el MVP el resultado se simula.</w:t>
            </w:r>
          </w:p>
        </w:tc>
        <w:tc>
          <w:tcPr>
            <w:tcW w:type="dxa" w:w="363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conoce usuarios, asignaturas ni disponibilidad. Solo entiende de reservas y montos.</w:t>
            </w:r>
          </w:p>
        </w:tc>
      </w:tr>
    </w:tbl>
    <w:p>
      <w:pPr>
        <w:pStyle w:val="Heading1"/>
      </w:pPr>
      <w:r>
        <w:rPr>
          <w:rFonts w:ascii="Calibri" w:cs="Calibri" w:eastAsia="Calibri" w:hAnsi="Calibri"/>
        </w:rPr>
        <w:t xml:space="preserve">4. Contratos de interfaz</w:t>
      </w:r>
    </w:p>
    <w:p>
      <w:pPr>
        <w:keepNext w:val="false"/>
        <w:spacing w:after="120" w:before="0" w:line="276"/>
        <w:jc w:val="both"/>
      </w:pPr>
      <w:r>
        <w:rPr>
          <w:rFonts w:ascii="Calibri" w:cs="Calibri" w:eastAsia="Calibri" w:hAnsi="Calibri"/>
          <w:b/>
          <w:bCs/>
          <w:i w:val="false"/>
          <w:iCs w:val="false"/>
          <w:sz w:val="22"/>
          <w:szCs w:val="22"/>
        </w:rPr>
        <w:t xml:space="preserve">Estos contratos se acuerdan antes de escribir código y se congelan al inicio de cada sprint.</w:t>
      </w:r>
      <w:r>
        <w:rPr>
          <w:rFonts w:ascii="Calibri" w:cs="Calibri" w:eastAsia="Calibri" w:hAnsi="Calibri"/>
          <w:b w:val="false"/>
          <w:bCs w:val="false"/>
          <w:i w:val="false"/>
          <w:iCs w:val="false"/>
          <w:sz w:val="22"/>
          <w:szCs w:val="22"/>
        </w:rPr>
        <w:t xml:space="preserve"> Es lo que permite que tres personas trabajen en paralelo sin bloquearse: quien construye el frontend puede avanzar contra respuestas simuladas mientras el servicio real todavía no existe. Cambiar un contrato a mitad de sprint es la principal fuente de trabajo perdido en equipos pequeños.</w:t>
      </w:r>
    </w:p>
    <w:p>
      <w:pPr>
        <w:keepNext w:val="false"/>
        <w:spacing w:after="120" w:before="0" w:line="276"/>
        <w:jc w:val="both"/>
      </w:pPr>
      <w:r>
        <w:rPr>
          <w:rFonts w:ascii="Calibri" w:cs="Calibri" w:eastAsia="Calibri" w:hAnsi="Calibri"/>
          <w:b w:val="false"/>
          <w:bCs w:val="false"/>
          <w:i w:val="false"/>
          <w:iCs w:val="false"/>
          <w:sz w:val="22"/>
          <w:szCs w:val="22"/>
        </w:rPr>
        <w:t xml:space="preserve">El cuadro de cada servicio es el catálogo de rutas. </w:t>
      </w:r>
      <w:r>
        <w:rPr>
          <w:rFonts w:ascii="Calibri" w:cs="Calibri" w:eastAsia="Calibri" w:hAnsi="Calibri"/>
          <w:b/>
          <w:bCs/>
          <w:i w:val="false"/>
          <w:iCs w:val="false"/>
          <w:sz w:val="22"/>
          <w:szCs w:val="22"/>
        </w:rPr>
        <w:t xml:space="preserve">El contrato que se congela es una especificación OpenAPI por servicio, en docs/api/</w:t>
      </w:r>
      <w:r>
        <w:rPr>
          <w:rFonts w:ascii="Calibri" w:cs="Calibri" w:eastAsia="Calibri" w:hAnsi="Calibri"/>
          <w:b w:val="false"/>
          <w:bCs w:val="false"/>
          <w:i w:val="false"/>
          <w:iCs w:val="false"/>
          <w:sz w:val="22"/>
          <w:szCs w:val="22"/>
        </w:rPr>
        <w:t xml:space="preserve">, con el esquema de la petición y de la respuesta, los códigos de estado y un ejemplo por endpoint. Sin ese detalle no es posible simular respuestas, que es justamente lo que desbloquea el trabajo en paralelo. Se escribe solo para los endpoints del sprint que empieza, no para todos de una vez.</w:t>
      </w:r>
    </w:p>
    <w:p>
      <w:pPr>
        <w:keepNext w:val="false"/>
        <w:spacing w:after="120" w:before="0" w:line="276"/>
        <w:jc w:val="both"/>
      </w:pPr>
      <w:r>
        <w:rPr>
          <w:rFonts w:ascii="Calibri" w:cs="Calibri" w:eastAsia="Calibri" w:hAnsi="Calibri"/>
          <w:b w:val="false"/>
          <w:bCs w:val="false"/>
          <w:i/>
          <w:iCs/>
          <w:sz w:val="22"/>
          <w:szCs w:val="22"/>
        </w:rPr>
        <w:t xml:space="preserve">Todas las rutas van precedidas por el prefijo de enrutamiento que muestra la figura 1 e incluyen la versión: por ejemplo, el inicio de sesión es /api/identity/v1/login. Versionar desde el primer día cuesta nada ahora y evita una migración incómoda después. Las rutas que empiezan por /internal no las enruta el gateway: solo existen dentro de la red de contenedores y exigen la clave de servicio.</w:t>
      </w:r>
    </w:p>
    <w:p>
      <w:pPr>
        <w:pStyle w:val="Heading2"/>
      </w:pPr>
      <w:r>
        <w:rPr>
          <w:rFonts w:ascii="Calibri" w:cs="Calibri" w:eastAsia="Calibri" w:hAnsi="Calibri"/>
        </w:rPr>
        <w:t xml:space="preserve">4.1 Identidad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5960"/>
      </w:tblGrid>
      <w:tr>
        <w:trPr>
          <w:cantSplit/>
          <w:tblHeader/>
        </w:trPr>
        <w:tc>
          <w:tcPr>
            <w:tcW w:type="dxa" w:w="3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Endpoint</w:t>
            </w:r>
          </w:p>
        </w:tc>
        <w:tc>
          <w:tcPr>
            <w:tcW w:type="dxa" w:w="5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Propósito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/registro</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Crea la cuenta con correo institucional y envía el correo de verificación.</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/verificar-correo</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Activa la cuenta con el token recibido por correo.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/login</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Devuelve el token de acceso y el de renovación.</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/refresh</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Renueva el token de acceso.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/logout</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Revoca el token de renovación de esa sesión.</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/yo</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Datos del usuario autenticado.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PATCH /yo</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Actualiza nombre, carrera, nivel y sede. Al cambiar la carrera o el nivel, los perfiles de tutor que dejan de cumplir RN-01 se desactivan en el siguiente paso del programador (RN-01 del Pilar 1).</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/admin/usuarios</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Lista y busca usuarios. Solo administrador.</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PATCH /admin/usuarios/{id}</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Activa o desactiva una cuenta y revoca sus tokens de renovación. Solo administrador.</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/internal/usuarios/{id}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Nombre, carrera, nivel y sede de un usuario. Lo usa Tutorías.</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GET /internal/usuarios?ids=</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Estado de cuenta, carrera y nivel de una lista de usuarios, por lotes. Lo usa el programador de Tutorías para sincronizar usuario_ref.activo y revalidar RN-01 (ajustes A-01 y A-13 del anexo).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/internal/avisos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Envía un correo a un usuario a partir de una plantilla. Lo usa Tutorías.</w:t>
            </w:r>
          </w:p>
        </w:tc>
      </w:tr>
    </w:tbl>
    <w:p>
      <w:pPr>
        <w:pStyle w:val="Heading2"/>
      </w:pPr>
      <w:r>
        <w:rPr>
          <w:rFonts w:ascii="Calibri" w:cs="Calibri" w:eastAsia="Calibri" w:hAnsi="Calibri"/>
        </w:rPr>
        <w:t xml:space="preserve">4.2 Catálogo académico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5960"/>
      </w:tblGrid>
      <w:tr>
        <w:trPr>
          <w:cantSplit/>
          <w:tblHeader/>
        </w:trPr>
        <w:tc>
          <w:tcPr>
            <w:tcW w:type="dxa" w:w="3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Endpoint</w:t>
            </w:r>
          </w:p>
        </w:tc>
        <w:tc>
          <w:tcPr>
            <w:tcW w:type="dxa" w:w="5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Propósito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/carreras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Lista de carreras activas. La consume el formulario de perfil.</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/carreras/{id}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Detalle de una carrera.</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/carreras/{id}/asignaturas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Asignaturas de la malla vigente, por semestre.</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/asignaturas?buscar=</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Búsqueda de asignaturas por nombre o sigla.</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GET /sedes</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Lista de sedes activas. La consume el formulario de perfil y el filtro por sede (RF-17).</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/admin/importar</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Carga masiva desde CSV. Solo administrador.</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/internal/asignaturas/{id}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Sigla y nombre de una asignatura. Lo usa Tutorías.</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GET /internal/sedes/{id}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Nombre de una sede. Lo usa Tutorías para copiar sede_nombre en usuario_ref.</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/internal/carreras/{id}/malla?hasta_semestre=</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Asignaturas que un usuario de ese nivel ya cursó, más el nombre de la carrera. Lo usa Tutorías para la regla RN-01 y para copiar carrera_nombre en usuario_ref, que la sección 7 da por resuelto y ningún otro endpoint entregaba.</w:t>
            </w:r>
          </w:p>
        </w:tc>
      </w:tr>
    </w:tbl>
    <w:p>
      <w:pPr>
        <w:pStyle w:val="Heading2"/>
      </w:pPr>
      <w:r>
        <w:rPr>
          <w:rFonts w:ascii="Calibri" w:cs="Calibri" w:eastAsia="Calibri" w:hAnsi="Calibri"/>
        </w:rPr>
        <w:t xml:space="preserve">4.3 Tutorías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5960"/>
      </w:tblGrid>
      <w:tr>
        <w:trPr>
          <w:cantSplit/>
          <w:tblHeader/>
        </w:trPr>
        <w:tc>
          <w:tcPr>
            <w:tcW w:type="dxa" w:w="3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Endpoint</w:t>
            </w:r>
          </w:p>
        </w:tc>
        <w:tc>
          <w:tcPr>
            <w:tcW w:type="dxa" w:w="5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Propósito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/perfiles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usuario declara una asignatura que puede tutorear, con su tarifa. Valida la regla RN-01.</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/perfiles?usuario=</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Asignaturas declaradas por un usuario.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PATCH /perfiles/{id}</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Cambia la tarifa o desactiva la asignatura.</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/tutores?asignatura=</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Búsqueda de tutores. Es la consulta más frecuente del sistema.</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/tutores/{id}</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Perfil público de un tutor, con su reputación.</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GET /tutores/{id}/evaluaciones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Evaluaciones visibles de un tutor: nota, comentario y fecha. Sin este endpoint el comentario del RN-06 no se muestra en ninguna parte y retirar una evaluación no tendría efecto visible.</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/disponibilidad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publica un bloque horario.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/disponibilidad?tutor=</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Bloques de un tutor.</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PATCH /disponibilidad/{id}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Modifica un bloque que sigue libre.</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DELETE /disponibilidad/{id}</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Elimina un bloque libre y rechaza sus solicitudes pendientes.</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/reservas</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estudiante solicita una tutoría sobre un bloque, con una nota opcional.</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/reservas?rol=</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Historial como solicitante o como tutor.</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/reservas/{id}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Detalle de una reserva, con el estado del pago.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/reservas/{id}/confirmar</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acepta e indica la modalidad y el lugar o enlace. El bloque queda ocupado.</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/reservas/{id}/rechazar</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no acepta. El bloque sigue libre.</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/reservas/{id}/cancelar</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estudiante retira su solicitud, o cualquiera de las partes cancela una reserva confirmada.</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/reservas/{id}/evaluacion</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Nota y comentario opcional, después de la hora de término.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/admin/reservas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Consulta de tutorías. Solo administrador.</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DELETE /admin/evaluaciones/{id}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Retira una evaluación y recalcula la reputación. Solo administrador.</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PATCH /internal/reservas/{id}/estado-pago</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 informa el resultado del pago o del reembolso.</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/internal/reservas/{id}</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Datos de la reserva. Lo usa Pagos.</w:t>
            </w:r>
          </w:p>
        </w:tc>
      </w:tr>
    </w:tbl>
    <w:p>
      <w:pPr>
        <w:pStyle w:val="Heading2"/>
      </w:pPr>
      <w:r>
        <w:rPr>
          <w:rFonts w:ascii="Calibri" w:cs="Calibri" w:eastAsia="Calibri" w:hAnsi="Calibri"/>
        </w:rPr>
        <w:t xml:space="preserve">4.4 Pagos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00"/>
        <w:gridCol w:w="5960"/>
      </w:tblGrid>
      <w:tr>
        <w:trPr>
          <w:cantSplit/>
          <w:tblHeader/>
        </w:trPr>
        <w:tc>
          <w:tcPr>
            <w:tcW w:type="dxa" w:w="3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Endpoint</w:t>
            </w:r>
          </w:p>
        </w:tc>
        <w:tc>
          <w:tcPr>
            <w:tcW w:type="dxa" w:w="5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Propósito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/pagos</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Crea el pago asociado a una reserva confirmada.</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/pagos/{id}/simular</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Resuelve el pago como exitoso o fallido.</w:t>
            </w:r>
          </w:p>
        </w:tc>
      </w:tr>
      <w:tr>
        <w:trPr>
          <w:cantSplit/>
        </w:trPr>
        <w:tc>
          <w:tcPr>
            <w:tcW w:type="dxa" w:w="3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GET /pagos?reserva=</w:t>
            </w:r>
          </w:p>
        </w:tc>
        <w:tc>
          <w:tcPr>
            <w:tcW w:type="dxa" w:w="5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Estado del pago de una reserva.</w:t>
            </w:r>
          </w:p>
        </w:tc>
      </w:tr>
      <w:tr>
        <w:trPr>
          <w:cantSplit/>
        </w:trPr>
        <w:tc>
          <w:tcPr>
            <w:tcW w:type="dxa" w:w="3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POST /internal/pagos/reembolso</w:t>
            </w:r>
          </w:p>
        </w:tc>
        <w:tc>
          <w:tcPr>
            <w:tcW w:type="dxa" w:w="5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pide el reembolso simulado al cancelar una reserva pagada.</w:t>
            </w:r>
          </w:p>
        </w:tc>
      </w:tr>
    </w:tbl>
    <w:p>
      <w:pPr>
        <w:pStyle w:val="Heading1"/>
      </w:pPr>
      <w:r>
        <w:rPr>
          <w:rFonts w:ascii="Calibri" w:cs="Calibri" w:eastAsia="Calibri" w:hAnsi="Calibri"/>
        </w:rPr>
        <w:t xml:space="preserve">5. Autenticación y autorización distribuida</w:t>
      </w:r>
    </w:p>
    <w:p>
      <w:pPr>
        <w:keepNext w:val="false"/>
        <w:spacing w:after="120" w:before="0" w:line="276"/>
        <w:jc w:val="both"/>
      </w:pPr>
      <w:r>
        <w:rPr>
          <w:rFonts w:ascii="Calibri" w:cs="Calibri" w:eastAsia="Calibri" w:hAnsi="Calibri"/>
          <w:b w:val="false"/>
          <w:bCs w:val="false"/>
          <w:i w:val="false"/>
          <w:iCs w:val="false"/>
          <w:sz w:val="22"/>
          <w:szCs w:val="22"/>
        </w:rPr>
        <w:t xml:space="preserve">En un monolito la sesión es un detalle resuelto por el framework. Repartido en cuatro servicios deja de serlo, y es la parte del diseño donde un error se paga caro.</w:t>
      </w:r>
    </w:p>
    <w:p>
      <w:pPr>
        <w:pStyle w:val="Heading2"/>
      </w:pPr>
      <w:r>
        <w:rPr>
          <w:rFonts w:ascii="Calibri" w:cs="Calibri" w:eastAsia="Calibri" w:hAnsi="Calibri"/>
        </w:rPr>
        <w:t xml:space="preserve">5.1 Flujo</w:t>
      </w:r>
    </w:p>
    <w:p>
      <w:pPr>
        <w:pStyle w:val="ListParagraph"/>
        <w:numPr>
          <w:ilvl w:val="0"/>
          <w:numId w:val="2"/>
        </w:numPr>
        <w:spacing w:after="60" w:before="0" w:line="276"/>
        <w:jc w:val="both"/>
      </w:pPr>
      <w:r>
        <w:rPr>
          <w:rFonts w:ascii="Calibri" w:cs="Calibri" w:eastAsia="Calibri" w:hAnsi="Calibri"/>
          <w:b/>
          <w:bCs/>
          <w:sz w:val="22"/>
          <w:szCs w:val="22"/>
        </w:rPr>
        <w:t xml:space="preserve">1.</w:t>
      </w:r>
      <w:r>
        <w:rPr>
          <w:rFonts w:ascii="Calibri" w:cs="Calibri" w:eastAsia="Calibri" w:hAnsi="Calibri"/>
          <w:b w:val="false"/>
          <w:bCs w:val="false"/>
          <w:sz w:val="22"/>
          <w:szCs w:val="22"/>
        </w:rPr>
        <w:t xml:space="preserve"> El usuario inicia sesión contra Identidad, que devuelve un token de acceso de vida corta (30 minutos) y uno de renovación de vida larga (7 días).</w:t>
      </w:r>
    </w:p>
    <w:p>
      <w:pPr>
        <w:pStyle w:val="ListParagraph"/>
        <w:numPr>
          <w:ilvl w:val="0"/>
          <w:numId w:val="2"/>
        </w:numPr>
        <w:spacing w:after="60" w:before="0" w:line="276"/>
        <w:jc w:val="both"/>
      </w:pPr>
      <w:r>
        <w:rPr>
          <w:rFonts w:ascii="Calibri" w:cs="Calibri" w:eastAsia="Calibri" w:hAnsi="Calibri"/>
          <w:b/>
          <w:bCs/>
          <w:sz w:val="22"/>
          <w:szCs w:val="22"/>
        </w:rPr>
        <w:t xml:space="preserve">2.</w:t>
      </w:r>
      <w:r>
        <w:rPr>
          <w:rFonts w:ascii="Calibri" w:cs="Calibri" w:eastAsia="Calibri" w:hAnsi="Calibri"/>
          <w:b w:val="false"/>
          <w:bCs w:val="false"/>
          <w:sz w:val="22"/>
          <w:szCs w:val="22"/>
        </w:rPr>
        <w:t xml:space="preserve"> El cliente envía el token de acceso en la cabecera Authorization en cada petición.</w:t>
      </w:r>
    </w:p>
    <w:p>
      <w:pPr>
        <w:pStyle w:val="ListParagraph"/>
        <w:numPr>
          <w:ilvl w:val="0"/>
          <w:numId w:val="2"/>
        </w:numPr>
        <w:spacing w:after="60" w:before="0" w:line="276"/>
        <w:jc w:val="both"/>
      </w:pPr>
      <w:r>
        <w:rPr>
          <w:rFonts w:ascii="Calibri" w:cs="Calibri" w:eastAsia="Calibri" w:hAnsi="Calibri"/>
          <w:b/>
          <w:bCs/>
          <w:sz w:val="22"/>
          <w:szCs w:val="22"/>
        </w:rPr>
        <w:t xml:space="preserve">3.</w:t>
      </w:r>
      <w:r>
        <w:rPr>
          <w:rFonts w:ascii="Calibri" w:cs="Calibri" w:eastAsia="Calibri" w:hAnsi="Calibri"/>
          <w:b w:val="false"/>
          <w:bCs w:val="false"/>
          <w:sz w:val="22"/>
          <w:szCs w:val="22"/>
        </w:rPr>
        <w:t xml:space="preserve"> Nginx enruta sin abrir el token: no es su trabajo.</w:t>
      </w:r>
    </w:p>
    <w:p>
      <w:pPr>
        <w:pStyle w:val="ListParagraph"/>
        <w:numPr>
          <w:ilvl w:val="0"/>
          <w:numId w:val="2"/>
        </w:numPr>
        <w:spacing w:after="60" w:before="0" w:line="276"/>
        <w:jc w:val="both"/>
      </w:pPr>
      <w:r>
        <w:rPr>
          <w:rFonts w:ascii="Calibri" w:cs="Calibri" w:eastAsia="Calibri" w:hAnsi="Calibri"/>
          <w:b/>
          <w:bCs/>
          <w:sz w:val="22"/>
          <w:szCs w:val="22"/>
        </w:rPr>
        <w:t xml:space="preserve">4.</w:t>
      </w:r>
      <w:r>
        <w:rPr>
          <w:rFonts w:ascii="Calibri" w:cs="Calibri" w:eastAsia="Calibri" w:hAnsi="Calibri"/>
          <w:b w:val="false"/>
          <w:bCs w:val="false"/>
          <w:sz w:val="22"/>
          <w:szCs w:val="22"/>
        </w:rPr>
        <w:t xml:space="preserve"> El servicio de destino verifica la firma con la clave pública y lee la identidad desde el propio token, sin consultar a Identidad.</w:t>
      </w:r>
    </w:p>
    <w:p>
      <w:pPr>
        <w:keepNext w:val="false"/>
        <w:spacing w:after="120" w:before="0" w:line="276"/>
        <w:jc w:val="both"/>
      </w:pPr>
      <w:r>
        <w:rPr>
          <w:rFonts w:ascii="Calibri" w:cs="Calibri" w:eastAsia="Calibri" w:hAnsi="Calibri"/>
          <w:b w:val="false"/>
          <w:bCs w:val="false"/>
          <w:i w:val="false"/>
          <w:iCs w:val="false"/>
          <w:sz w:val="22"/>
          <w:szCs w:val="22"/>
        </w:rPr>
        <w:t xml:space="preserve">El punto cuatro es lo que evita que Identidad se convierta en un cuello de botella: cada petición del sistema pasaría por él si la validación exigiera una consulta.</w:t>
      </w:r>
    </w:p>
    <w:p>
      <w:pPr>
        <w:pStyle w:val="Heading2"/>
      </w:pPr>
      <w:r>
        <w:rPr>
          <w:rFonts w:ascii="Calibri" w:cs="Calibri" w:eastAsia="Calibri" w:hAnsi="Calibri"/>
        </w:rPr>
        <w:t xml:space="preserve">5.2 Por qué RS256 y no un secreto compartido</w:t>
      </w:r>
    </w:p>
    <w:p>
      <w:pPr>
        <w:keepNext w:val="false"/>
        <w:spacing w:after="120" w:before="0" w:line="276"/>
        <w:jc w:val="both"/>
      </w:pPr>
      <w:r>
        <w:rPr>
          <w:rFonts w:ascii="Calibri" w:cs="Calibri" w:eastAsia="Calibri" w:hAnsi="Calibri"/>
          <w:b w:val="false"/>
          <w:bCs w:val="false"/>
          <w:i w:val="false"/>
          <w:iCs w:val="false"/>
          <w:sz w:val="22"/>
          <w:szCs w:val="22"/>
        </w:rPr>
        <w:t xml:space="preserve">Con firma simétrica los cuatro servicios comparten la misma clave, y una clave que sirve para verificar sirve también para firmar. Bastaría comprometer el servicio de Pagos para emitir un token válido de cualquier usuario, incluido un administrador. Con firma asimétrica, la clave privada existe solo dentro de Identidad y los demás servicios reciben únicamente la pública, con la que pueden verificar, pero no falsificar. El costo de implementación es prácticamente el mismo.</w:t>
      </w:r>
    </w:p>
    <w:p>
      <w:pPr>
        <w:pStyle w:val="Heading2"/>
      </w:pPr>
      <w:r>
        <w:rPr>
          <w:rFonts w:ascii="Calibri" w:cs="Calibri" w:eastAsia="Calibri" w:hAnsi="Calibri"/>
        </w:rPr>
        <w:t xml:space="preserve">5.3 Contenido del token y consecuencias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Elemento</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Reclamaciones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sub (identificador de usuario), es_admin, iat, exp, iss. No lleva el correo: la sección 3 reserva las direcciones a Identidad y el RNF-07 pide no propagarlas. La pantalla que necesite mostrarlo lo pide a GET /yo.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Vigencia del acceso</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30 minutos.</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Renovación</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7 días, revocable en base de datos y almacenada como hash.</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 sesión</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Revoca el token de renovación. El de acceso sigue siendo válido hasta que expira, por lo que la aplicación también lo borra de memoria.</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Cuenta desactivada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Desactivar a un usuario revoca sus tokens de renovación en el mismo paso. Su token de acceso sigue sirviendo hasta 30 minutos; es la misma consecuencia aceptada de la fila siguiente.</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Consecuencia aceptada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token de acceso robado sigue siendo válido hasta que expira: no hay revocación inmediata. Se mitiga con la vida corta del token y con la revocación del token de renovación.</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Regla de seguridad</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Cada servicio valida el token por su cuenta. Ningún servicio asume que el tráfico llegó por el gateway: la red interna no es una garantía de autenticidad.</w:t>
            </w:r>
          </w:p>
        </w:tc>
      </w:tr>
    </w:tbl>
    <w:p>
      <w:pPr>
        <w:pStyle w:val="Heading2"/>
      </w:pPr>
      <w:r>
        <w:rPr>
          <w:rFonts w:ascii="Calibri" w:cs="Calibri" w:eastAsia="Calibri" w:hAnsi="Calibri"/>
        </w:rPr>
        <w:t xml:space="preserve">5.4 Llamadas entre servicios</w:t>
      </w:r>
    </w:p>
    <w:p>
      <w:pPr>
        <w:keepNext w:val="false"/>
        <w:spacing w:after="120" w:before="0" w:line="276"/>
        <w:jc w:val="both"/>
      </w:pPr>
      <w:r>
        <w:rPr>
          <w:rFonts w:ascii="Calibri" w:cs="Calibri" w:eastAsia="Calibri" w:hAnsi="Calibri"/>
          <w:b w:val="false"/>
          <w:bCs w:val="false"/>
          <w:i w:val="false"/>
          <w:iCs w:val="false"/>
          <w:sz w:val="22"/>
          <w:szCs w:val="22"/>
        </w:rPr>
        <w:t xml:space="preserve">Las cuatro llamadas internas no viajan con el token del usuario, porque no actúan en su nombre. Se autentican con una clave de servicio en una cabecera propia, sobre la red interna de contenedores, y sus rutas viven bajo el prefijo /internal, que el gateway no enruta: desde fuera no existen. Conviene dejar escrito que en un despliegue real esto se reemplazaría por certificados mutuos o tokens de servicio; reconocer el límite de la solución vale más que presentarla como definitiva.</w:t>
      </w:r>
    </w:p>
    <w:p>
      <w:pPr>
        <w:pStyle w:val="Heading2"/>
      </w:pPr>
      <w:r>
        <w:rPr>
          <w:rFonts w:ascii="Calibri" w:cs="Calibri" w:eastAsia="Calibri" w:hAnsi="Calibri"/>
        </w:rPr>
        <w:t xml:space="preserve">5.5 Dónde vive el token en el navegador</w:t>
      </w:r>
    </w:p>
    <w:p>
      <w:pPr>
        <w:keepNext w:val="false"/>
        <w:spacing w:after="120" w:before="0" w:line="276"/>
        <w:jc w:val="both"/>
      </w:pPr>
      <w:r>
        <w:rPr>
          <w:rFonts w:ascii="Calibri" w:cs="Calibri" w:eastAsia="Calibri" w:hAnsi="Calibri"/>
          <w:b w:val="false"/>
          <w:bCs w:val="false"/>
          <w:i w:val="false"/>
          <w:iCs w:val="false"/>
          <w:sz w:val="22"/>
          <w:szCs w:val="22"/>
        </w:rPr>
        <w:t xml:space="preserve">El token de acceso se guarda en memoria de la aplicación y desaparece al recargar la página; el de renovación viaja en una cookie httpOnly, Secure y SameSite estricta, emitida por Identidad. Al abrir la aplicación, lo primero que hace es pedir /refresh y recuperar el token de acceso. Guardar ambos en localStorage sería más simple, pero cualquier script inyectado en la página podría leerlos y suplantar al usuario; con la cookie httpOnly el navegador la envía sola y el JavaScript de la página nunca la ve. Como el frontend y la API salen por el mismo Nginx, la cookie viaja sin configuración adicional.</w:t>
      </w:r>
    </w:p>
    <w:p>
      <w:pPr>
        <w:pStyle w:val="Heading1"/>
      </w:pPr>
      <w:r>
        <w:rPr>
          <w:rFonts w:ascii="Calibri" w:cs="Calibri" w:eastAsia="Calibri" w:hAnsi="Calibri"/>
        </w:rPr>
        <w:t xml:space="preserve">6. Modelo de datos por servicio</w:t>
      </w:r>
    </w:p>
    <w:p>
      <w:pPr>
        <w:keepNext w:val="false"/>
        <w:spacing w:after="120" w:before="0" w:line="276"/>
        <w:jc w:val="both"/>
      </w:pPr>
      <w:r>
        <w:rPr>
          <w:rFonts w:ascii="Calibri" w:cs="Calibri" w:eastAsia="Calibri" w:hAnsi="Calibri"/>
          <w:b w:val="false"/>
          <w:bCs w:val="false"/>
          <w:i w:val="false"/>
          <w:iCs w:val="false"/>
          <w:sz w:val="22"/>
          <w:szCs w:val="22"/>
        </w:rPr>
        <w:t>Las referencias entre servicios se guardan como identificadores sueltos, no como claves foráneas: no existe integridad referencial entre bases distintas, y esa es una consecuencia asumida de la arquitectura, no un descuido. Esta sección se queda en las entidades y sus atributos principales, que es lo que hace falta para discutir la arquitectura. El anexo A, aprobado el 14 de septiembre, lleva las veinte tablas al nivel de la migración — tipos, nulabilidad, valores por defecto, restricciones e índices — y es la fuente ante cualquier diferencia.</w:t>
      </w:r>
    </w:p>
    <w:p>
      <w:pPr>
        <w:pStyle w:val="Heading2"/>
      </w:pPr>
      <w:r>
        <w:rPr>
          <w:rFonts w:ascii="Calibri" w:cs="Calibri" w:eastAsia="Calibri" w:hAnsi="Calibri"/>
        </w:rPr>
        <w:t xml:space="preserve">6.1 identity_db</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716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Entidad</w:t>
            </w:r>
          </w:p>
        </w:tc>
        <w:tc>
          <w:tcPr>
            <w:tcW w:type="dxa" w:w="7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Atributos principales</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usuario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email (único, dominio institucional), password_hash, nombre, apellido, carrera_id y sede_id (referencias lógicas al Catálogo), nivel, email_verificado, activo, es_admin, creado_en, actualizado_en</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token_verificacion</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usuario_id, token_hash, expira_en, usado_en, creado_en — se guarda el hash, nunca el token que viaja por correo</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refresh_token</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usuario_id, token_hash, expira_en, revocado_en, creado_en</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aviso_correo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usuario_id, plantilla, asunto, referencia_id, estado, error, enviado_en — registro de cada correo enviado (RF-09), con un único parcial que evita mandar dos veces el mismo aviso</w:t>
            </w:r>
          </w:p>
        </w:tc>
      </w:tr>
    </w:tbl>
    <w:p>
      <w:pPr>
        <w:pStyle w:val="Heading2"/>
      </w:pPr>
      <w:r>
        <w:rPr>
          <w:rFonts w:ascii="Calibri" w:cs="Calibri" w:eastAsia="Calibri" w:hAnsi="Calibri"/>
        </w:rPr>
        <w:t xml:space="preserve">6.2 catalog_db</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716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Entidad</w:t>
            </w:r>
          </w:p>
        </w:tc>
        <w:tc>
          <w:tcPr>
            <w:tcW w:type="dxa" w:w="7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Atributos principales</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carrera</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 codigo, nombre, escuela, activa</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malla</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carrera_id, version, vigente_desde, vigente_hasta — nulo en vigente_hasta significa que es la malla vigente, y solo puede haber una por carrera</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asignatura</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sigla (única), nombre, creditos, activa</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malla_asignatura</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 malla_id, asignatura_id, semestre — única por (malla, asignatura)</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prerrequisito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 malla_asignatura_id, requiere_id — estructura preparada, sin funcionalidad asociada en el MVP</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sede</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codigo, nombre, region, activa — dato de referencia de menos de veinte filas; el perfil guarda sede_id y no el texto</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importacion_catalogo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archivo, tipo, filas_leidas, filas_creadas, filas_omitidas, errores, ejecutada_por, ejecutada_en — traza de cada carga de mallas (RF-04 y RF-16)</w:t>
            </w:r>
          </w:p>
        </w:tc>
      </w:tr>
    </w:tbl>
    <w:p>
      <w:pPr>
        <w:keepNext w:val="false"/>
        <w:spacing w:after="120" w:before="0" w:line="276"/>
        <w:jc w:val="both"/>
      </w:pPr>
      <w:r>
        <w:rPr>
          <w:rFonts w:ascii="Calibri" w:cs="Calibri" w:eastAsia="Calibri" w:hAnsi="Calibri"/>
          <w:b w:val="false"/>
          <w:bCs w:val="false"/>
          <w:i w:val="false"/>
          <w:iCs w:val="false"/>
          <w:sz w:val="22"/>
          <w:szCs w:val="22"/>
        </w:rPr>
        <w:t xml:space="preserve">Dos decisiones de modelado merecen quedar explícitas. La primera: la asignatura es transversal y se comparte entre carreras, en lugar de repetirse por cada una. Así, quien hace tutorías de "Cálculo I" aparece para todas las carreras que incluyen ese ramo, que es exactamente el comportamiento que se busca. La segunda: los prerrequisitos existen como estructura, pero ninguna funcionalidad del MVP los consume. Se documenta a propósito, porque un campo sin uso y sin explicación es una pregunta incómoda en la defensa; declarado como preparación para el crecimiento del modelo, es una decisión. En cambio, el semestre de cada asignatura dentro de la malla sí se usa: es lo que sostiene la regla de habilitación del tutor (RN-01).</w:t>
      </w:r>
    </w:p>
    <w:p>
      <w:pPr>
        <w:pStyle w:val="Heading2"/>
      </w:pPr>
      <w:r>
        <w:rPr>
          <w:rFonts w:ascii="Calibri" w:cs="Calibri" w:eastAsia="Calibri" w:hAnsi="Calibri"/>
        </w:rPr>
        <w:t xml:space="preserve">6.3 tutoring_db</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716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Entidad</w:t>
            </w:r>
          </w:p>
        </w:tc>
        <w:tc>
          <w:tcPr>
            <w:tcW w:type="dxa" w:w="7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Atributos principales</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perfil_tutor</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 usuario_id, asignatura_id, tarifa, descripcion, activo — único por (usuario, asignatura); la tarifa puede ser 0</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usuario_ref</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usuario_id, nombre, apellido, carrera_id, carrera_nombre, sede_id, sede_nombre, activo, reputacion_promedio, reputacion_total, actualizado_en — copia de lectura, ver sección 7. No copia el nivel: RN-01 se valida contra lo que Identidad devuelve en el momento</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asignatura_ref</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asignatura_id, sigla, nombre, actualizado_en — copia de lectura</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bloque_disponibilidad</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usuario_id, inicio_en, fin_en, estado (LIBRE u OCUPADO) — dos instantes en UTC, con el no solapamiento garantizado por la base y no por código</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reserva</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bloque_id, tutor_usuario_id, solicitante_usuario_id, asignatura_id, estado, nota, modalidad (PRESENCIAL o EN_LINEA), lugar_o_enlace, monto, estado_pago (puede ser nulo), pago_actualizado_en, cancelada_por_usuario_id, creada_en, confirmada_en, cerrada_en</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evaluacion</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reserva_id (único), calificacion (1 a 5), comentario, retirada_en, retirada_por_usuario_id, creada_en</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ejecucion_tarea</w:t>
            </w:r>
          </w:p>
        </w:tc>
        <w:tc>
          <w:tcPr>
            <w:tcW w:type="dxa" w:w="7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comando, solicitudes_expiradas, reservas_cerradas, refs_sincronizadas, perfiles_desactivados, error, iniciada_en, terminada_en — evidencia de cada ejecución del programador (AD-10)</w:t>
            </w:r>
          </w:p>
        </w:tc>
      </w:tr>
    </w:tbl>
    <w:p>
      <w:pPr>
        <w:keepNext w:val="false"/>
        <w:spacing w:after="120" w:before="0" w:line="276"/>
        <w:jc w:val="both"/>
      </w:pPr>
      <w:r>
        <w:rPr>
          <w:rFonts w:ascii="Calibri" w:cs="Calibri" w:eastAsia="Calibri" w:hAnsi="Calibri"/>
          <w:b w:val="false"/>
          <w:bCs w:val="false"/>
          <w:i w:val="false"/>
          <w:iCs w:val="false"/>
          <w:sz w:val="22"/>
          <w:szCs w:val="22"/>
        </w:rPr>
        <w:t>La disponibilidad se modela como bloques concretos, guardados como dos instantes en UTC, y no como una agenda recurrente semanal. Una agenda recurrente obliga a generar ocurrencias, manejar excepciones y resolver qué ocurre al modificar la regla con reservas ya tomadas: es una funcionalidad completa por sí sola. Con bloques concretos, el tutor publica sus horas de las próximas semanas y el modelo se mantiene trivial.</w:t>
      </w:r>
    </w:p>
    <w:p>
      <w:pPr>
        <w:keepNext w:val="false"/>
        <w:spacing w:after="120" w:before="0" w:line="276"/>
        <w:jc w:val="both"/>
      </w:pPr>
      <w:r>
        <w:rPr>
          <w:rFonts w:ascii="Calibri" w:cs="Calibri" w:eastAsia="Calibri" w:hAnsi="Calibri"/>
          <w:b w:val="false"/>
          <w:bCs w:val="false"/>
          <w:i w:val="false"/>
          <w:iCs w:val="false"/>
          <w:sz w:val="22"/>
          <w:szCs w:val="22"/>
        </w:rPr>
        <w:t>Guardar el bloque como dos instantes, en vez de fecha y horas por separado, es lo que permite que PostgreSQL garantice el no solapamiento del RN-02 con una restricción: escrita solo en código, dos peticiones simultáneas la burlan. Del resto de las columnas, las que vienen de las reglas del Pilar 1 son la nota con la que el estudiante explica qué necesita reforzar, la modalidad y el lugar o enlace que el tutor indica al confirmar, la marca retirada_en, que deja fuera de la reputación una evaluación moderada sin borrar el historial, y la copia del estado de la cuenta en usuario_ref, sin la cual la búsqueda no puede saber que un usuario fue desactivado (RN-08). La reputación se guarda calculada en usuario_ref, con el promedio y la cantidad de evaluaciones visibles: es lo que muestra la búsqueda, y recalcularla en cada consulta sería pagar el costo de la pantalla más usada del sistema.</w:t>
      </w:r>
    </w:p>
    <w:p>
      <w:pPr>
        <w:pStyle w:val="Heading2"/>
      </w:pPr>
      <w:r>
        <w:rPr>
          <w:rFonts w:ascii="Calibri" w:cs="Calibri" w:eastAsia="Calibri" w:hAnsi="Calibri"/>
        </w:rPr>
        <w:t xml:space="preserve">6.4 payment_db</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716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Entidad</w:t>
            </w:r>
          </w:p>
        </w:tc>
        <w:tc>
          <w:tcPr>
            <w:tcW w:type="dxa" w:w="7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Atributos principales</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reserva_id (único), monto, estado (PENDIENTE, PAGADO, FALLIDO o REEMBOLSADO), proveedor, referencia_externa, notificado_en, creado_en, actualizado_en</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intento_pago</w:t>
            </w:r>
          </w:p>
        </w:tc>
        <w:tc>
          <w:tcPr>
            <w:tcW w:type="dxa" w:w="7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 pago_id, tipo (COBRO o REEMBOLSO), resultado, mensaje, referencia_externa, creado_en — un reintento no borra el resultado anterior: cada intento queda auditable (RN-05)</w:t>
            </w:r>
          </w:p>
        </w:tc>
      </w:tr>
    </w:tbl>
    <w:p>
      <w:pPr>
        <w:keepNext w:val="false"/>
        <w:spacing w:after="120" w:before="0" w:line="276"/>
        <w:jc w:val="both"/>
      </w:pPr>
      <w:r>
        <w:rPr>
          <w:rFonts w:ascii="Calibri" w:cs="Calibri" w:eastAsia="Calibri" w:hAnsi="Calibri"/>
          <w:b w:val="false"/>
          <w:bCs w:val="false"/>
          <w:i w:val="false"/>
          <w:iCs w:val="false"/>
          <w:sz w:val="22"/>
          <w:szCs w:val="22"/>
        </w:rPr>
        <w:t>El campo proveedor y la referencia externa existen desde ahora, aunque el pago sea simulado: son el punto exacto donde se conecta una pasarela real, y tenerlos previstos convierte esa incorporación en una extensión y no en una reescritura. Los reintentos que permite RN-05 y el reembolso que exige CA9 viven en intento_pago: con una sola fila por pago, cada reintento habría borrado el resultado anterior y no quedaría historial que mostrar.</w:t>
      </w:r>
    </w:p>
    <w:p>
      <w:pPr>
        <w:pStyle w:val="Heading1"/>
      </w:pPr>
      <w:r>
        <w:rPr>
          <w:rFonts w:ascii="Calibri" w:cs="Calibri" w:eastAsia="Calibri" w:hAnsi="Calibri"/>
        </w:rPr>
        <w:t xml:space="preserve">7. Datos que cruzan fronteras entre servicios</w:t>
      </w:r>
    </w:p>
    <w:p>
      <w:pPr>
        <w:keepNext w:val="false"/>
        <w:spacing w:after="120" w:before="0" w:line="276"/>
        <w:jc w:val="both"/>
      </w:pPr>
      <w:r>
        <w:rPr>
          <w:rFonts w:ascii="Calibri" w:cs="Calibri" w:eastAsia="Calibri" w:hAnsi="Calibri"/>
          <w:b w:val="false"/>
          <w:bCs w:val="false"/>
          <w:i w:val="false"/>
          <w:iCs w:val="false"/>
          <w:sz w:val="22"/>
          <w:szCs w:val="22"/>
        </w:rPr>
        <w:t xml:space="preserve">Este es el problema central de cualquier arquitectura de microservicios, y la pregunta más probable de la defensa: si el nombre del tutor vive en Identidad y la búsqueda ocurre en Tutorías, ¿cómo se muestra el resultado?</w:t>
      </w:r>
    </w:p>
    <w:p>
      <w:pPr>
        <w:keepNext w:val="false"/>
        <w:spacing w:after="120" w:before="0" w:line="276"/>
        <w:jc w:val="both"/>
      </w:pPr>
      <w:r>
        <w:rPr>
          <w:rFonts w:ascii="Calibri" w:cs="Calibri" w:eastAsia="Calibri" w:hAnsi="Calibri"/>
          <w:b w:val="false"/>
          <w:bCs w:val="false"/>
          <w:i w:val="false"/>
          <w:iCs w:val="false"/>
          <w:sz w:val="22"/>
          <w:szCs w:val="22"/>
        </w:rPr>
        <w:t xml:space="preserve">La respuesta ingenua es consultar a Identidad por cada tutor encontrado. Con veinte resultados son veinte llamadas HTTP para pintar una lista: la pantalla más usada del sistema sería también la más lenta, y el problema crecería con el éxito de la plataforma.</w:t>
      </w:r>
    </w:p>
    <w:p>
      <w:pPr>
        <w:keepNext w:val="false"/>
        <w:spacing w:after="120" w:before="0" w:line="276"/>
        <w:jc w:val="both"/>
      </w:pPr>
      <w:r>
        <w:rPr>
          <w:rFonts w:ascii="Calibri" w:cs="Calibri" w:eastAsia="Calibri" w:hAnsi="Calibri"/>
          <w:b w:val="false"/>
          <w:bCs w:val="false"/>
          <w:i w:val="false"/>
          <w:iCs w:val="false"/>
          <w:sz w:val="22"/>
          <w:szCs w:val="22"/>
        </w:rPr>
        <w:t>La solución adoptada es duplicación controlada de datos de solo lectura. La primera vez que un usuario toca Tutorías — al declarar una asignatura o al solicitar una tutoría, lo que ocurra antes — Tutorías consulta una sola vez a Identidad y guarda su nombre en usuario_ref; hace lo equivalente con Catálogo para la sigla y el nombre de la asignatura. También quien solo solicita necesita su fila, porque la reserva apunta a ella. A partir de ese momento, la búsqueda se resuelve íntegramente dentro de tutoring_db, sin salir del servicio.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Aspecto</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Cómo se resuelve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Qué se copia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Campos de presentación que cambian rara vez: nombre, apellido, carrera, sede, sigla y nombre de asignatura. Se suma la reputación, que Tutorías calcula y por lo tanto es dueña, y el estado de la cuenta: sin él la búsqueda, que se resuelve entera dentro de tutoring_db, no podría excluir a un usuario desactivado y RN-08 quedaría incumplida.</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nombre de la carrera y el de la sede</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Identidad guarda los identificadores, no los nombres. Tutorías obtiene el de la carrera desde Catálogo, en la misma llamada donde valida la asignatura, y el de la sede por su endpoint interno; los guarda junto al nombre del usuario. Identidad tampoco los valida contra Catálogo: se validan donde se usan (AD-15).</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estado del pago</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fuente de verdad es Pagos. Cuando un pago se resuelve o se reembolsa, Pagos avisa a Tutorías por un endpoint interno y actualiza la copia. Así el detalle de la reserva se muestra sin depender de que Pagos esté disponible, y con el componente desactivado el atributo queda en NULO.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Qué no se copia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Nada de lo que Tutorías pueda decidir por su cuenta. La contraseña y el correo viven únicamente en Identidad, y por eso los avisos los envía Identidad y no Tutorías. El estado de la cuenta sí se copia, pero como copia declarada: Identidad sigue siendo su fuente de verdad y Tutorías nunca lo escribe por su cuenta.</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Cómo se actualiza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 refresca cuando el usuario entra a su perfil de tutor y en el paso de sincronización del programador, que cada cinco minutos toma las copias más antiguas, trae el estado de la cuenta y revalida RN-01 contra la carrera y el nivel vigentes. El administrador puede ejecutar el mismo comando a mano.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Qué se acepta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Consistencia eventual: si alguien corrige su nombre, la copia queda desfasada hasta el siguiente refresco. Para un dato de presentación, es un costo razonable.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Qué nunca se hace</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Consultar la base de datos de otro servicio ni cruzar tablas entre bases. Esa es la línea que no se cruza.</w:t>
            </w:r>
          </w:p>
        </w:tc>
      </w:tr>
    </w:tbl>
    <w:p>
      <w:pPr>
        <w:pStyle w:val="Heading1"/>
      </w:pPr>
      <w:r>
        <w:rPr>
          <w:rFonts w:ascii="Calibri" w:cs="Calibri" w:eastAsia="Calibri" w:hAnsi="Calibri"/>
        </w:rPr>
        <w:t xml:space="preserve">8. Ciclo de vida de una reserva</w:t>
      </w:r>
    </w:p>
    <w:p>
      <w:pPr>
        <w:keepNext w:val="false"/>
        <w:spacing w:after="120" w:before="0" w:line="276"/>
        <w:jc w:val="both"/>
      </w:pPr>
      <w:r>
        <w:rPr>
          <w:rFonts w:ascii="Calibri" w:cs="Calibri" w:eastAsia="Calibri" w:hAnsi="Calibri"/>
          <w:b w:val="false"/>
          <w:bCs w:val="false"/>
          <w:i w:val="false"/>
          <w:iCs w:val="false"/>
          <w:sz w:val="22"/>
          <w:szCs w:val="22"/>
        </w:rPr>
        <w:t xml:space="preserve">La reserva es la entidad con más reglas del sistema, y donde se concentran los errores si su ciclo de vida no está definido antes de programar.</w:t>
      </w:r>
    </w:p>
    <w:p>
      <w:pPr>
        <w:keepNext/>
        <w:spacing w:after="60" w:before="60"/>
        <w:jc w:val="center"/>
      </w:pPr>
      <w:r>
        <w:drawing>
          <wp:inline distT="0" distB="0" distL="0" distR="0">
            <wp:extent cx="59436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33700"/>
                    </a:xfrm>
                    <a:prstGeom prst="rect">
                      <a:avLst/>
                    </a:prstGeom>
                  </pic:spPr>
                </pic:pic>
              </a:graphicData>
            </a:graphic>
          </wp:inline>
        </w:drawing>
      </w:r>
    </w:p>
    <w:p>
      <w:pPr>
        <w:spacing w:after="160"/>
        <w:jc w:val="center"/>
      </w:pPr>
      <w:r>
        <w:rPr>
          <w:rFonts w:ascii="Calibri" w:cs="Calibri" w:eastAsia="Calibri" w:hAnsi="Calibri"/>
          <w:b w:val="false"/>
          <w:bCs w:val="false"/>
          <w:i/>
          <w:iCs/>
          <w:color w:val="595959"/>
          <w:sz w:val="20"/>
          <w:szCs w:val="20"/>
        </w:rPr>
        <w:t xml:space="preserve">Figura 2. Estados de la reserva. El estado del pago queda deliberadamente fuera de la máquina.</w:t>
      </w:r>
    </w:p>
    <w:p>
      <w:pPr>
        <w:keepNext w:val="false"/>
        <w:spacing w:after="120" w:before="0" w:line="276"/>
        <w:jc w:val="both"/>
      </w:pPr>
      <w:r>
        <w:rPr>
          <w:rFonts w:ascii="Calibri" w:cs="Calibri" w:eastAsia="Calibri" w:hAnsi="Calibri"/>
          <w:b/>
          <w:bCs/>
          <w:i w:val="false"/>
          <w:iCs w:val="false"/>
          <w:sz w:val="22"/>
          <w:szCs w:val="22"/>
        </w:rPr>
        <w:t xml:space="preserve">La decisión relevante aquí es de gestión de riesgo, no de diseño puro.</w:t>
      </w:r>
      <w:r>
        <w:rPr>
          <w:rFonts w:ascii="Calibri" w:cs="Calibri" w:eastAsia="Calibri" w:hAnsi="Calibri"/>
          <w:b w:val="false"/>
          <w:bCs w:val="false"/>
          <w:i w:val="false"/>
          <w:iCs w:val="false"/>
          <w:sz w:val="22"/>
          <w:szCs w:val="22"/>
        </w:rPr>
        <w:t xml:space="preserve"> En el documento del Pilar 1 se registró que el profesor podría pedir eliminar el sistema de pagos. Si el pago fuese un estado dentro de la máquina, retirarlo obligaría a rehacer todas las transiciones y a migrar las reservas existentes. Al modelarlo como un atributo independiente que puede ser nulo, eliminarlo se reduce a apagar un contenedor y ocultar un paso en la interfaz. El diseño absorbe el cambio de requisito en lugar de resistirlo.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Regla</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Bloqueo del horario</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bloque pasa a OCUPADO al confirmar, no al solicitar. Un tutor puede recibir varias solicitudes sobre el mismo bloque; la primera confirmación gana y las demás se rechazan automáticamente. La confirmación ocurre dentro de una transacción que bloquea el bloque, y una restricción única impide que existan dos reservas confirmadas sobre el mismo.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Retiro de la solicitud</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Mientras la reserva está SOLICITADA, el estudiante puede retirarla y queda CANCELADA. El bloque nunca estuvo ocupado, así que no hay nada que liberar.</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Expiración</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solicitud que nadie responde pasa a EXPIRADA cuando llega la hora de inicio del bloque. Sin esto, las solicitudes sin respuesta quedarían pendientes para siempre.</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reserva CONFIRMADA la puede cancelar cualquiera de las partes antes de que empiece. El bloque vuelve a LIBRE y, si el pago estaba en PAGADO, Tutorías pide el reembolso simulado a Pagos.</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 la sesión</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transición a REALIZADA la dispara el paso de la fecha, y la ejecuta el programador de tareas, no una acción del usuario. La plataforma no supervisa la sesión, por lo que no puede afirmar que ocurrió.</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Evaluación</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Solo el solicitante evalúa, una sola vez, y únicamente sobre una reserva en estado REALIZADA.</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Estados terminales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RECHAZADA, EXPIRADA, CANCELADA y EVALUADA no admiten transiciones de salida.</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Validaciones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se reservan bloques pasados, un usuario no puede solicitarse una tutoría a sí mismo y los bloques de un mismo tutor no se solapan.</w:t>
            </w:r>
          </w:p>
        </w:tc>
      </w:tr>
    </w:tbl>
    <w:p>
      <w:pPr>
        <w:pStyle w:val="Heading1"/>
      </w:pPr>
      <w:r>
        <w:rPr>
          <w:rFonts w:ascii="Calibri" w:cs="Calibri" w:eastAsia="Calibri" w:hAnsi="Calibri"/>
        </w:rPr>
        <w:t xml:space="preserve">9. Estructura del repositorio</w:t>
      </w:r>
    </w:p>
    <w:p>
      <w:pPr>
        <w:keepNext w:val="false"/>
        <w:spacing w:after="120" w:before="0" w:line="276"/>
        <w:jc w:val="both"/>
      </w:pPr>
      <w:r>
        <w:rPr>
          <w:rFonts w:ascii="Calibri" w:cs="Calibri" w:eastAsia="Calibri" w:hAnsi="Calibri"/>
          <w:b w:val="false"/>
          <w:bCs w:val="false"/>
          <w:i w:val="false"/>
          <w:iCs w:val="false"/>
          <w:sz w:val="22"/>
          <w:szCs w:val="22"/>
        </w:rPr>
        <w:t>Un repositorio único con fronteras claras entre carpetas, idéntico al que describe la sección 3 del Pilar 5: es el mismo árbol, y HU-01 lo creó el 21 de septiembre, salvo frontend/, que llega con HU-06, y docs/diagramas/, cuyos cinco diagramas todavía falta subir. Ningún servicio importa código de otro. Si dos servicios necesitan lo mismo, se duplica o se extrae a una carpeta compartida de forma explícita, nunca por importación cruzada.</w:t>
      </w:r>
    </w:p>
    <w:p>
      <w:pPr>
        <w:spacing w:after="0" w:before="0" w:line="240"/>
        <w:jc w:val="left"/>
      </w:pPr>
      <w:r>
        <w:rPr>
          <w:rFonts w:ascii="Consolas" w:cs="Consolas" w:eastAsia="Consolas" w:hAnsi="Consolas"/>
          <w:sz w:val="17"/>
          <w:szCs w:val="17"/>
        </w:rPr>
        <w:t>plataforma-tutorias/</w:t>
      </w:r>
    </w:p>
    <w:p>
      <w:pPr>
        <w:spacing w:after="0" w:before="0" w:line="240"/>
        <w:jc w:val="left"/>
      </w:pPr>
      <w:r>
        <w:rPr>
          <w:rFonts w:ascii="Consolas" w:cs="Consolas" w:eastAsia="Consolas" w:hAnsi="Consolas"/>
          <w:sz w:val="17"/>
          <w:szCs w:val="17"/>
        </w:rPr>
        <w:t>├── .github/workflows/          # ci.yml, el canal de integración continua</w:t>
      </w:r>
    </w:p>
    <w:p>
      <w:pPr>
        <w:spacing w:after="0" w:before="0" w:line="240"/>
        <w:jc w:val="left"/>
      </w:pPr>
      <w:r>
        <w:rPr>
          <w:rFonts w:ascii="Consolas" w:cs="Consolas" w:eastAsia="Consolas" w:hAnsi="Consolas"/>
          <w:sz w:val="17"/>
          <w:szCs w:val="17"/>
        </w:rPr>
        <w:t>├── docker-compose.yml          # levanta el sistema completo</w:t>
      </w:r>
    </w:p>
    <w:p>
      <w:pPr>
        <w:spacing w:after="0" w:before="0" w:line="240"/>
        <w:jc w:val="left"/>
      </w:pPr>
      <w:r>
        <w:rPr>
          <w:rFonts w:ascii="Consolas" w:cs="Consolas" w:eastAsia="Consolas" w:hAnsi="Consolas"/>
          <w:sz w:val="17"/>
          <w:szCs w:val="17"/>
        </w:rPr>
        <w:t>├── .env.example                # variables de entorno, sin secretos reales</w:t>
      </w:r>
    </w:p>
    <w:p>
      <w:pPr>
        <w:spacing w:after="0" w:before="0" w:line="240"/>
        <w:jc w:val="left"/>
      </w:pPr>
      <w:r>
        <w:rPr>
          <w:rFonts w:ascii="Consolas" w:cs="Consolas" w:eastAsia="Consolas" w:hAnsi="Consolas"/>
          <w:sz w:val="17"/>
          <w:szCs w:val="17"/>
        </w:rPr>
        <w:t>├── .gitignore                  # nunca el .env, el entorno virtual ni node_modules</w:t>
      </w:r>
    </w:p>
    <w:p>
      <w:pPr>
        <w:spacing w:after="0" w:before="0" w:line="240"/>
        <w:jc w:val="left"/>
      </w:pPr>
      <w:r>
        <w:rPr>
          <w:rFonts w:ascii="Consolas" w:cs="Consolas" w:eastAsia="Consolas" w:hAnsi="Consolas"/>
          <w:sz w:val="17"/>
          <w:szCs w:val="17"/>
        </w:rPr>
        <w:t>├── .gitattributes              # fin de línea de estilo Unix</w:t>
      </w:r>
    </w:p>
    <w:p>
      <w:pPr>
        <w:spacing w:after="0" w:before="0" w:line="240"/>
        <w:jc w:val="left"/>
      </w:pPr>
      <w:r>
        <w:rPr>
          <w:rFonts w:ascii="Consolas" w:cs="Consolas" w:eastAsia="Consolas" w:hAnsi="Consolas"/>
          <w:sz w:val="17"/>
          <w:szCs w:val="17"/>
        </w:rPr>
        <w:t>├── README.md                   # cómo levantar el proyecto desde cero</w:t>
      </w:r>
    </w:p>
    <w:p>
      <w:pPr>
        <w:spacing w:after="0" w:before="0" w:line="240"/>
        <w:jc w:val="left"/>
      </w:pPr>
      <w:r>
        <w:rPr>
          <w:rFonts w:ascii="Consolas" w:cs="Consolas" w:eastAsia="Consolas" w:hAnsi="Consolas"/>
          <w:sz w:val="17"/>
          <w:szCs w:val="17"/>
        </w:rPr>
        <w:t>├── infra/</w:t>
      </w:r>
    </w:p>
    <w:p>
      <w:pPr>
        <w:spacing w:after="0" w:before="0" w:line="240"/>
        <w:jc w:val="left"/>
      </w:pPr>
      <w:r>
        <w:rPr>
          <w:rFonts w:ascii="Consolas" w:cs="Consolas" w:eastAsia="Consolas" w:hAnsi="Consolas"/>
          <w:sz w:val="17"/>
          <w:szCs w:val="17"/>
        </w:rPr>
        <w:t>│   ├── nginx/                  # nginx.conf y página de estado del gateway</w:t>
      </w:r>
    </w:p>
    <w:p>
      <w:pPr>
        <w:spacing w:after="0" w:before="0" w:line="240"/>
        <w:jc w:val="left"/>
      </w:pPr>
      <w:r>
        <w:rPr>
          <w:rFonts w:ascii="Consolas" w:cs="Consolas" w:eastAsia="Consolas" w:hAnsi="Consolas"/>
          <w:sz w:val="17"/>
          <w:szCs w:val="17"/>
        </w:rPr>
        <w:t>│   └── postgres/               # scripts de inicialización</w:t>
      </w:r>
    </w:p>
    <w:p>
      <w:pPr>
        <w:spacing w:after="0" w:before="0" w:line="240"/>
        <w:jc w:val="left"/>
      </w:pPr>
      <w:r>
        <w:rPr>
          <w:rFonts w:ascii="Consolas" w:cs="Consolas" w:eastAsia="Consolas" w:hAnsi="Consolas"/>
          <w:sz w:val="17"/>
          <w:szCs w:val="17"/>
        </w:rPr>
        <w:t>├── services/</w:t>
      </w:r>
    </w:p>
    <w:p>
      <w:pPr>
        <w:spacing w:after="0" w:before="0" w:line="240"/>
        <w:jc w:val="left"/>
      </w:pPr>
      <w:r>
        <w:rPr>
          <w:rFonts w:ascii="Consolas" w:cs="Consolas" w:eastAsia="Consolas" w:hAnsi="Consolas"/>
          <w:sz w:val="17"/>
          <w:szCs w:val="17"/>
        </w:rPr>
        <w:t>│   ├── identity/               # Dockerfile, requirements.txt, manage.py y apps</w:t>
      </w:r>
    </w:p>
    <w:p>
      <w:pPr>
        <w:spacing w:after="0" w:before="0" w:line="240"/>
        <w:jc w:val="left"/>
      </w:pPr>
      <w:r>
        <w:rPr>
          <w:rFonts w:ascii="Consolas" w:cs="Consolas" w:eastAsia="Consolas" w:hAnsi="Consolas"/>
          <w:sz w:val="17"/>
          <w:szCs w:val="17"/>
        </w:rPr>
        <w:t>│   ├── catalog/</w:t>
      </w:r>
    </w:p>
    <w:p>
      <w:pPr>
        <w:spacing w:after="0" w:before="0" w:line="240"/>
        <w:jc w:val="left"/>
      </w:pPr>
      <w:r>
        <w:rPr>
          <w:rFonts w:ascii="Consolas" w:cs="Consolas" w:eastAsia="Consolas" w:hAnsi="Consolas"/>
          <w:sz w:val="17"/>
          <w:szCs w:val="17"/>
        </w:rPr>
        <w:t>│   ├── tutoring/               # incluye el comando del programador</w:t>
      </w:r>
    </w:p>
    <w:p>
      <w:pPr>
        <w:spacing w:after="0" w:before="0" w:line="240"/>
        <w:jc w:val="left"/>
      </w:pPr>
      <w:r>
        <w:rPr>
          <w:rFonts w:ascii="Consolas" w:cs="Consolas" w:eastAsia="Consolas" w:hAnsi="Consolas"/>
          <w:sz w:val="17"/>
          <w:szCs w:val="17"/>
        </w:rPr>
        <w:t>│   └── payments/</w:t>
      </w:r>
    </w:p>
    <w:p>
      <w:pPr>
        <w:spacing w:after="0" w:before="0" w:line="240"/>
        <w:jc w:val="left"/>
      </w:pPr>
      <w:r>
        <w:rPr>
          <w:rFonts w:ascii="Consolas" w:cs="Consolas" w:eastAsia="Consolas" w:hAnsi="Consolas"/>
          <w:sz w:val="17"/>
          <w:szCs w:val="17"/>
        </w:rPr>
        <w:t>├── frontend/                   # React + Vite</w:t>
      </w:r>
    </w:p>
    <w:p>
      <w:pPr>
        <w:spacing w:after="0" w:before="0" w:line="240"/>
        <w:jc w:val="left"/>
      </w:pPr>
      <w:r>
        <w:rPr>
          <w:rFonts w:ascii="Consolas" w:cs="Consolas" w:eastAsia="Consolas" w:hAnsi="Consolas"/>
          <w:sz w:val="17"/>
          <w:szCs w:val="17"/>
        </w:rPr>
        <w:t>├── scripts/                    # carga del catálogo y sincronización manual</w:t>
      </w:r>
    </w:p>
    <w:p>
      <w:pPr>
        <w:spacing w:after="0" w:before="0" w:line="240"/>
        <w:jc w:val="left"/>
      </w:pPr>
      <w:r>
        <w:rPr>
          <w:rFonts w:ascii="Consolas" w:cs="Consolas" w:eastAsia="Consolas" w:hAnsi="Consolas"/>
          <w:sz w:val="17"/>
          <w:szCs w:val="17"/>
        </w:rPr>
        <w:t>├── data/seeds/                 # carreras.csv, sedes.csv, asignaturas.csv, mallas.csv</w:t>
      </w:r>
    </w:p>
    <w:p>
      <w:pPr>
        <w:spacing w:after="0" w:before="0" w:line="240"/>
        <w:jc w:val="left"/>
      </w:pPr>
      <w:r>
        <w:rPr>
          <w:rFonts w:ascii="Consolas" w:cs="Consolas" w:eastAsia="Consolas" w:hAnsi="Consolas"/>
          <w:sz w:val="17"/>
          <w:szCs w:val="17"/>
        </w:rPr>
        <w:t>├── keys/                       # jwt_public.pem (la privada NO se versiona)</w:t>
      </w:r>
    </w:p>
    <w:p>
      <w:pPr>
        <w:spacing w:after="0" w:before="0" w:line="240"/>
        <w:jc w:val="left"/>
      </w:pPr>
      <w:r>
        <w:rPr>
          <w:rFonts w:ascii="Consolas" w:cs="Consolas" w:eastAsia="Consolas" w:hAnsi="Consolas"/>
          <w:sz w:val="17"/>
          <w:szCs w:val="17"/>
        </w:rPr>
        <w:t>└── docs/</w:t>
      </w:r>
    </w:p>
    <w:p>
      <w:pPr>
        <w:spacing w:after="0" w:before="0" w:line="240"/>
        <w:jc w:val="left"/>
      </w:pPr>
      <w:r>
        <w:rPr>
          <w:rFonts w:ascii="Consolas" w:cs="Consolas" w:eastAsia="Consolas" w:hAnsi="Consolas"/>
          <w:sz w:val="17"/>
          <w:szCs w:val="17"/>
        </w:rPr>
        <w:t xml:space="preserve">    ├── adr/                    # decisiones de arquitectura</w:t>
      </w:r>
    </w:p>
    <w:p>
      <w:pPr>
        <w:spacing w:after="0" w:before="0" w:line="240"/>
        <w:jc w:val="left"/>
      </w:pPr>
      <w:r>
        <w:rPr>
          <w:rFonts w:ascii="Consolas" w:cs="Consolas" w:eastAsia="Consolas" w:hAnsi="Consolas"/>
          <w:sz w:val="17"/>
          <w:szCs w:val="17"/>
        </w:rPr>
        <w:t xml:space="preserve">    ├── api/                    # contratos OpenAPI por servicio</w:t>
      </w:r>
    </w:p>
    <w:p>
      <w:pPr>
        <w:spacing w:after="0" w:before="0" w:line="240"/>
        <w:jc w:val="left"/>
      </w:pPr>
      <w:r>
        <w:rPr>
          <w:rFonts w:ascii="Consolas" w:cs="Consolas" w:eastAsia="Consolas" w:hAnsi="Consolas"/>
          <w:sz w:val="17"/>
          <w:szCs w:val="17"/>
        </w:rPr>
        <w:t xml:space="preserve">    ├── diagramas/              # los .mmd del anexo A del Pilar 2</w:t>
      </w:r>
    </w:p>
    <w:p>
      <w:pPr>
        <w:spacing w:after="0" w:before="0" w:line="240"/>
        <w:jc w:val="left"/>
      </w:pPr>
      <w:r>
        <w:rPr>
          <w:rFonts w:ascii="Consolas" w:cs="Consolas" w:eastAsia="Consolas" w:hAnsi="Consolas"/>
          <w:sz w:val="17"/>
          <w:szCs w:val="17"/>
        </w:rPr>
        <w:t xml:space="preserve">    ├── planificacion/          # los cinco pilares en su última versión</w:t>
      </w:r>
    </w:p>
    <w:p>
      <w:pPr>
        <w:spacing w:after="0" w:before="0" w:line="240"/>
        <w:jc w:val="left"/>
      </w:pPr>
      <w:r>
        <w:rPr>
          <w:rFonts w:ascii="Consolas" w:cs="Consolas" w:eastAsia="Consolas" w:hAnsi="Consolas"/>
          <w:sz w:val="17"/>
          <w:szCs w:val="17"/>
        </w:rPr>
        <w:t xml:space="preserve">    └── evidencia/              # cobertura, capturas y actas de cierre</w:t>
      </w:r>
    </w:p>
    <w:p>
      <w:pPr>
        <w:keepNext w:val="false"/>
        <w:spacing w:after="120" w:before="0" w:line="276"/>
        <w:jc w:val="both"/>
      </w:pPr>
      <w:r>
        <w:rPr>
          <w:rFonts w:ascii="Calibri" w:cs="Calibri" w:eastAsia="Calibri" w:hAnsi="Calibri"/>
          <w:b w:val="false"/>
          <w:bCs w:val="false"/>
          <w:i w:val="false"/>
          <w:iCs w:val="false"/>
          <w:sz w:val="22"/>
          <w:szCs w:val="22"/>
        </w:rPr>
        <w:t>El gateway vive en infra/nginx y no en una carpeta propia, para que quede junto a los scripts de inicialización de PostgreSQL: las dos cosas son infraestructura y ninguna es un servicio. Dentro de frontend/src, las pantallas se agrupan por servicio (identidad, catalogo, tutorias, pagos y admin), de modo que cada dueño trabaje en su carpeta. En componentes/ y estilos/ vive lo común, que es responsabilidad del encargado de la coherencia visual y donde se portan el HTML y el CSS ya escritos. El programador de tareas no tiene carpeta propia: es la misma imagen de Tutorías ejecutando otro comando.</w:t>
      </w:r>
    </w:p>
    <w:p>
      <w:pPr>
        <w:pStyle w:val="Heading1"/>
      </w:pPr>
      <w:r>
        <w:rPr>
          <w:rFonts w:ascii="Calibri" w:cs="Calibri" w:eastAsia="Calibri" w:hAnsi="Calibri"/>
        </w:rPr>
        <w:t xml:space="preserve">10. Infraestructura y despliegue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Aspecto</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Definición</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Composición</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Doce contenedores: Nginx, cuatro servicios, cuatro bases PostgreSQL, el frontend, el servidor de correo de desarrollo y el programador de tareas.</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Puertos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Nginx es el único componente del sistema que publica un puerto al equipo anfitrión (8080): ningún servicio ni base de datos es alcanzable desde fuera. La bandeja del correo de desarrollo publica un segundo puerto (8025 por defecto, solo en 127.0.0.1), pero es una herramienta de desarrollo y no parte del sistema evaluado: Identidad no depende de ella para arrancar, y en un despliegue real no existiría. Dentro de la red interna, cada servicio escucha en el puerto 8000 de su propio contenedor.</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Redes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Dos redes: interna (con internal: true), para servicios, bases y componentes de apoyo, y borde, por donde salen los puertos publicados. Nginx y la bandeja del correo de desarrollo son los únicos componentes en ambas: Docker no publica los puertos de un contenedor que solo está en una red interna, y no da ningún error (lo comprobó HU-02).</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Variables de entorno</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solo archivo .env en la raíz para los cuatro servicios, con .env.example versionado y .env excluido del repositorio. Así lo dejó HU-01: la prueba del clon limpio copia un archivo y no cuatro.</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Claves de firma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Generadas una sola vez. La privada se monta únicamente en Identidad; la pública, en los cuatro servicios.</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Migraciones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Cada servicio ejecuta las suyas al arrancar. Ningún servicio modifica tablas de otro.</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Programador de tareas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Reutiliza la imagen de Tutorías y ejecuta su comando cada cinco minutos. Deja registro de cada ejecución, para que en la demostración se pueda mostrar una reserva cerrándose sola.</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Consumo de memoria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Doce contenedores exigen del equipo de cada integrante. Si resulta inviable, se colapsa a una instancia PostgreSQL con cuatro bases y cuatro roles sin permisos cruzados: se conserva el aislamiento lógico, que es la propiedad que importa.</w:t>
            </w:r>
          </w:p>
        </w:tc>
      </w:tr>
    </w:tbl>
    <w:p>
      <w:pPr>
        <w:pStyle w:val="Heading1"/>
      </w:pPr>
      <w:r>
        <w:rPr>
          <w:rFonts w:ascii="Calibri" w:cs="Calibri" w:eastAsia="Calibri" w:hAnsi="Calibri"/>
        </w:rPr>
        <w:t xml:space="preserve">11. Convenciones transversales</w:t>
      </w:r>
    </w:p>
    <w:p>
      <w:pPr>
        <w:keepNext w:val="false"/>
        <w:spacing w:after="120" w:before="0" w:line="276"/>
        <w:jc w:val="both"/>
      </w:pPr>
      <w:r>
        <w:rPr>
          <w:rFonts w:ascii="Calibri" w:cs="Calibri" w:eastAsia="Calibri" w:hAnsi="Calibri"/>
          <w:b w:val="false"/>
          <w:bCs w:val="false"/>
          <w:i w:val="false"/>
          <w:iCs w:val="false"/>
          <w:sz w:val="22"/>
          <w:szCs w:val="22"/>
        </w:rPr>
        <w:t xml:space="preserve">Acuerdos que aplican a los cuatro servicios por igual. Definirlos ahora evita cuatro soluciones distintas al mismo problema.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Convención</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Definición</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Formato de error</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Respuesta uniforme con código, mensaje legible y detalles opcionales. Un solo formato permite un solo manejador de errores en el frontend.</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Versionado</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Prefijo de versión en todas las rutas desde el primer día.</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Nomenclatura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Rutas en minúsculas y con guiones (/verificar-correo); campos de las respuestas en minúsculas con guiones bajos (estado_pago); código y comentarios en español. Los prefijos de servicio quedan en inglés (/api/identity) porque coinciden con el nombre de su carpeta en el repositorio.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Trazabilidad</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Nginx genera un identificador de petición que se propaga a los servicios y aparece en todos sus registros. Sin esto, depurar un fallo que atraviesa tres servicios es adivinar.</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Zona horaria</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Todo se almacena en UTC y se convierte a la hora de Chile en el cliente. En un sistema de agendamiento, mezclar zonas horarias produce errores difíciles de reproducir y fáciles de evitar.</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Límite de intentos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Nginx limita los intentos contra /login. Son dos líneas de configuración y cierran la puerta a la fuerza bruta.</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Salud del servicio</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Cada servicio expone un endpoint de estado que el compositor de contenedores usa para ordenar el arranque.</w:t>
            </w:r>
          </w:p>
        </w:tc>
      </w:tr>
    </w:tbl>
    <w:p>
      <w:pPr>
        <w:pStyle w:val="Heading1"/>
      </w:pPr>
      <w:r>
        <w:rPr>
          <w:rFonts w:ascii="Calibri" w:cs="Calibri" w:eastAsia="Calibri" w:hAnsi="Calibri"/>
        </w:rPr>
        <w:t xml:space="preserve">12. Riesgos técnicos de esta arquitectura</w:t>
      </w:r>
    </w:p>
    <w:p>
      <w:pPr>
        <w:keepNext w:val="false"/>
        <w:spacing w:after="120" w:before="0" w:line="276"/>
        <w:jc w:val="both"/>
      </w:pPr>
      <w:r>
        <w:rPr>
          <w:rFonts w:ascii="Calibri" w:cs="Calibri" w:eastAsia="Calibri" w:hAnsi="Calibri"/>
          <w:b w:val="false"/>
          <w:bCs w:val="false"/>
          <w:i w:val="false"/>
          <w:iCs w:val="false"/>
          <w:sz w:val="22"/>
          <w:szCs w:val="22"/>
        </w:rPr>
        <w:t>Riesgos que nacen del diseño elegido, distintos de los riesgos de alcance del Pilar 1. Desde la versión 1.0 del Pilar 5 esta tabla es el origen histórico y no se actualiza por separado: el registro vigente, con disparador observable y dueño, es el anexo A del Pilar 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60"/>
        <w:gridCol w:w="1000"/>
        <w:gridCol w:w="900"/>
        <w:gridCol w:w="4400"/>
      </w:tblGrid>
      <w:tr>
        <w:trPr>
          <w:cantSplit/>
          <w:tblHeader/>
        </w:trPr>
        <w:tc>
          <w:tcPr>
            <w:tcW w:type="dxa" w:w="30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Riesgo</w:t>
            </w:r>
          </w:p>
        </w:tc>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Impacto</w:t>
            </w:r>
          </w:p>
        </w:tc>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Prob.</w:t>
            </w:r>
          </w:p>
        </w:tc>
        <w:tc>
          <w:tcPr>
            <w:tcW w:type="dxa" w:w="4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Respuesta preparada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esqueleto de los cuatro servicios y el gateway toma más que las horas estimadas.</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Levantarlo completo en el primer sprint, aunque los servicios solo respondan su endpoint de estado. Ningún desarrollo de funcionalidad comienza antes de que el sistema se levante con un comando.</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base del frontend en React no está lista al cierre del sprint 1.</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construye el integrante que ya usó React y es lo primero del sprint. Si al cierre no funciona, se aplica el plan de AD-12: HTML, CSS y JavaScript servidos por Nginx, reutilizando las páginas ya escritas.</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contrato de interfaz cambia a mitad de sprint y bloquea a dos personas.</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Contratos congelados al inicio de cada sprint. Un cambio urgente se acuerda entre los tres antes de implementarse, nunca se descubre en el código.</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copias de lectura quedan desfasadas y se detecta tarde.</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Refresco al entrar al perfil y comando de sincronización manual. La limitación se documenta como consistencia eventual, no como defecto.</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programador de tareas no se ejecuta y las reservas quedan sin cerrar.</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Deja registro de cada ejecución y la demostración incluye una reserva que pasa a REALIZADA sin intervención.</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Doce contenedores no caben con holgura en los equipos del grupo.</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Alternativa ya definida en la sección 10: una instancia PostgreSQL con cuatro bases aisladas por rol.</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gestión de claves y variables de entorno se vuelve un obstáculo para levantar el proyecto.</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archivo .env.example completo y un README que permita a cualquier integrante levantar todo desde cero. Se prueba con un clon limpio antes de cerrar el primer sprint.</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conocimiento de la infraestructura queda en una sola persona.</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Quien la construya la explica al resto y documenta el arranque, según los acuerdos del Pilar 3.</w:t>
            </w:r>
          </w:p>
        </w:tc>
      </w:tr>
    </w:tbl>
    <w:p>
      <w:pPr>
        <w:pStyle w:val="Heading1"/>
      </w:pPr>
      <w:r>
        <w:rPr>
          <w:rFonts w:ascii="Calibri" w:cs="Calibri" w:eastAsia="Calibri" w:hAnsi="Calibri"/>
        </w:rPr>
        <w:t xml:space="preserve">13. Verificación contra los criterios de aceptación</w:t>
      </w:r>
    </w:p>
    <w:p>
      <w:pPr>
        <w:keepNext w:val="false"/>
        <w:spacing w:after="120" w:before="0" w:line="276"/>
        <w:jc w:val="both"/>
      </w:pPr>
      <w:r>
        <w:rPr>
          <w:rFonts w:ascii="Calibri" w:cs="Calibri" w:eastAsia="Calibri" w:hAnsi="Calibri"/>
          <w:b w:val="false"/>
          <w:bCs w:val="false"/>
          <w:i w:val="false"/>
          <w:iCs w:val="false"/>
          <w:sz w:val="22"/>
          <w:szCs w:val="22"/>
        </w:rPr>
        <w:t xml:space="preserve">Cada criterio del Pilar 1 debe tener un camino claro por esta arquitectura. Si alguno no lo tuviera, faltaría un componente.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00"/>
        <w:gridCol w:w="3260"/>
        <w:gridCol w:w="5300"/>
      </w:tblGrid>
      <w:tr>
        <w:trPr>
          <w:cantSplit/>
          <w:tblHeader/>
        </w:trPr>
        <w:tc>
          <w:tcPr>
            <w:tcW w:type="dxa" w:w="8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N.º</w:t>
            </w:r>
          </w:p>
        </w:tc>
        <w:tc>
          <w:tcPr>
            <w:tcW w:type="dxa" w:w="32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Criterio</w:t>
            </w:r>
          </w:p>
        </w:tc>
        <w:tc>
          <w:tcPr>
            <w:tcW w:type="dxa" w:w="53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Camino por la arquitectura</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CA1</w:t>
            </w:r>
          </w:p>
        </w:tc>
        <w:tc>
          <w:tcPr>
            <w:tcW w:type="dxa" w:w="3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Registro, verificación, inicio y cierre de sesión.</w:t>
            </w:r>
          </w:p>
        </w:tc>
        <w:tc>
          <w:tcPr>
            <w:tcW w:type="dxa" w:w="5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de principio a fin, con el correo de verificación en la bandeja de desarrollo. El cierre de sesión revoca el token de renovación.</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CA2</w:t>
            </w:r>
          </w:p>
        </w:tc>
        <w:tc>
          <w:tcPr>
            <w:tcW w:type="dxa" w:w="32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Declarar una asignatura habilitada y publicar disponibilidad.</w:t>
            </w:r>
          </w:p>
        </w:tc>
        <w:tc>
          <w:tcPr>
            <w:tcW w:type="dxa" w:w="5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con una llamada a Catálogo que valida la asignatura contra la malla y el nivel (RN-01) y otra a Identidad para copiar los datos de presentación.</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CA3</w:t>
            </w:r>
          </w:p>
        </w:tc>
        <w:tc>
          <w:tcPr>
            <w:tcW w:type="dxa" w:w="3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Buscar la asignatura, encontrar al tutor y solicitar.</w:t>
            </w:r>
          </w:p>
        </w:tc>
        <w:tc>
          <w:tcPr>
            <w:tcW w:type="dxa" w:w="5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resuelto íntegramente contra su propia base gracias a las copias de lectura. El aviso al tutor lo envía Identidad a pedido de Tutorías.</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CA4</w:t>
            </w:r>
          </w:p>
        </w:tc>
        <w:tc>
          <w:tcPr>
            <w:tcW w:type="dxa" w:w="32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Confirmar, indicar modalidad y bloquear el horario.</w:t>
            </w:r>
          </w:p>
        </w:tc>
        <w:tc>
          <w:tcPr>
            <w:tcW w:type="dxa" w:w="5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Transición SOLICITADA a CONFIRMADA, bloque a OCUPADO y rechazo de las demás solicitudes en la misma transacción; el aviso al estudiante sale por Identidad.</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CA5</w:t>
            </w:r>
          </w:p>
        </w:tc>
        <w:tc>
          <w:tcPr>
            <w:tcW w:type="dxa" w:w="3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Registrar el pago simulado y reflejar su estado.</w:t>
            </w:r>
          </w:p>
        </w:tc>
        <w:tc>
          <w:tcPr>
            <w:tcW w:type="dxa" w:w="5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 crea el registro, consulta la reserva y avisa el resultado a Tutorías, que lo refleja en el atributo separado.</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CA6</w:t>
            </w:r>
          </w:p>
        </w:tc>
        <w:tc>
          <w:tcPr>
            <w:tcW w:type="dxa" w:w="32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Evaluar e incorporar la calificación a la reputación.</w:t>
            </w:r>
          </w:p>
        </w:tc>
        <w:tc>
          <w:tcPr>
            <w:tcW w:type="dxa" w:w="5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El programador deja la reserva en REALIZADA y la reputación se recalcula al registrar la evaluación.</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CA7</w:t>
            </w:r>
          </w:p>
        </w:tc>
        <w:tc>
          <w:tcPr>
            <w:tcW w:type="dxa" w:w="3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Panel de administración: usuarios, tutorías y evaluaciones.</w:t>
            </w:r>
          </w:p>
        </w:tc>
        <w:tc>
          <w:tcPr>
            <w:tcW w:type="dxa" w:w="5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Pantallas de administración contra los endpoints /admin de Identidad y Tutorías, con autorización por la marca de administrador del token.</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CA8</w:t>
            </w:r>
          </w:p>
        </w:tc>
        <w:tc>
          <w:tcPr>
            <w:tcW w:type="dxa" w:w="32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Todo sobre contenedores y un único punto de entrada.</w:t>
            </w:r>
          </w:p>
        </w:tc>
        <w:tc>
          <w:tcPr>
            <w:tcW w:type="dxa" w:w="53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composición de la sección 10 es exactamente esta condición.</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CA9</w:t>
            </w:r>
          </w:p>
        </w:tc>
        <w:tc>
          <w:tcPr>
            <w:tcW w:type="dxa" w:w="3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Cancelar una reserva confirmada y reembolsar.</w:t>
            </w:r>
          </w:p>
        </w:tc>
        <w:tc>
          <w:tcPr>
            <w:tcW w:type="dxa" w:w="53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libera el bloque y, si el pago estaba en PAGADO, pide el reembolso simulado a Pagos, que devuelve el nuevo estado.</w:t>
            </w:r>
          </w:p>
        </w:tc>
      </w:tr>
    </w:tbl>
    <w:p>
      <w:pPr>
        <w:keepNext w:val="false"/>
        <w:spacing w:after="120" w:before="0" w:line="276"/>
        <w:jc w:val="both"/>
      </w:pPr>
      <w:r>
        <w:rPr>
          <w:rFonts w:ascii="Calibri" w:cs="Calibri" w:eastAsia="Calibri" w:hAnsi="Calibri"/>
          <w:b w:val="false"/>
          <w:bCs w:val="false"/>
          <w:i w:val="false"/>
          <w:iCs w:val="false"/>
          <w:sz w:val="22"/>
          <w:szCs w:val="22"/>
        </w:rPr>
        <w:t xml:space="preserve">Los nueve criterios tienen camino. No aparece ningún servicio adicional necesario: lo que se agregó en esta versión son dos componentes de apoyo, endpoints y reglas, no nuevas fronteras.</w:t>
      </w:r>
    </w:p>
    <w:p>
      <w:pPr>
        <w:pStyle w:val="Heading1"/>
      </w:pPr>
      <w:r>
        <w:rPr>
          <w:rFonts w:ascii="Calibri" w:cs="Calibri" w:eastAsia="Calibri" w:hAnsi="Calibri"/>
        </w:rPr>
        <w:t>14. Qué quedaba abierto y dónde se resolvió</w:t>
      </w:r>
    </w:p>
    <w:p>
      <w:pPr>
        <w:keepNext w:val="false"/>
        <w:spacing w:after="120" w:before="0" w:line="276"/>
        <w:jc w:val="both"/>
      </w:pPr>
      <w:r>
        <w:rPr>
          <w:rFonts w:ascii="Calibri" w:cs="Calibri" w:eastAsia="Calibri" w:hAnsi="Calibri"/>
          <w:b w:val="false"/>
          <w:bCs w:val="false"/>
          <w:i w:val="false"/>
          <w:iCs w:val="false"/>
          <w:sz w:val="22"/>
          <w:szCs w:val="22"/>
        </w:rPr>
        <w:t>Esto es lo que faltaba al cerrar la versión 1.1 de este pilar. Los tres pilares siguientes ya están escritos y el modelo de datos aprobado, así que la columna de la derecha dice dónde quedó resuelto cada punto. No queda nada abierto.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00"/>
        <w:gridCol w:w="7960"/>
      </w:tblGrid>
      <w:tr>
        <w:trPr>
          <w:cantSplit/>
          <w:tblHeader/>
        </w:trPr>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Pilar</w:t>
            </w:r>
          </w:p>
        </w:tc>
        <w:tc>
          <w:tcPr>
            <w:tcW w:type="dxa" w:w="7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queda por resolver</w:t>
            </w:r>
          </w:p>
        </w:tc>
      </w:tr>
      <w:tr>
        <w:trPr>
          <w:cantSplit/>
        </w:trPr>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Pilar 3</w:t>
            </w:r>
          </w:p>
        </w:tc>
        <w:tc>
          <w:tcPr>
            <w:tcW w:type="dxa" w:w="7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reparto por integrante, quién levanta la infraestructura, quién construye la base del frontend y quién es el segundo de cada servicio. Resuelto: Pilar 3, secciones 2, 3 y 9.</w:t>
            </w:r>
          </w:p>
        </w:tc>
      </w:tr>
      <w:tr>
        <w:trPr>
          <w:cantSplit/>
        </w:trPr>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Pilar 4</w:t>
            </w:r>
          </w:p>
        </w:tc>
        <w:tc>
          <w:tcPr>
            <w:tcW w:type="dxa" w:w="7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calendario, el orden de construcción y en qué sprint entra cada servicio. Resuelto: Pilar 4, secciones 1, 3.2 y 5.</w:t>
            </w:r>
          </w:p>
        </w:tc>
      </w:tr>
      <w:tr>
        <w:trPr>
          <w:cantSplit/>
        </w:trPr>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Pilar 5</w:t>
            </w:r>
          </w:p>
        </w:tc>
        <w:tc>
          <w:tcPr>
            <w:tcW w:type="dxa" w:w="7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La estrategia de pruebas que exige el RNF-06, las convenciones de código, la revisión entre pares y la integración continua. Resuelto: Pilar 5, secciones 4 a 11.</w:t>
            </w:r>
          </w:p>
        </w:tc>
      </w:tr>
      <w:tr>
        <w:trPr>
          <w:cantSplit/>
        </w:trPr>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Antes del sprint 1</w:t>
            </w:r>
          </w:p>
        </w:tc>
        <w:tc>
          <w:tcPr>
            <w:tcW w:type="dxa" w:w="7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Revisar el frontend ya construido (hecho: Pilar 3, sección 13), aceptar o rechazar los ajustes al modelo de datos del anexo A (hecho: los trece quedaron aprobados el 14-09-2026 y la sección 6 los recoge) y escribir la especificación OpenAPI de los endpoints del primer sprint, que es HU-03 y corre del 23 al 24 de septiembre. Cubre solo Identidad, porque es el único servicio con endpoints en uso en el sprint 1; Catálogo y Tutorías congelan su primer contrato al abrir el sprint 2, con HU-11.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cfc41ce6c0232f951c36eb402ddcebd9a5044f.png"/><Relationship Id="rId8" Type="http://schemas.openxmlformats.org/officeDocument/2006/relationships/image" Target="media/61627eac6c1498eb217beed2f061eaed2257287a.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 Pilar 2: Diseño y Arquitectura (v1.1)</dc:title>
  <dc:creator>Equipo Plataforma de Tutorías</dc:creator>
  <cp:lastModifiedBy>Un-named</cp:lastModifiedBy>
  <cp:revision>1</cp:revision>
  <dcterms:created xsi:type="dcterms:W3CDTF">2026-09-11T23:20:56.557Z</dcterms:created>
  <dcterms:modified xsi:type="dcterms:W3CDTF">2026-09-11T23:20:56.557Z</dcterms:modified>
</cp:coreProperties>
</file>

<file path=docProps/custom.xml><?xml version="1.0" encoding="utf-8"?>
<Properties xmlns="http://schemas.openxmlformats.org/officeDocument/2006/custom-properties" xmlns:vt="http://schemas.openxmlformats.org/officeDocument/2006/docPropsVTypes"/>
</file>