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2E75B6"/>
          <w:spacing w:val="20"/>
          <w:sz w:val="17"/>
          <w:szCs w:val="17"/>
        </w:rPr>
        <w:t xml:space="preserve">PLATAFORMA DE TUTORÍAS ENTRE ESTUDIANTES  ·  LISTADO DE DOCUMENTOS</w:t>
      </w:r>
    </w:p>
    <w:p>
      <w:pPr>
        <w:spacing w:after="60"/>
      </w:pPr>
      <w:r>
        <w:rPr>
          <w:b/>
          <w:bCs/>
          <w:color w:val="1F4E79"/>
          <w:sz w:val="44"/>
          <w:szCs w:val="44"/>
        </w:rPr>
        <w:t xml:space="preserve">Evidencias Técnicas del Diseño</w:t>
      </w:r>
    </w:p>
    <w:p>
      <w:pPr>
        <w:pBdr>
          <w:bottom w:val="single" w:color="1F4E79" w:sz="8" w:space="6"/>
        </w:pBdr>
        <w:spacing w:after="200"/>
      </w:pPr>
      <w:r>
        <w:rPr>
          <w:color w:val="595959"/>
          <w:sz w:val="23"/>
          <w:szCs w:val="23"/>
        </w:rPr>
        <w:t xml:space="preserve">Arquitectura, despliegue con Docker, modelo de datos, diagramas UML, requisitos no funcionales, pruebas e integración continua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7711"/>
      </w:tblGrid>
      <w:tr>
        <w:trPr>
          <w:cantSplit/>
        </w:trPr>
        <w:tc>
          <w:tcPr>
            <w:tcW w:type="dxa" w:w="1927"/>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7"/>
                <w:szCs w:val="17"/>
              </w:rPr>
              <w:t xml:space="preserve">Ítem del listado</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7"/>
                <w:szCs w:val="17"/>
              </w:rPr>
              <w:t xml:space="preserve">Nota del listado: evidencias técnicas (arquitectura, modelo de datos y otras)</w:t>
            </w:r>
          </w:p>
        </w:tc>
      </w:tr>
      <w:tr>
        <w:trPr>
          <w:cantSplit/>
        </w:trPr>
        <w:tc>
          <w:tcPr>
            <w:tcW w:type="dxa" w:w="1927"/>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7"/>
                <w:szCs w:val="17"/>
              </w:rPr>
              <w:t xml:space="preserve">Proyecto</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7"/>
                <w:szCs w:val="17"/>
              </w:rPr>
              <w:t xml:space="preserve">Plataforma de Tutorías entre Estudiantes · Capstone PTY4614 · sección 004D · Duoc UC, sede San Joaquín</w:t>
            </w:r>
          </w:p>
        </w:tc>
      </w:tr>
      <w:tr>
        <w:trPr>
          <w:cantSplit/>
        </w:trPr>
        <w:tc>
          <w:tcPr>
            <w:tcW w:type="dxa" w:w="1927"/>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7"/>
                <w:szCs w:val="17"/>
              </w:rPr>
              <w:t xml:space="preserve">Equipo</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7"/>
                <w:szCs w:val="17"/>
              </w:rPr>
              <w:t xml:space="preserve">Bryan Bacchi (líder: Product Owner y Scrum Master) · Francisco Tejeda · Damaris Iriarte</w:t>
            </w:r>
          </w:p>
        </w:tc>
      </w:tr>
      <w:tr>
        <w:trPr>
          <w:cantSplit/>
        </w:trPr>
        <w:tc>
          <w:tcPr>
            <w:tcW w:type="dxa" w:w="1927"/>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7"/>
                <w:szCs w:val="17"/>
              </w:rPr>
              <w:t xml:space="preserve">Versión</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7"/>
                <w:szCs w:val="17"/>
              </w:rPr>
              <w:t xml:space="preserve">1.0 · 27-09-2026 · secciones 3 y 6 actualizadas al 01-10-2026</w:t>
            </w:r>
          </w:p>
        </w:tc>
      </w:tr>
      <w:tr>
        <w:trPr>
          <w:cantSplit/>
        </w:trPr>
        <w:tc>
          <w:tcPr>
            <w:tcW w:type="dxa" w:w="1927"/>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7"/>
                <w:szCs w:val="17"/>
              </w:rPr>
              <w:t xml:space="preserve">Estado</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7"/>
                <w:szCs w:val="17"/>
              </w:rPr>
              <w:t xml:space="preserve">Vigente. Los diagramas de casos de uso, de clases, de secuencia y de despliegue son nuevos (27-09) y conviene que el equipo los revise.</w:t>
            </w:r>
          </w:p>
        </w:tc>
      </w:tr>
      <w:tr>
        <w:trPr>
          <w:cantSplit/>
        </w:trPr>
        <w:tc>
          <w:tcPr>
            <w:tcW w:type="dxa" w:w="1927"/>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7"/>
                <w:szCs w:val="17"/>
              </w:rPr>
              <w:t xml:space="preserve">Se basa en</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7"/>
                <w:szCs w:val="17"/>
              </w:rPr>
              <w:t xml:space="preserve">Pilar 2 v1.7 y su anexo A v1.4 · Pilar 1 v1.7 (RNF) · Pilar 5 v1.5 (pruebas e integración continua) · repositorio al 27-09 (docker-compose.yml, README y .github/workflows)</w:t>
            </w:r>
          </w:p>
        </w:tc>
      </w:tr>
    </w:tbl>
    <w:p>
      <w:pPr>
        <w:spacing w:after="160"/>
      </w:pPr>
    </w:p>
    <w:p>
      <w:pPr>
        <w:keepNext/>
        <w:spacing w:after="120" w:before="0" w:line="264" w:lineRule="auto"/>
        <w:jc w:val="left"/>
      </w:pPr>
      <w:r>
        <w:t xml:space="preserve">El listado pide agregar las evidencias técnicas que demuestran el diseño de la solución. El instructivo del Capstone exige además, sea cual sea la metodología, arquitectura, modelo de datos, diagramas UML mínimos (casos de uso, clases, secuencia de la funcionalidad principal y componentes), requisitos no funcionales, Docker y pruebas. Este documento los reúne en un solo lugar y dice dónde está la fuente de cada uno.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4047"/>
        <w:gridCol w:w="2700"/>
      </w:tblGrid>
      <w:tr>
        <w:trPr>
          <w:cantSplit/>
          <w:tblHeader/>
        </w:trPr>
        <w:tc>
          <w:tcPr>
            <w:tcW w:type="dxa" w:w="28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top"/>
          </w:tcPr>
          <w:p>
            <w:pPr>
              <w:keepNext/>
              <w:spacing w:after="0" w:before="0" w:line="252" w:lineRule="auto"/>
              <w:jc w:val="left"/>
            </w:pPr>
            <w:r>
              <w:rPr>
                <w:b/>
                <w:bCs/>
                <w:color w:val="FFFFFF"/>
                <w:sz w:val="16"/>
                <w:szCs w:val="16"/>
              </w:rPr>
              <w:t xml:space="preserve">Evidencia exigida</w:t>
            </w:r>
          </w:p>
        </w:tc>
        <w:tc>
          <w:tcPr>
            <w:tcW w:type="dxa" w:w="404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top"/>
          </w:tcPr>
          <w:p>
            <w:pPr>
              <w:keepNext/>
              <w:spacing w:after="0" w:before="0" w:line="252" w:lineRule="auto"/>
              <w:jc w:val="left"/>
            </w:pPr>
            <w:r>
              <w:rPr>
                <w:b/>
                <w:bCs/>
                <w:color w:val="FFFFFF"/>
                <w:sz w:val="16"/>
                <w:szCs w:val="16"/>
              </w:rPr>
              <w:t xml:space="preserve">Dónde está</w:t>
            </w:r>
          </w:p>
        </w:tc>
        <w:tc>
          <w:tcPr>
            <w:tcW w:type="dxa" w:w="27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top"/>
          </w:tcPr>
          <w:p>
            <w:pPr>
              <w:keepNext/>
              <w:spacing w:after="0" w:before="0" w:line="252" w:lineRule="auto"/>
              <w:jc w:val="left"/>
            </w:pPr>
            <w:r>
              <w:rPr>
                <w:b/>
                <w:bCs/>
                <w:color w:val="FFFFFF"/>
                <w:sz w:val="16"/>
                <w:szCs w:val="16"/>
              </w:rPr>
              <w:t xml:space="preserve">Estado al 27-09</w:t>
            </w:r>
          </w:p>
        </w:tc>
      </w:tr>
      <w:tr>
        <w:trPr>
          <w:cantSplit/>
        </w:trPr>
        <w:tc>
          <w:tcPr>
            <w:tcW w:type="dxa" w:w="2891"/>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6"/>
                <w:szCs w:val="16"/>
              </w:rPr>
              <w:t xml:space="preserve">Arquitectura y componentes</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Sección 1 · Pilar 2 §1 a §3 · README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Vigente</w:t>
            </w:r>
          </w:p>
        </w:tc>
      </w:tr>
      <w:tr>
        <w:trPr>
          <w:cantSplit/>
        </w:trPr>
        <w:tc>
          <w:tcPr>
            <w:tcW w:type="dxa" w:w="2891"/>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6"/>
                <w:szCs w:val="16"/>
              </w:rPr>
              <w:t xml:space="preserve">Comunicación entre servicios</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Sección 1 · Pilar 2 §4, §5.4 y §7</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Vigente; los contratos OpenAPI se escriben al abrir cada sprint (docs/api, pendiente HU-03)</w:t>
            </w:r>
          </w:p>
        </w:tc>
      </w:tr>
      <w:tr>
        <w:trPr>
          <w:cantSplit/>
        </w:trPr>
        <w:tc>
          <w:tcPr>
            <w:tcW w:type="dxa" w:w="2891"/>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6"/>
                <w:szCs w:val="16"/>
              </w:rPr>
              <w:t xml:space="preserve">Docker: Dockerfile, docker-compose, variables y cómo levantar</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Sección 2 · docker-compose.yml, .env.example y README del repositorio</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Vigente para 10 de los 12 contenedores; faltan frontend (HU-06) y programador (HU-37)</w:t>
            </w:r>
          </w:p>
        </w:tc>
      </w:tr>
      <w:tr>
        <w:trPr>
          <w:cantSplit/>
        </w:trPr>
        <w:tc>
          <w:tcPr>
            <w:tcW w:type="dxa" w:w="2891"/>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6"/>
                <w:szCs w:val="16"/>
              </w:rPr>
              <w:t xml:space="preserve">Modelo de datos (ER)</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Sección 3 · anexo A del Pilar 2 · docs/diagramas/01 a 05</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Vigente (aprobado el 14-09)</w:t>
            </w:r>
          </w:p>
        </w:tc>
      </w:tr>
      <w:tr>
        <w:trPr>
          <w:cantSplit/>
        </w:trPr>
        <w:tc>
          <w:tcPr>
            <w:tcW w:type="dxa" w:w="2891"/>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6"/>
                <w:szCs w:val="16"/>
              </w:rPr>
              <w:t xml:space="preserve">UML: casos de uso</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Sección 4.1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Nuevo, a revisar</w:t>
            </w:r>
          </w:p>
        </w:tc>
      </w:tr>
      <w:tr>
        <w:trPr>
          <w:cantSplit/>
        </w:trPr>
        <w:tc>
          <w:tcPr>
            <w:tcW w:type="dxa" w:w="2891"/>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6"/>
                <w:szCs w:val="16"/>
              </w:rPr>
              <w:t xml:space="preserve">UML: clases</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Sección 4.2</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Nuevo, a revisar</w:t>
            </w:r>
          </w:p>
        </w:tc>
      </w:tr>
      <w:tr>
        <w:trPr>
          <w:cantSplit/>
        </w:trPr>
        <w:tc>
          <w:tcPr>
            <w:tcW w:type="dxa" w:w="2891"/>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6"/>
                <w:szCs w:val="16"/>
              </w:rPr>
              <w:t xml:space="preserve">UML: secuencia de la funcionalidad principal</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Sección 4.4 (registro, reserva y pago)</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Nuevo, a revisar</w:t>
            </w:r>
          </w:p>
        </w:tc>
      </w:tr>
      <w:tr>
        <w:trPr>
          <w:cantSplit/>
        </w:trPr>
        <w:tc>
          <w:tcPr>
            <w:tcW w:type="dxa" w:w="2891"/>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6"/>
                <w:szCs w:val="16"/>
              </w:rPr>
              <w:t xml:space="preserve">UML: componentes</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Sección 1 (figura 1) · Pilar 2 figura 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Vigente</w:t>
            </w:r>
          </w:p>
        </w:tc>
      </w:tr>
      <w:tr>
        <w:trPr>
          <w:cantSplit/>
        </w:trPr>
        <w:tc>
          <w:tcPr>
            <w:tcW w:type="dxa" w:w="2891"/>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6"/>
                <w:szCs w:val="16"/>
              </w:rPr>
              <w:t xml:space="preserve">UML: estados de la reserva</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Sección 4.3 · Pilar 2 figura 2</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Vigente</w:t>
            </w:r>
          </w:p>
        </w:tc>
      </w:tr>
      <w:tr>
        <w:trPr>
          <w:cantSplit/>
        </w:trPr>
        <w:tc>
          <w:tcPr>
            <w:tcW w:type="dxa" w:w="2891"/>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6"/>
                <w:szCs w:val="16"/>
              </w:rPr>
              <w:t xml:space="preserve">Requisitos no funcionales</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Sección 5 · Pilar 1 §3.6</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Vigente</w:t>
            </w:r>
          </w:p>
        </w:tc>
      </w:tr>
      <w:tr>
        <w:trPr>
          <w:cantSplit/>
        </w:trPr>
        <w:tc>
          <w:tcPr>
            <w:tcW w:type="dxa" w:w="2891"/>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6"/>
                <w:szCs w:val="16"/>
              </w:rPr>
              <w:t xml:space="preserve">Pruebas e integración continua</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Sección 6 · Pilar 5 §9 y §10 · plan de pruebas en cada Sprint Planning</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Vigente; la evidencia de ejecución se agrega en cada Sprint Review</w:t>
            </w:r>
          </w:p>
        </w:tc>
      </w:tr>
    </w:tbl>
    <w:p>
      <w:pPr>
        <w:keepNext w:val="false"/>
        <w:spacing w:after="140"/>
      </w:pPr>
    </w:p>
    <w:p>
      <w:pPr>
        <w:pStyle w:val="Heading1"/>
        <w:keepNext/>
        <w:pageBreakBefore/>
      </w:pPr>
      <w:r>
        <w:t xml:space="preserve">1. Arquitectura y comunicación entre servicios</w:t>
      </w:r>
    </w:p>
    <w:p>
      <w:pPr>
        <w:keepNext/>
        <w:spacing w:after="60" w:before="60" w:line="240" w:lineRule="auto"/>
        <w:jc w:val="center"/>
      </w:pPr>
      <w:r>
        <w:drawing>
          <wp:inline distT="0" distB="0" distL="0" distR="0">
            <wp:extent cx="6124575" cy="4229100"/>
            <wp:effectExtent t="0" r="0" b="0" l="0"/>
            <wp:docPr id="1" name="arquitectura.png" descr="Figura 1. Arquitectura de alto nivel y componentes (Pilar 2, figura 1)." title="Figura 1. Arquitectura de alto nivel y componentes (Pilar 2, 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4229100"/>
                    </a:xfrm>
                    <a:prstGeom prst="rect">
                      <a:avLst/>
                    </a:prstGeom>
                  </pic:spPr>
                </pic:pic>
              </a:graphicData>
            </a:graphic>
          </wp:inline>
        </w:drawing>
      </w:r>
    </w:p>
    <w:p>
      <w:pPr>
        <w:keepNext w:val="false"/>
        <w:spacing w:after="200" w:before="0" w:line="264" w:lineRule="auto"/>
        <w:jc w:val="center"/>
      </w:pPr>
      <w:r>
        <w:rPr>
          <w:i/>
          <w:iCs/>
          <w:color w:val="595959"/>
          <w:sz w:val="17"/>
          <w:szCs w:val="17"/>
        </w:rPr>
        <w:t xml:space="preserve">Figura 1. Arquitectura de alto nivel y componentes (Pilar 2, figura 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3662"/>
        <w:gridCol w:w="2891"/>
        <w:gridCol w:w="1158"/>
      </w:tblGrid>
      <w:tr>
        <w:trPr>
          <w:cantSplit/>
          <w:tblHeader/>
        </w:trPr>
        <w:tc>
          <w:tcPr>
            <w:tcW w:type="dxa" w:w="19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top"/>
          </w:tcPr>
          <w:p>
            <w:pPr>
              <w:keepNext/>
              <w:spacing w:after="0" w:before="0" w:line="252" w:lineRule="auto"/>
              <w:jc w:val="left"/>
            </w:pPr>
            <w:r>
              <w:rPr>
                <w:b/>
                <w:bCs/>
                <w:color w:val="FFFFFF"/>
                <w:sz w:val="16"/>
                <w:szCs w:val="16"/>
              </w:rPr>
              <w:t xml:space="preserve">Servicio</w:t>
            </w:r>
          </w:p>
        </w:tc>
        <w:tc>
          <w:tcPr>
            <w:tcW w:type="dxa" w:w="36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top"/>
          </w:tcPr>
          <w:p>
            <w:pPr>
              <w:keepNext/>
              <w:spacing w:after="0" w:before="0" w:line="252" w:lineRule="auto"/>
              <w:jc w:val="left"/>
            </w:pPr>
            <w:r>
              <w:rPr>
                <w:b/>
                <w:bCs/>
                <w:color w:val="FFFFFF"/>
                <w:sz w:val="16"/>
                <w:szCs w:val="16"/>
              </w:rPr>
              <w:t xml:space="preserve">Responsabilidad</w:t>
            </w:r>
          </w:p>
        </w:tc>
        <w:tc>
          <w:tcPr>
            <w:tcW w:type="dxa" w:w="28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top"/>
          </w:tcPr>
          <w:p>
            <w:pPr>
              <w:keepNext/>
              <w:spacing w:after="0" w:before="0" w:line="252" w:lineRule="auto"/>
              <w:jc w:val="left"/>
            </w:pPr>
            <w:r>
              <w:rPr>
                <w:b/>
                <w:bCs/>
                <w:color w:val="FFFFFF"/>
                <w:sz w:val="16"/>
                <w:szCs w:val="16"/>
              </w:rPr>
              <w:t xml:space="preserve">Lo que explícitamente no hace</w:t>
            </w:r>
          </w:p>
        </w:tc>
        <w:tc>
          <w:tcPr>
            <w:tcW w:type="dxa" w:w="115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top"/>
          </w:tcPr>
          <w:p>
            <w:pPr>
              <w:keepNext/>
              <w:spacing w:after="0" w:before="0" w:line="252" w:lineRule="auto"/>
              <w:jc w:val="left"/>
            </w:pPr>
            <w:r>
              <w:rPr>
                <w:b/>
                <w:bCs/>
                <w:color w:val="FFFFFF"/>
                <w:sz w:val="16"/>
                <w:szCs w:val="16"/>
              </w:rPr>
              <w:t xml:space="preserve">Base</w:t>
            </w:r>
          </w:p>
        </w:tc>
      </w:tr>
      <w:tr>
        <w:trPr>
          <w:cantSplit/>
        </w:trPr>
        <w:tc>
          <w:tcPr>
            <w:tcW w:type="dxa" w:w="1927"/>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6"/>
                <w:szCs w:val="16"/>
              </w:rPr>
              <w:t xml:space="preserve">Identidad · /api/identity</w:t>
            </w:r>
          </w:p>
        </w:tc>
        <w:tc>
          <w:tcPr>
            <w:tcW w:type="dxa" w:w="366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Registro, verificación del correo, sesión y tokens, datos del usuario, marca de administrador y envío de todos los correos.</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No sabe de asignaturas, reservas ni evaluaciones. Es el único que conoce las direcciones de correo.</w:t>
            </w:r>
          </w:p>
        </w:tc>
        <w:tc>
          <w:tcPr>
            <w:tcW w:type="dxa" w:w="115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identity_db</w:t>
            </w:r>
          </w:p>
        </w:tc>
      </w:tr>
      <w:tr>
        <w:trPr>
          <w:cantSplit/>
        </w:trPr>
        <w:tc>
          <w:tcPr>
            <w:tcW w:type="dxa" w:w="1927"/>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6"/>
                <w:szCs w:val="16"/>
              </w:rPr>
              <w:t xml:space="preserve">Catálogo académico · /api/catalog</w:t>
            </w:r>
          </w:p>
        </w:tc>
        <w:tc>
          <w:tcPr>
            <w:tcW w:type="dxa" w:w="366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Carreras, sedes, mallas, semestres, asignaturas y prerrequisitos; búsqueda e importación.</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No conoce usuarios ni tutores.</w:t>
            </w:r>
          </w:p>
        </w:tc>
        <w:tc>
          <w:tcPr>
            <w:tcW w:type="dxa" w:w="115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catalog_db</w:t>
            </w:r>
          </w:p>
        </w:tc>
      </w:tr>
      <w:tr>
        <w:trPr>
          <w:cantSplit/>
        </w:trPr>
        <w:tc>
          <w:tcPr>
            <w:tcW w:type="dxa" w:w="1927"/>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6"/>
                <w:szCs w:val="16"/>
              </w:rPr>
              <w:t xml:space="preserve">Tutorías · /api/tutoring</w:t>
            </w:r>
          </w:p>
        </w:tc>
        <w:tc>
          <w:tcPr>
            <w:tcW w:type="dxa" w:w="366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Perfiles de tutor, disponibilidad, búsqueda, reservas con su ciclo de vida, cancelaciones, evaluaciones y reputación.</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No autentica (solo verifica el token), no cobra y no envía correos por su cuenta.</w:t>
            </w:r>
          </w:p>
        </w:tc>
        <w:tc>
          <w:tcPr>
            <w:tcW w:type="dxa" w:w="115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tutoring_db</w:t>
            </w:r>
          </w:p>
        </w:tc>
      </w:tr>
      <w:tr>
        <w:trPr>
          <w:cantSplit/>
        </w:trPr>
        <w:tc>
          <w:tcPr>
            <w:tcW w:type="dxa" w:w="1927"/>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6"/>
                <w:szCs w:val="16"/>
              </w:rPr>
              <w:t xml:space="preserve">Pagos · /api/payments</w:t>
            </w:r>
          </w:p>
        </w:tc>
        <w:tc>
          <w:tcPr>
            <w:tcW w:type="dxa" w:w="366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Pago asociado a una reserva, su estado y el reembolso, con resultado simulado.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No conoce usuarios, asignaturas ni disponibilidad.</w:t>
            </w:r>
          </w:p>
        </w:tc>
        <w:tc>
          <w:tcPr>
            <w:tcW w:type="dxa" w:w="115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payment_db</w:t>
            </w:r>
          </w:p>
        </w:tc>
      </w:tr>
    </w:tbl>
    <w:p>
      <w:pPr>
        <w:keepNext w:val="false"/>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7325"/>
      </w:tblGrid>
      <w:tr>
        <w:trPr>
          <w:cantSplit/>
          <w:tblHeader/>
        </w:trPr>
        <w:tc>
          <w:tcPr>
            <w:tcW w:type="dxa" w:w="23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top"/>
          </w:tcPr>
          <w:p>
            <w:pPr>
              <w:keepNext/>
              <w:spacing w:after="0" w:before="0" w:line="252" w:lineRule="auto"/>
              <w:jc w:val="left"/>
            </w:pPr>
            <w:r>
              <w:rPr>
                <w:b/>
                <w:bCs/>
                <w:color w:val="FFFFFF"/>
                <w:sz w:val="16"/>
                <w:szCs w:val="16"/>
              </w:rPr>
              <w:t xml:space="preserve">Llamada interna</w:t>
            </w:r>
          </w:p>
        </w:tc>
        <w:tc>
          <w:tcPr>
            <w:tcW w:type="dxa" w:w="73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top"/>
          </w:tcPr>
          <w:p>
            <w:pPr>
              <w:keepNext/>
              <w:spacing w:after="0" w:before="0" w:line="252" w:lineRule="auto"/>
              <w:jc w:val="left"/>
            </w:pPr>
            <w:r>
              <w:rPr>
                <w:b/>
                <w:bCs/>
                <w:color w:val="FFFFFF"/>
                <w:sz w:val="16"/>
                <w:szCs w:val="16"/>
              </w:rPr>
              <w:t xml:space="preserve">Para qué</w:t>
            </w:r>
          </w:p>
        </w:tc>
      </w:tr>
      <w:tr>
        <w:trPr>
          <w:cantSplit/>
        </w:trPr>
        <w:tc>
          <w:tcPr>
            <w:tcW w:type="dxa" w:w="2313"/>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6"/>
                <w:szCs w:val="16"/>
              </w:rPr>
              <w:t xml:space="preserve">1 · Tutorías → Catálogo</w:t>
            </w:r>
          </w:p>
        </w:tc>
        <w:tc>
          <w:tcPr>
            <w:tcW w:type="dxa" w:w="73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Valida la asignatura contra la malla y el nivel (RN-01) y trae los nombres de asignatura, carrera y sede que Tutorías copia.</w:t>
            </w:r>
          </w:p>
        </w:tc>
      </w:tr>
      <w:tr>
        <w:trPr>
          <w:cantSplit/>
        </w:trPr>
        <w:tc>
          <w:tcPr>
            <w:tcW w:type="dxa" w:w="2313"/>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6"/>
                <w:szCs w:val="16"/>
              </w:rPr>
              <w:t xml:space="preserve">2 · Tutorías → Identidad</w:t>
            </w:r>
          </w:p>
        </w:tc>
        <w:tc>
          <w:tcPr>
            <w:tcW w:type="dxa" w:w="73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Pide los datos del usuario, su estado y su nivel (uno a uno o por lotes en la sincronización) y pide el envío de los avisos por correo.</w:t>
            </w:r>
          </w:p>
        </w:tc>
      </w:tr>
      <w:tr>
        <w:trPr>
          <w:cantSplit/>
        </w:trPr>
        <w:tc>
          <w:tcPr>
            <w:tcW w:type="dxa" w:w="2313"/>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6"/>
                <w:szCs w:val="16"/>
              </w:rPr>
              <w:t xml:space="preserve">3 · Pagos → Tutorías</w:t>
            </w:r>
          </w:p>
        </w:tc>
        <w:tc>
          <w:tcPr>
            <w:tcW w:type="dxa" w:w="73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Consulta la reserva y avisa el resultado del pago.</w:t>
            </w:r>
          </w:p>
        </w:tc>
      </w:tr>
      <w:tr>
        <w:trPr>
          <w:cantSplit/>
        </w:trPr>
        <w:tc>
          <w:tcPr>
            <w:tcW w:type="dxa" w:w="2313"/>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6"/>
                <w:szCs w:val="16"/>
              </w:rPr>
              <w:t xml:space="preserve">4 · Tutorías → Pagos</w:t>
            </w:r>
          </w:p>
        </w:tc>
        <w:tc>
          <w:tcPr>
            <w:tcW w:type="dxa" w:w="73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Pide el reembolso simulado al cancelar una reserva pagada.</w:t>
            </w:r>
          </w:p>
        </w:tc>
      </w:tr>
    </w:tbl>
    <w:p>
      <w:pPr>
        <w:keepNext w:val="false"/>
        <w:spacing w:after="140"/>
      </w:pPr>
    </w:p>
    <w:p>
      <w:pPr>
        <w:keepNext w:val="false"/>
        <w:spacing w:after="160" w:before="0" w:line="264" w:lineRule="auto"/>
        <w:jc w:val="left"/>
      </w:pPr>
      <w:r>
        <w:rPr>
          <w:i/>
          <w:iCs/>
          <w:color w:val="595959"/>
          <w:sz w:val="17"/>
          <w:szCs w:val="17"/>
        </w:rPr>
        <w:t xml:space="preserve">Las rutas /internal no las enruta el gateway: solo existen en la red interna y exigen una clave de servicio. Los tokens de usuario se firman con RS256; solo Identidad tiene la clave privada (AD-06).</w:t>
      </w:r>
    </w:p>
    <w:p>
      <w:pPr>
        <w:pStyle w:val="Heading1"/>
        <w:keepNext/>
      </w:pPr>
      <w:r>
        <w:t xml:space="preserve">2. Despliegue con Docker</w:t>
      </w:r>
    </w:p>
    <w:p>
      <w:pPr>
        <w:keepNext/>
        <w:spacing w:after="60" w:before="60" w:line="240" w:lineRule="auto"/>
        <w:jc w:val="center"/>
      </w:pPr>
      <w:r>
        <w:drawing>
          <wp:inline distT="0" distB="0" distL="0" distR="0">
            <wp:extent cx="6124575" cy="2714625"/>
            <wp:effectExtent t="0" r="0" b="0" l="0"/>
            <wp:docPr id="1" name="despliegue.png" descr="Figura 2. Despliegue con Docker Compose: redes, contenedores y puertos publicados." title="Figura 2. Despliegue con Docker Compose: redes, contenedores y puertos publi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2714625"/>
                    </a:xfrm>
                    <a:prstGeom prst="rect">
                      <a:avLst/>
                    </a:prstGeom>
                  </pic:spPr>
                </pic:pic>
              </a:graphicData>
            </a:graphic>
          </wp:inline>
        </w:drawing>
      </w:r>
    </w:p>
    <w:p>
      <w:pPr>
        <w:keepNext w:val="false"/>
        <w:spacing w:after="200" w:before="0" w:line="264" w:lineRule="auto"/>
        <w:jc w:val="center"/>
      </w:pPr>
      <w:r>
        <w:rPr>
          <w:i/>
          <w:iCs/>
          <w:color w:val="595959"/>
          <w:sz w:val="17"/>
          <w:szCs w:val="17"/>
        </w:rPr>
        <w:t xml:space="preserve">Figura 2. Despliegue con Docker Compose: redes, contenedores y puertos publicados.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7711"/>
      </w:tblGrid>
      <w:tr>
        <w:trPr>
          <w:cantSplit/>
          <w:tblHeader/>
        </w:trPr>
        <w:tc>
          <w:tcPr>
            <w:tcW w:type="dxa" w:w="19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top"/>
          </w:tcPr>
          <w:p>
            <w:pPr>
              <w:keepNext/>
              <w:spacing w:after="0" w:before="0" w:line="252" w:lineRule="auto"/>
              <w:jc w:val="left"/>
            </w:pPr>
            <w:r>
              <w:rPr>
                <w:b/>
                <w:bCs/>
                <w:color w:val="FFFFFF"/>
                <w:sz w:val="17"/>
                <w:szCs w:val="17"/>
              </w:rPr>
              <w:t xml:space="preserve">Aspecto</w:t>
            </w:r>
          </w:p>
        </w:tc>
        <w:tc>
          <w:tcPr>
            <w:tcW w:type="dxa" w:w="771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top"/>
          </w:tcPr>
          <w:p>
            <w:pPr>
              <w:keepNext/>
              <w:spacing w:after="0" w:before="0" w:line="252" w:lineRule="auto"/>
              <w:jc w:val="left"/>
            </w:pPr>
            <w:r>
              <w:rPr>
                <w:b/>
                <w:bCs/>
                <w:color w:val="FFFFFF"/>
                <w:sz w:val="17"/>
                <w:szCs w:val="17"/>
              </w:rPr>
              <w:t xml:space="preserve">Cómo queda</w:t>
            </w:r>
          </w:p>
        </w:tc>
      </w:tr>
      <w:tr>
        <w:trPr>
          <w:cantSplit/>
        </w:trPr>
        <w:tc>
          <w:tcPr>
            <w:tcW w:type="dxa" w:w="1927"/>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7"/>
                <w:szCs w:val="17"/>
              </w:rPr>
              <w:t xml:space="preserve">Comando</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rFonts w:ascii="Consolas" w:cs="Consolas" w:eastAsia="Consolas" w:hAnsi="Consolas"/>
                <w:sz w:val="15"/>
                <w:szCs w:val="15"/>
              </w:rPr>
              <w:t xml:space="preserve">docker compose up -d --build</w:t>
            </w:r>
            <w:r>
              <w:rPr>
                <w:sz w:val="17"/>
                <w:szCs w:val="17"/>
              </w:rPr>
              <w:t xml:space="preserve"> desde la raíz del repositorio, con el .env copiado desde .env.example (README).</w:t>
            </w:r>
          </w:p>
        </w:tc>
      </w:tr>
      <w:tr>
        <w:trPr>
          <w:cantSplit/>
        </w:trPr>
        <w:tc>
          <w:tcPr>
            <w:tcW w:type="dxa" w:w="1927"/>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7"/>
                <w:szCs w:val="17"/>
              </w:rPr>
              <w:t xml:space="preserve">Contenedores</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7"/>
                <w:szCs w:val="17"/>
              </w:rPr>
              <w:t xml:space="preserve">Doce en total: gateway (Nginx), los cuatro servicios Django, sus cuatro bases PostgreSQL 16, Mailpit, el frontend React (HU-06) y el programador (HU-37). Hoy existen los diez primeros.</w:t>
            </w:r>
          </w:p>
        </w:tc>
      </w:tr>
      <w:tr>
        <w:trPr>
          <w:cantSplit/>
        </w:trPr>
        <w:tc>
          <w:tcPr>
            <w:tcW w:type="dxa" w:w="1927"/>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7"/>
                <w:szCs w:val="17"/>
              </w:rPr>
              <w:t xml:space="preserve">Puertos</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7"/>
                <w:szCs w:val="17"/>
              </w:rPr>
              <w:t xml:space="preserve">Solo el gateway publica un puerto (8080). La bandeja de Mailpit publica el 8025 únicamente en 127.0.0.1 y no es parte del sistema evaluado.</w:t>
            </w:r>
          </w:p>
        </w:tc>
      </w:tr>
      <w:tr>
        <w:trPr>
          <w:cantSplit/>
        </w:trPr>
        <w:tc>
          <w:tcPr>
            <w:tcW w:type="dxa" w:w="1927"/>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7"/>
                <w:szCs w:val="17"/>
              </w:rPr>
              <w:t xml:space="preserve">Redes</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7"/>
                <w:szCs w:val="17"/>
              </w:rPr>
              <w:t xml:space="preserve">Una red interna (internal: true) para servicios y bases, y una de borde para lo que se publica. El gateway y Mailpit están en ambas.</w:t>
            </w:r>
          </w:p>
        </w:tc>
      </w:tr>
      <w:tr>
        <w:trPr>
          <w:cantSplit/>
        </w:trPr>
        <w:tc>
          <w:tcPr>
            <w:tcW w:type="dxa" w:w="1927"/>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7"/>
                <w:szCs w:val="17"/>
              </w:rPr>
              <w:t xml:space="preserve">Variables</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7"/>
                <w:szCs w:val="17"/>
              </w:rPr>
              <w:t xml:space="preserve">Un solo .env en la raíz para los cuatro servicios; .env.example versionado y .env excluido del repositorio.</w:t>
            </w:r>
          </w:p>
        </w:tc>
      </w:tr>
      <w:tr>
        <w:trPr>
          <w:cantSplit/>
        </w:trPr>
        <w:tc>
          <w:tcPr>
            <w:tcW w:type="dxa" w:w="1927"/>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7"/>
                <w:szCs w:val="17"/>
              </w:rPr>
              <w:t xml:space="preserve">Migraciones</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7"/>
                <w:szCs w:val="17"/>
              </w:rPr>
              <w:t xml:space="preserve">Cada servicio aplica las suyas al arrancar. Ningún servicio toca las tablas de otro.</w:t>
            </w:r>
          </w:p>
        </w:tc>
      </w:tr>
      <w:tr>
        <w:trPr>
          <w:cantSplit/>
        </w:trPr>
        <w:tc>
          <w:tcPr>
            <w:tcW w:type="dxa" w:w="1927"/>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7"/>
                <w:szCs w:val="17"/>
              </w:rPr>
              <w:t xml:space="preserve">Verificación continua</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7"/>
                <w:szCs w:val="17"/>
              </w:rPr>
              <w:t xml:space="preserve">El trabajo «levantar» de la integración continua levanta el sistema, consulta el estado de los cuatro servicios por el gateway y comprueba que la bandeja recibe el correo de Identidad.</w:t>
            </w:r>
          </w:p>
        </w:tc>
      </w:tr>
    </w:tbl>
    <w:p>
      <w:pPr>
        <w:keepNext w:val="false"/>
        <w:spacing w:after="140"/>
      </w:pPr>
    </w:p>
    <w:p>
      <w:pPr>
        <w:keepNext/>
        <w:spacing w:after="60" w:before="60" w:line="240" w:lineRule="auto"/>
        <w:jc w:val="center"/>
      </w:pPr>
      <w:r>
        <w:drawing>
          <wp:inline distT="0" distB="0" distL="0" distR="0">
            <wp:extent cx="3371850" cy="1790700"/>
            <wp:effectExtent t="0" r="0" b="0" l="0"/>
            <wp:docPr id="1" name="sistema_levantado.png" descr="Figura 3. Evidencia de HU-01: la página de estado del gateway muestra los cuatro servicios y sus bases respondiendo." title="Figura 3. Evidencia de HU-01: la página de estado del gateway muestra los cuatro servicios y sus bases respondie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71850" cy="1790700"/>
                    </a:xfrm>
                    <a:prstGeom prst="rect">
                      <a:avLst/>
                    </a:prstGeom>
                  </pic:spPr>
                </pic:pic>
              </a:graphicData>
            </a:graphic>
          </wp:inline>
        </w:drawing>
      </w:r>
    </w:p>
    <w:p>
      <w:pPr>
        <w:keepNext w:val="false"/>
        <w:spacing w:after="200" w:before="0" w:line="264" w:lineRule="auto"/>
        <w:jc w:val="center"/>
      </w:pPr>
      <w:r>
        <w:rPr>
          <w:i/>
          <w:iCs/>
          <w:color w:val="595959"/>
          <w:sz w:val="17"/>
          <w:szCs w:val="17"/>
        </w:rPr>
        <w:t xml:space="preserve">Figura 3. Evidencia de HU-01: la página de estado del gateway muestra los cuatro servicios y sus bases respondiendo.</w:t>
      </w:r>
    </w:p>
    <w:p>
      <w:pPr>
        <w:sectPr>
          <w:headerReference w:type="default" r:id="rId7"/>
          <w:footerReference w:type="default" r:id="rId8"/>
          <w:pgSz w:w="11906" w:h="16838" w:orient="portrait"/>
          <w:pgMar w:top="1134" w:right="1134" w:bottom="1134" w:left="1134" w:header="560" w:footer="560" w:gutter="0"/>
          <w:pgNumType/>
          <w:docGrid w:linePitch="360"/>
        </w:sectPr>
      </w:pPr>
    </w:p>
    <w:p>
      <w:pPr>
        <w:pStyle w:val="Heading1"/>
        <w:keepNext/>
      </w:pPr>
      <w:r>
        <w:t xml:space="preserve">3. Modelo de datos</w:t>
      </w:r>
    </w:p>
    <w:p>
      <w:pPr>
        <w:keepNext/>
        <w:spacing w:after="120" w:before="0" w:line="264" w:lineRule="auto"/>
        <w:jc w:val="left"/>
      </w:pPr>
      <w:r>
        <w:t xml:space="preserve">Cada servicio tiene su propia base PostgreSQL y ninguna clave foránea cruza de una base a otra (AD-08). El anexo A del Pilar 2 lleva las veinte tablas al nivel de la migración y es la fuente del esquema; los diagramas de cada base están en docs/diagramas del repositorio. El modelo implementado el 01-10 tiene 21 tablas y, como ningún servicio instala django.contrib.auth ni contenttypes, cada base suma solo la tabla django_migrations. La vista global muestra solo las entidades que participan de una frontera: la línea continua es una clave foránea real y la punteada, una referencia lógica que sostienen las llamadas internas.</w:t>
      </w:r>
    </w:p>
    <w:p>
      <w:pPr>
        <w:keepNext/>
        <w:spacing w:after="60" w:before="60" w:line="240" w:lineRule="auto"/>
        <w:jc w:val="center"/>
      </w:pPr>
      <w:r>
        <w:drawing>
          <wp:inline distT="0" distB="0" distL="0" distR="0">
            <wp:extent cx="8503920" cy="3913346"/>
            <wp:effectExtent t="0" r="0" b="0" l="0"/>
            <wp:docPr id="1" name="vista_global.png" descr="Figura 4. Vista global del modelo implementado el 01-10 y de los datos que cruzan fronteras." title="Figura 4. Vista global del modelo implementado el 01-10 y de los datos que cruzan fronte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503920" cy="3913346"/>
                    </a:xfrm>
                    <a:prstGeom prst="rect">
                      <a:avLst/>
                    </a:prstGeom>
                  </pic:spPr>
                </pic:pic>
              </a:graphicData>
            </a:graphic>
          </wp:inline>
        </w:drawing>
      </w:r>
    </w:p>
    <w:p>
      <w:pPr>
        <w:keepNext w:val="false"/>
        <w:spacing w:after="200" w:before="0" w:line="264" w:lineRule="auto"/>
        <w:jc w:val="center"/>
      </w:pPr>
      <w:r>
        <w:rPr>
          <w:i/>
          <w:iCs/>
          <w:color w:val="595959"/>
          <w:sz w:val="17"/>
          <w:szCs w:val="17"/>
        </w:rPr>
        <w:t xml:space="preserve">Figura 4. Vista global del modelo implementado el 01-10 y de los datos que cruzan fronteras.</w:t>
      </w:r>
    </w:p>
    <w:p>
      <w:pPr>
        <w:sectPr>
          <w:headerReference w:type="default" r:id="rId9"/>
          <w:footerReference w:type="default" r:id="rId10"/>
          <w:pgSz w:w="16838" w:h="11906" w:orient="landscape"/>
          <w:pgMar w:top="1134" w:right="1134" w:bottom="1134" w:left="1134" w:header="560" w:footer="560" w:gutter="0"/>
          <w:pgNumType/>
          <w:docGrid w:linePitch="360"/>
        </w:sectPr>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771"/>
        <w:gridCol w:w="7325"/>
      </w:tblGrid>
      <w:tr>
        <w:trPr>
          <w:cantSplit/>
          <w:tblHeader/>
        </w:trPr>
        <w:tc>
          <w:tcPr>
            <w:tcW w:type="dxa" w:w="154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top"/>
          </w:tcPr>
          <w:p>
            <w:pPr>
              <w:keepNext/>
              <w:spacing w:after="0" w:before="0" w:line="252" w:lineRule="auto"/>
              <w:jc w:val="left"/>
            </w:pPr>
            <w:r>
              <w:rPr>
                <w:b/>
                <w:bCs/>
                <w:color w:val="FFFFFF"/>
                <w:sz w:val="17"/>
                <w:szCs w:val="17"/>
              </w:rPr>
              <w:t xml:space="preserve">Base</w:t>
            </w:r>
          </w:p>
        </w:tc>
        <w:tc>
          <w:tcPr>
            <w:tcW w:type="dxa" w:w="77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top"/>
          </w:tcPr>
          <w:p>
            <w:pPr>
              <w:keepNext/>
              <w:spacing w:after="0" w:before="0" w:line="252" w:lineRule="auto"/>
              <w:jc w:val="left"/>
            </w:pPr>
            <w:r>
              <w:rPr>
                <w:b/>
                <w:bCs/>
                <w:color w:val="FFFFFF"/>
                <w:sz w:val="17"/>
                <w:szCs w:val="17"/>
              </w:rPr>
              <w:t xml:space="preserve">Tablas</w:t>
            </w:r>
          </w:p>
        </w:tc>
        <w:tc>
          <w:tcPr>
            <w:tcW w:type="dxa" w:w="73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top"/>
          </w:tcPr>
          <w:p>
            <w:pPr>
              <w:keepNext/>
              <w:spacing w:after="0" w:before="0" w:line="252" w:lineRule="auto"/>
              <w:jc w:val="left"/>
            </w:pPr>
            <w:r>
              <w:rPr>
                <w:b/>
                <w:bCs/>
                <w:color w:val="FFFFFF"/>
                <w:sz w:val="17"/>
                <w:szCs w:val="17"/>
              </w:rPr>
              <w:t xml:space="preserve">Detalle</w:t>
            </w:r>
          </w:p>
        </w:tc>
      </w:tr>
      <w:tr>
        <w:trPr>
          <w:cantSplit/>
        </w:trPr>
        <w:tc>
          <w:tcPr>
            <w:tcW w:type="dxa" w:w="1542"/>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7"/>
                <w:szCs w:val="17"/>
              </w:rPr>
              <w:t xml:space="preserve">identity_db</w:t>
            </w:r>
          </w:p>
        </w:tc>
        <w:tc>
          <w:tcPr>
            <w:tcW w:type="dxa" w:w="7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7"/>
                <w:szCs w:val="17"/>
              </w:rPr>
              <w:t xml:space="preserve">4</w:t>
            </w:r>
          </w:p>
        </w:tc>
        <w:tc>
          <w:tcPr>
            <w:tcW w:type="dxa" w:w="73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7"/>
                <w:szCs w:val="17"/>
              </w:rPr>
              <w:t xml:space="preserve">usuario · token_verificacion · refresh_token · aviso_correo</w:t>
            </w:r>
          </w:p>
        </w:tc>
      </w:tr>
      <w:tr>
        <w:trPr>
          <w:cantSplit/>
        </w:trPr>
        <w:tc>
          <w:tcPr>
            <w:tcW w:type="dxa" w:w="1542"/>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7"/>
                <w:szCs w:val="17"/>
              </w:rPr>
              <w:t xml:space="preserve">catalog_db</w:t>
            </w:r>
          </w:p>
        </w:tc>
        <w:tc>
          <w:tcPr>
            <w:tcW w:type="dxa" w:w="7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7"/>
                <w:szCs w:val="17"/>
              </w:rPr>
              <w:t xml:space="preserve">8</w:t>
            </w:r>
          </w:p>
        </w:tc>
        <w:tc>
          <w:tcPr>
            <w:tcW w:type="dxa" w:w="73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7"/>
                <w:szCs w:val="17"/>
              </w:rPr>
              <w:t xml:space="preserve">carrera · malla · asignatura · malla_asignatura · prerrequisito · sede · importacion_catalogo · importacion_error</w:t>
            </w:r>
          </w:p>
        </w:tc>
      </w:tr>
      <w:tr>
        <w:trPr>
          <w:cantSplit/>
        </w:trPr>
        <w:tc>
          <w:tcPr>
            <w:tcW w:type="dxa" w:w="1542"/>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7"/>
                <w:szCs w:val="17"/>
              </w:rPr>
              <w:t xml:space="preserve">tutoring_db</w:t>
            </w:r>
          </w:p>
        </w:tc>
        <w:tc>
          <w:tcPr>
            <w:tcW w:type="dxa" w:w="7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7"/>
                <w:szCs w:val="17"/>
              </w:rPr>
              <w:t xml:space="preserve">7</w:t>
            </w:r>
          </w:p>
        </w:tc>
        <w:tc>
          <w:tcPr>
            <w:tcW w:type="dxa" w:w="73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7"/>
                <w:szCs w:val="17"/>
              </w:rPr>
              <w:t xml:space="preserve">usuario_ref · asignatura_ref · perfil_tutor · bloque_disponibilidad · reserva · evaluacion · ejecucion_tarea</w:t>
            </w:r>
          </w:p>
        </w:tc>
      </w:tr>
      <w:tr>
        <w:trPr>
          <w:cantSplit/>
        </w:trPr>
        <w:tc>
          <w:tcPr>
            <w:tcW w:type="dxa" w:w="1542"/>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7"/>
                <w:szCs w:val="17"/>
              </w:rPr>
              <w:t xml:space="preserve">payment_db</w:t>
            </w:r>
          </w:p>
        </w:tc>
        <w:tc>
          <w:tcPr>
            <w:tcW w:type="dxa" w:w="771"/>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7"/>
                <w:szCs w:val="17"/>
              </w:rPr>
              <w:t xml:space="preserve">2</w:t>
            </w:r>
          </w:p>
        </w:tc>
        <w:tc>
          <w:tcPr>
            <w:tcW w:type="dxa" w:w="732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7"/>
                <w:szCs w:val="17"/>
              </w:rPr>
              <w:t xml:space="preserve">pago · intento_pago</w:t>
            </w:r>
          </w:p>
        </w:tc>
      </w:tr>
    </w:tbl>
    <w:p>
      <w:pPr>
        <w:keepNext w:val="false"/>
        <w:spacing w:after="140"/>
      </w:pPr>
    </w:p>
    <w:p>
      <w:pPr>
        <w:keepNext w:val="false"/>
        <w:spacing w:after="160" w:before="0" w:line="264" w:lineRule="auto"/>
        <w:jc w:val="left"/>
      </w:pPr>
      <w:r>
        <w:rPr>
          <w:i/>
          <w:iCs/>
          <w:color w:val="595959"/>
          <w:sz w:val="17"/>
          <w:szCs w:val="17"/>
        </w:rPr>
        <w:t xml:space="preserve">Diagramas entidad-relación por base: docs/diagramas/01_identity_db, 02_catalog_db, 03_tutoring_db y 04_payment_db (.mmd y .png); vista global: 05_vista_global.</w:t>
      </w:r>
    </w:p>
    <w:p>
      <w:pPr>
        <w:keepNext w:val="false"/>
        <w:spacing w:after="120" w:before="0" w:line="264" w:lineRule="auto"/>
        <w:jc w:val="left"/>
      </w:pPr>
      <w:r>
        <w:t xml:space="preserve">La revisión de normalización del 30-09 corrigió tres puntos del anexo A. En usuario_ref se quitaron carrera_nombre y sede_nombre, que dependían de carrera_id y sede_id y no de la clave (dependencia transitiva, 3FN). En reserva se quitó tutor_usuario_id, porque el tutor se deduce del bloque (3FN); por eso la regla de que nadie reserve su propio bloque (RN-03) pasó del CHECK ck_reserva_no_auto al disparador trg_reserva_no_auto, en la migración 0003. La columna errores jsonb de importacion_catalogo pasó a la tabla hija importacion_error, con la fila y el mensaje de cada error, porque una lista guardada en una celda no cumple la 1FN.</w:t>
      </w:r>
    </w:p>
    <w:p>
      <w:pPr>
        <w:keepNext w:val="false"/>
        <w:spacing w:after="120" w:before="0" w:line="264" w:lineRule="auto"/>
        <w:jc w:val="left"/>
      </w:pPr>
      <w:r>
        <w:t xml:space="preserve">La revisión también resolvió los puntos de su bloque B4. Los bloques de disponibilidad se borran de forma lógica, con estado ELIMINADO, y el EXCLUDE ignora los eliminados (T-169). La columna estado_pago de reserva queda en NULL al confirmar y pasa a PENDIENTE cuando Pagos crea el pago (T-174). Un bloque solo acepta PATCH si está LIBRE y sin solicitudes pendientes; si no, la API responde 409 (T-208). La fila de usuario_ref nace cuando la persona declara una asignatura, publica un bloque o solicita una tutoría (T-166). También se quitó el CHECK opcional de duración (T-167), la convención de marcas de tiempo se acotó a las filas que se editan (T-161) e importacion_catalogo quedó en la migración inicial (T-158), con SEDES entre los valores de tipo, como pide el criterio 2 de HU-07.</w:t>
      </w:r>
    </w:p>
    <w:p>
      <w:pPr>
        <w:sectPr>
          <w:headerReference w:type="default" r:id="rId11"/>
          <w:footerReference w:type="default" r:id="rId12"/>
          <w:pgSz w:w="11906" w:h="16838" w:orient="portrait"/>
          <w:pgMar w:top="1134" w:right="1134" w:bottom="1134" w:left="1134" w:header="560" w:footer="560" w:gutter="0"/>
          <w:pgNumType/>
          <w:docGrid w:linePitch="360"/>
        </w:sectPr>
      </w:pPr>
    </w:p>
    <w:p>
      <w:pPr>
        <w:keepNext/>
        <w:spacing w:after="60" w:before="60" w:line="240" w:lineRule="auto"/>
        <w:jc w:val="center"/>
      </w:pPr>
      <w:r>
        <w:drawing>
          <wp:inline distT="0" distB="0" distL="0" distR="0">
            <wp:extent cx="8778240" cy="4083828"/>
            <wp:effectExtent t="0" r="0" b="0" l="0"/>
            <wp:docPr id="1001" name="01_identity_db.png" descr="Figura 5. Modelo implementado el 01-10: identity_db (4 tablas)." title="Figura 5. Modelo implementado el 01-10: identity_db (4 tab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8778240" cy="4083828"/>
                    </a:xfrm>
                    <a:prstGeom prst="rect">
                      <a:avLst/>
                    </a:prstGeom>
                  </pic:spPr>
                </pic:pic>
              </a:graphicData>
            </a:graphic>
          </wp:inline>
        </w:drawing>
      </w:r>
    </w:p>
    <w:p>
      <w:pPr>
        <w:keepNext w:val="false"/>
        <w:spacing w:after="200" w:before="0" w:line="264" w:lineRule="auto"/>
        <w:jc w:val="center"/>
      </w:pPr>
      <w:r>
        <w:rPr>
          <w:i/>
          <w:iCs/>
          <w:color w:val="595959"/>
          <w:sz w:val="17"/>
          <w:szCs w:val="17"/>
        </w:rPr>
        <w:t xml:space="preserve">Figura 5. Modelo implementado el 01-10: identity_db (4 tablas).</w:t>
      </w:r>
    </w:p>
    <w:p>
      <w:pPr>
        <w:keepNext/>
        <w:spacing w:after="60" w:before="60" w:line="240" w:lineRule="auto"/>
        <w:jc w:val="center"/>
      </w:pPr>
      <w:r>
        <w:drawing>
          <wp:inline distT="0" distB="0" distL="0" distR="0">
            <wp:extent cx="8580532" cy="5120640"/>
            <wp:effectExtent t="0" r="0" b="0" l="0"/>
            <wp:docPr id="1002" name="02_catalog_db.png" descr="Figura 6. Modelo implementado el 01-10: catalog_db (8 tablas, con importacion_error)." title="Figura 6. Modelo implementado el 01-10: catalog_db (8 tablas, con importacion_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8580532" cy="5120640"/>
                    </a:xfrm>
                    <a:prstGeom prst="rect">
                      <a:avLst/>
                    </a:prstGeom>
                  </pic:spPr>
                </pic:pic>
              </a:graphicData>
            </a:graphic>
          </wp:inline>
        </w:drawing>
      </w:r>
    </w:p>
    <w:p>
      <w:pPr>
        <w:keepNext w:val="false"/>
        <w:spacing w:after="200" w:before="0" w:line="264" w:lineRule="auto"/>
        <w:jc w:val="center"/>
      </w:pPr>
      <w:r>
        <w:rPr>
          <w:i/>
          <w:iCs/>
          <w:color w:val="595959"/>
          <w:sz w:val="17"/>
          <w:szCs w:val="17"/>
        </w:rPr>
        <w:t xml:space="preserve">Figura 6. Modelo implementado el 01-10: catalog_db (8 tablas, con importacion_error).</w:t>
      </w:r>
    </w:p>
    <w:p>
      <w:pPr>
        <w:keepNext/>
        <w:spacing w:after="60" w:before="60" w:line="240" w:lineRule="auto"/>
        <w:jc w:val="center"/>
      </w:pPr>
      <w:r>
        <w:drawing>
          <wp:inline distT="0" distB="0" distL="0" distR="0">
            <wp:extent cx="7298383" cy="5120640"/>
            <wp:effectExtent t="0" r="0" b="0" l="0"/>
            <wp:docPr id="1003" name="03_tutoring_db.png" descr="Figura 7. Modelo implementado el 01-10: tutoring_db (7 tablas)." title="Figura 7. Modelo implementado el 01-10: tutoring_db (7 tab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7298383" cy="5120640"/>
                    </a:xfrm>
                    <a:prstGeom prst="rect">
                      <a:avLst/>
                    </a:prstGeom>
                  </pic:spPr>
                </pic:pic>
              </a:graphicData>
            </a:graphic>
          </wp:inline>
        </w:drawing>
      </w:r>
    </w:p>
    <w:p>
      <w:pPr>
        <w:keepNext w:val="false"/>
        <w:spacing w:after="200" w:before="0" w:line="264" w:lineRule="auto"/>
        <w:jc w:val="center"/>
      </w:pPr>
      <w:r>
        <w:rPr>
          <w:i/>
          <w:iCs/>
          <w:color w:val="595959"/>
          <w:sz w:val="17"/>
          <w:szCs w:val="17"/>
        </w:rPr>
        <w:t xml:space="preserve">Figura 7. Modelo implementado el 01-10: tutoring_db (7 tablas).</w:t>
      </w:r>
    </w:p>
    <w:p>
      <w:pPr>
        <w:keepNext/>
        <w:spacing w:after="60" w:before="60" w:line="240" w:lineRule="auto"/>
        <w:jc w:val="center"/>
      </w:pPr>
      <w:r>
        <w:drawing>
          <wp:inline distT="0" distB="0" distL="0" distR="0">
            <wp:extent cx="5282284" cy="5120640"/>
            <wp:effectExtent t="0" r="0" b="0" l="0"/>
            <wp:docPr id="1004" name="04_payment_db.png" descr="Figura 8. Modelo implementado el 01-10: payment_db (2 tablas)." title="Figura 8. Modelo implementado el 01-10: payment_db (2 tab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282284" cy="5120640"/>
                    </a:xfrm>
                    <a:prstGeom prst="rect">
                      <a:avLst/>
                    </a:prstGeom>
                  </pic:spPr>
                </pic:pic>
              </a:graphicData>
            </a:graphic>
          </wp:inline>
        </w:drawing>
      </w:r>
    </w:p>
    <w:p>
      <w:pPr>
        <w:keepNext w:val="false"/>
        <w:spacing w:after="200" w:before="0" w:line="264" w:lineRule="auto"/>
        <w:jc w:val="center"/>
      </w:pPr>
      <w:r>
        <w:rPr>
          <w:i/>
          <w:iCs/>
          <w:color w:val="595959"/>
          <w:sz w:val="17"/>
          <w:szCs w:val="17"/>
        </w:rPr>
        <w:t xml:space="preserve">Figura 8. Modelo implementado el 01-10: payment_db (2 tablas).</w:t>
      </w:r>
    </w:p>
    <w:p>
      <w:pPr>
        <w:sectPr>
          <w:headerReference w:type="default" r:id="rId9"/>
          <w:footerReference w:type="default" r:id="rId10"/>
          <w:pgSz w:w="16838" w:h="11906" w:orient="landscape"/>
          <w:pgMar w:top="1134" w:right="1134" w:bottom="1134" w:left="1134" w:header="560" w:footer="560" w:gutter="0"/>
          <w:pgNumType/>
          <w:docGrid w:linePitch="360"/>
        </w:sectPr>
      </w:pPr>
    </w:p>
    <w:p>
      <w:pPr>
        <w:pStyle w:val="Heading1"/>
        <w:keepNext/>
      </w:pPr>
      <w:r>
        <w:t xml:space="preserve">4. Diagramas UML</w:t>
      </w:r>
    </w:p>
    <w:p>
      <w:pPr>
        <w:pStyle w:val="Heading2"/>
        <w:keepNext/>
      </w:pPr>
      <w:r>
        <w:t xml:space="preserve">4.1 Casos de uso</w:t>
      </w:r>
    </w:p>
    <w:p>
      <w:pPr>
        <w:keepNext/>
        <w:spacing w:after="60" w:before="60" w:line="240" w:lineRule="auto"/>
        <w:jc w:val="center"/>
      </w:pPr>
      <w:r>
        <w:drawing>
          <wp:inline distT="0" distB="0" distL="0" distR="0">
            <wp:extent cx="6124575" cy="4648200"/>
            <wp:effectExtent t="0" r="0" b="0" l="0"/>
            <wp:docPr id="1" name="casos_de_uso.png" descr="Figura 9. Casos de uso de la plataforma." title="Figura 9. Casos de uso de la plataf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4648200"/>
                    </a:xfrm>
                    <a:prstGeom prst="rect">
                      <a:avLst/>
                    </a:prstGeom>
                  </pic:spPr>
                </pic:pic>
              </a:graphicData>
            </a:graphic>
          </wp:inline>
        </w:drawing>
      </w:r>
    </w:p>
    <w:p>
      <w:pPr>
        <w:keepNext w:val="false"/>
        <w:spacing w:after="200" w:before="0" w:line="264" w:lineRule="auto"/>
        <w:jc w:val="center"/>
      </w:pPr>
      <w:r>
        <w:rPr>
          <w:i/>
          <w:iCs/>
          <w:color w:val="595959"/>
          <w:sz w:val="17"/>
          <w:szCs w:val="17"/>
        </w:rPr>
        <w:t xml:space="preserve">Figura 9. Casos de uso de la plataforma.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1734"/>
        <w:gridCol w:w="3085"/>
      </w:tblGrid>
      <w:tr>
        <w:trPr>
          <w:cantSplit/>
          <w:tblHeader/>
        </w:trPr>
        <w:tc>
          <w:tcPr>
            <w:tcW w:type="dxa" w:w="481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top"/>
          </w:tcPr>
          <w:p>
            <w:pPr>
              <w:keepNext/>
              <w:spacing w:after="0" w:before="0" w:line="252" w:lineRule="auto"/>
              <w:jc w:val="left"/>
            </w:pPr>
            <w:r>
              <w:rPr>
                <w:b/>
                <w:bCs/>
                <w:color w:val="FFFFFF"/>
                <w:sz w:val="16"/>
                <w:szCs w:val="16"/>
              </w:rPr>
              <w:t xml:space="preserve">Casos de uso</w:t>
            </w:r>
          </w:p>
        </w:tc>
        <w:tc>
          <w:tcPr>
            <w:tcW w:type="dxa" w:w="17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top"/>
          </w:tcPr>
          <w:p>
            <w:pPr>
              <w:keepNext/>
              <w:spacing w:after="0" w:before="0" w:line="252" w:lineRule="auto"/>
              <w:jc w:val="left"/>
            </w:pPr>
            <w:r>
              <w:rPr>
                <w:b/>
                <w:bCs/>
                <w:color w:val="FFFFFF"/>
                <w:sz w:val="16"/>
                <w:szCs w:val="16"/>
              </w:rPr>
              <w:t xml:space="preserve">Requisitos</w:t>
            </w:r>
          </w:p>
        </w:tc>
        <w:tc>
          <w:tcPr>
            <w:tcW w:type="dxa" w:w="30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top"/>
          </w:tcPr>
          <w:p>
            <w:pPr>
              <w:keepNext/>
              <w:spacing w:after="0" w:before="0" w:line="252" w:lineRule="auto"/>
              <w:jc w:val="left"/>
            </w:pPr>
            <w:r>
              <w:rPr>
                <w:b/>
                <w:bCs/>
                <w:color w:val="FFFFFF"/>
                <w:sz w:val="16"/>
                <w:szCs w:val="16"/>
              </w:rPr>
              <w:t xml:space="preserve">Historias</w:t>
            </w:r>
          </w:p>
        </w:tc>
      </w:tr>
      <w:tr>
        <w:trPr>
          <w:cantSplit/>
        </w:trPr>
        <w:tc>
          <w:tcPr>
            <w:tcW w:type="dxa" w:w="4819"/>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sz w:val="16"/>
                <w:szCs w:val="16"/>
              </w:rPr>
              <w:t xml:space="preserve">CU-06 Registrarse · CU-07 Iniciar y cerrar sesión</w:t>
            </w:r>
          </w:p>
        </w:tc>
        <w:tc>
          <w:tcPr>
            <w:tcW w:type="dxa" w:w="173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RF-01</w:t>
            </w:r>
          </w:p>
        </w:tc>
        <w:tc>
          <w:tcPr>
            <w:tcW w:type="dxa" w:w="308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HU-04 · HU-05 · HU-09</w:t>
            </w:r>
          </w:p>
        </w:tc>
      </w:tr>
      <w:tr>
        <w:trPr>
          <w:cantSplit/>
        </w:trPr>
        <w:tc>
          <w:tcPr>
            <w:tcW w:type="dxa" w:w="4819"/>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sz w:val="16"/>
                <w:szCs w:val="16"/>
              </w:rPr>
              <w:t xml:space="preserve">CU-08 Completar el perfil</w:t>
            </w:r>
          </w:p>
        </w:tc>
        <w:tc>
          <w:tcPr>
            <w:tcW w:type="dxa" w:w="173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RF-02</w:t>
            </w:r>
          </w:p>
        </w:tc>
        <w:tc>
          <w:tcPr>
            <w:tcW w:type="dxa" w:w="308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HU-10 · HU-12</w:t>
            </w:r>
          </w:p>
        </w:tc>
      </w:tr>
      <w:tr>
        <w:trPr>
          <w:cantSplit/>
        </w:trPr>
        <w:tc>
          <w:tcPr>
            <w:tcW w:type="dxa" w:w="4819"/>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sz w:val="16"/>
                <w:szCs w:val="16"/>
              </w:rPr>
              <w:t xml:space="preserve">CU-11 Declarar asignaturas · CU-12 Publicar disponibilidad</w:t>
            </w:r>
          </w:p>
        </w:tc>
        <w:tc>
          <w:tcPr>
            <w:tcW w:type="dxa" w:w="173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RF-03 · RF-05</w:t>
            </w:r>
          </w:p>
        </w:tc>
        <w:tc>
          <w:tcPr>
            <w:tcW w:type="dxa" w:w="308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HU-14 · HU-15</w:t>
            </w:r>
          </w:p>
        </w:tc>
      </w:tr>
      <w:tr>
        <w:trPr>
          <w:cantSplit/>
        </w:trPr>
        <w:tc>
          <w:tcPr>
            <w:tcW w:type="dxa" w:w="4819"/>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sz w:val="16"/>
                <w:szCs w:val="16"/>
              </w:rPr>
              <w:t xml:space="preserve">CU-01 Buscar tutores</w:t>
            </w:r>
          </w:p>
        </w:tc>
        <w:tc>
          <w:tcPr>
            <w:tcW w:type="dxa" w:w="173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RF-06</w:t>
            </w:r>
          </w:p>
        </w:tc>
        <w:tc>
          <w:tcPr>
            <w:tcW w:type="dxa" w:w="308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HU-18 · HU-20</w:t>
            </w:r>
          </w:p>
        </w:tc>
      </w:tr>
      <w:tr>
        <w:trPr>
          <w:cantSplit/>
        </w:trPr>
        <w:tc>
          <w:tcPr>
            <w:tcW w:type="dxa" w:w="4819"/>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sz w:val="16"/>
                <w:szCs w:val="16"/>
              </w:rPr>
              <w:t xml:space="preserve">CU-02 Solicitar · CU-13 Confirmar o rechazar · CU-18 Avisos</w:t>
            </w:r>
          </w:p>
        </w:tc>
        <w:tc>
          <w:tcPr>
            <w:tcW w:type="dxa" w:w="173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RF-07 · RF-09</w:t>
            </w:r>
          </w:p>
        </w:tc>
        <w:tc>
          <w:tcPr>
            <w:tcW w:type="dxa" w:w="308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HU-21 · HU-22 · HU-16</w:t>
            </w:r>
          </w:p>
        </w:tc>
      </w:tr>
      <w:tr>
        <w:trPr>
          <w:cantSplit/>
        </w:trPr>
        <w:tc>
          <w:tcPr>
            <w:tcW w:type="dxa" w:w="4819"/>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sz w:val="16"/>
                <w:szCs w:val="16"/>
              </w:rPr>
              <w:t xml:space="preserve">CU-03 Retirar · CU-10 Cancelar · CU-20 Expirar</w:t>
            </w:r>
          </w:p>
        </w:tc>
        <w:tc>
          <w:tcPr>
            <w:tcW w:type="dxa" w:w="173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RF-08</w:t>
            </w:r>
          </w:p>
        </w:tc>
        <w:tc>
          <w:tcPr>
            <w:tcW w:type="dxa" w:w="308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HU-28 · HU-29</w:t>
            </w:r>
          </w:p>
        </w:tc>
      </w:tr>
      <w:tr>
        <w:trPr>
          <w:cantSplit/>
        </w:trPr>
        <w:tc>
          <w:tcPr>
            <w:tcW w:type="dxa" w:w="4819"/>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sz w:val="16"/>
                <w:szCs w:val="16"/>
              </w:rPr>
              <w:t xml:space="preserve">CU-04 Pagar la reserva</w:t>
            </w:r>
          </w:p>
        </w:tc>
        <w:tc>
          <w:tcPr>
            <w:tcW w:type="dxa" w:w="173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RF-12</w:t>
            </w:r>
          </w:p>
        </w:tc>
        <w:tc>
          <w:tcPr>
            <w:tcW w:type="dxa" w:w="308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HU-23 · HU-24</w:t>
            </w:r>
          </w:p>
        </w:tc>
      </w:tr>
      <w:tr>
        <w:trPr>
          <w:cantSplit/>
        </w:trPr>
        <w:tc>
          <w:tcPr>
            <w:tcW w:type="dxa" w:w="4819"/>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sz w:val="16"/>
                <w:szCs w:val="16"/>
              </w:rPr>
              <w:t xml:space="preserve">CU-05 Evaluar · CU-09 Ver el historial · CU-19 Cerrar reservas</w:t>
            </w:r>
          </w:p>
        </w:tc>
        <w:tc>
          <w:tcPr>
            <w:tcW w:type="dxa" w:w="173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RF-10 · RF-11</w:t>
            </w:r>
          </w:p>
        </w:tc>
        <w:tc>
          <w:tcPr>
            <w:tcW w:type="dxa" w:w="308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HU-25 · HU-26 · HU-29</w:t>
            </w:r>
          </w:p>
        </w:tc>
      </w:tr>
      <w:tr>
        <w:trPr>
          <w:cantSplit/>
        </w:trPr>
        <w:tc>
          <w:tcPr>
            <w:tcW w:type="dxa" w:w="4819"/>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sz w:val="16"/>
                <w:szCs w:val="16"/>
              </w:rPr>
              <w:t xml:space="preserve">CU-14 a CU-17 Administración</w:t>
            </w:r>
          </w:p>
        </w:tc>
        <w:tc>
          <w:tcPr>
            <w:tcW w:type="dxa" w:w="173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RF-13 · RF-04</w:t>
            </w:r>
          </w:p>
        </w:tc>
        <w:tc>
          <w:tcPr>
            <w:tcW w:type="dxa" w:w="308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HU-31 · HU-33 · HU-07 · HU-13</w:t>
            </w:r>
          </w:p>
        </w:tc>
      </w:tr>
      <w:tr>
        <w:trPr>
          <w:cantSplit/>
        </w:trPr>
        <w:tc>
          <w:tcPr>
            <w:tcW w:type="dxa" w:w="4819"/>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sz w:val="16"/>
                <w:szCs w:val="16"/>
              </w:rPr>
              <w:t xml:space="preserve">CU-21 Sincronizar copias de lectura</w:t>
            </w:r>
          </w:p>
        </w:tc>
        <w:tc>
          <w:tcPr>
            <w:tcW w:type="dxa" w:w="173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RN-01 · RN-08</w:t>
            </w:r>
          </w:p>
        </w:tc>
        <w:tc>
          <w:tcPr>
            <w:tcW w:type="dxa" w:w="3085"/>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HU-19</w:t>
            </w:r>
          </w:p>
        </w:tc>
      </w:tr>
    </w:tbl>
    <w:p>
      <w:pPr>
        <w:keepNext w:val="false"/>
        <w:spacing w:after="140"/>
      </w:pPr>
    </w:p>
    <w:p>
      <w:pPr>
        <w:pStyle w:val="Heading2"/>
        <w:keepNext/>
      </w:pPr>
      <w:r>
        <w:t xml:space="preserve">4.2 Clases del dominio de Tutorías</w:t>
      </w:r>
    </w:p>
    <w:p>
      <w:pPr>
        <w:keepNext/>
        <w:spacing w:after="120" w:before="0" w:line="264" w:lineRule="auto"/>
        <w:jc w:val="left"/>
      </w:pPr>
      <w:r>
        <w:t xml:space="preserve">Con Django, las clases del dominio son los modelos de cada servicio. El diagrama muestra el de Tutorías, que concentra las reglas de negocio. Los atributos salen del anexo A; las operaciones de Reserva corresponden a las transiciones de su sección 9, y sus nombres son una propuesta.</w:t>
      </w:r>
    </w:p>
    <w:p>
      <w:pPr>
        <w:keepNext/>
        <w:spacing w:after="60" w:before="60" w:line="240" w:lineRule="auto"/>
        <w:jc w:val="center"/>
      </w:pPr>
      <w:r>
        <w:drawing>
          <wp:inline distT="0" distB="0" distL="0" distR="0">
            <wp:extent cx="6124575" cy="3857625"/>
            <wp:effectExtent t="0" r="0" b="0" l="0"/>
            <wp:docPr id="1" name="clases_tutorias.png" descr="Figura 10. Diagrama de clases del servicio de Tutorías." title="Figura 10. Diagrama de clases del servicio de Tutorí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857625"/>
                    </a:xfrm>
                    <a:prstGeom prst="rect">
                      <a:avLst/>
                    </a:prstGeom>
                  </pic:spPr>
                </pic:pic>
              </a:graphicData>
            </a:graphic>
          </wp:inline>
        </w:drawing>
      </w:r>
    </w:p>
    <w:p>
      <w:pPr>
        <w:keepNext w:val="false"/>
        <w:spacing w:after="200" w:before="0" w:line="264" w:lineRule="auto"/>
        <w:jc w:val="center"/>
      </w:pPr>
      <w:r>
        <w:rPr>
          <w:i/>
          <w:iCs/>
          <w:color w:val="595959"/>
          <w:sz w:val="17"/>
          <w:szCs w:val="17"/>
        </w:rPr>
        <w:t xml:space="preserve">Figura 10. Diagrama de clases del servicio de Tutorías.</w:t>
      </w:r>
    </w:p>
    <w:p>
      <w:pPr>
        <w:pStyle w:val="Heading2"/>
        <w:keepNext/>
      </w:pPr>
      <w:r>
        <w:t xml:space="preserve">4.3 Estados de la reserva</w:t>
      </w:r>
    </w:p>
    <w:p>
      <w:pPr>
        <w:keepNext/>
        <w:spacing w:after="60" w:before="60" w:line="240" w:lineRule="auto"/>
        <w:jc w:val="center"/>
      </w:pPr>
      <w:r>
        <w:drawing>
          <wp:inline distT="0" distB="0" distL="0" distR="0">
            <wp:extent cx="6124575" cy="3019425"/>
            <wp:effectExtent t="0" r="0" b="0" l="0"/>
            <wp:docPr id="1" name="estados_reserva.png" descr="Figura 11. Ciclo de vida de una reserva (Pilar 2, figura 2). El estado del pago es un atributo aparte." title="Figura 11. Ciclo de vida de una reserva (Pilar 2, figura 2). El estado del pago es un atributo apa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24575" cy="3019425"/>
                    </a:xfrm>
                    <a:prstGeom prst="rect">
                      <a:avLst/>
                    </a:prstGeom>
                  </pic:spPr>
                </pic:pic>
              </a:graphicData>
            </a:graphic>
          </wp:inline>
        </w:drawing>
      </w:r>
    </w:p>
    <w:p>
      <w:pPr>
        <w:keepNext w:val="false"/>
        <w:spacing w:after="200" w:before="0" w:line="264" w:lineRule="auto"/>
        <w:jc w:val="center"/>
      </w:pPr>
      <w:r>
        <w:rPr>
          <w:i/>
          <w:iCs/>
          <w:color w:val="595959"/>
          <w:sz w:val="17"/>
          <w:szCs w:val="17"/>
        </w:rPr>
        <w:t xml:space="preserve">Figura 11. Ciclo de vida de una reserva (Pilar 2, figura 2). El estado del pago es un atributo aparte.</w:t>
      </w:r>
    </w:p>
    <w:p>
      <w:pPr>
        <w:sectPr>
          <w:headerReference w:type="default" r:id="rId11"/>
          <w:footerReference w:type="default" r:id="rId12"/>
          <w:pgSz w:w="11906" w:h="16838" w:orient="portrait"/>
          <w:pgMar w:top="1134" w:right="1134" w:bottom="1134" w:left="1134" w:header="560" w:footer="560" w:gutter="0"/>
          <w:pgNumType/>
          <w:docGrid w:linePitch="360"/>
        </w:sectPr>
      </w:pPr>
    </w:p>
    <w:p>
      <w:pPr>
        <w:pStyle w:val="Heading2"/>
        <w:keepNext/>
      </w:pPr>
      <w:r>
        <w:t xml:space="preserve">4.4 Secuencia de la funcionalidad principal</w:t>
      </w:r>
    </w:p>
    <w:p>
      <w:pPr>
        <w:keepNext/>
        <w:spacing w:after="120" w:before="0" w:line="264" w:lineRule="auto"/>
        <w:jc w:val="left"/>
      </w:pPr>
      <w:r>
        <w:t xml:space="preserve">Tres secuencias cubren el recorrido principal: crear la cuenta y entrar (CA1), solicitar y confirmar una tutoría (CA3 y CA4), y pagar y reembolsar (CA5 y CA9). Muestran también las llamadas internas y la transacción que evita las dobles reservas.</w:t>
      </w:r>
    </w:p>
    <w:p>
      <w:pPr>
        <w:keepNext/>
        <w:spacing w:after="60" w:before="60" w:line="240" w:lineRule="auto"/>
        <w:jc w:val="center"/>
      </w:pPr>
      <w:r>
        <w:drawing>
          <wp:inline distT="0" distB="0" distL="0" distR="0">
            <wp:extent cx="6629400" cy="4667250"/>
            <wp:effectExtent t="0" r="0" b="0" l="0"/>
            <wp:docPr id="1" name="seq_registro.png" descr="Figura 12. Registro, verificación del correo e inicio de sesión." title="Figura 12. Registro, verificación del correo e inicio de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629400" cy="4667250"/>
                    </a:xfrm>
                    <a:prstGeom prst="rect">
                      <a:avLst/>
                    </a:prstGeom>
                  </pic:spPr>
                </pic:pic>
              </a:graphicData>
            </a:graphic>
          </wp:inline>
        </w:drawing>
      </w:r>
    </w:p>
    <w:p>
      <w:pPr>
        <w:keepNext w:val="false"/>
        <w:spacing w:after="200" w:before="0" w:line="264" w:lineRule="auto"/>
        <w:jc w:val="center"/>
      </w:pPr>
      <w:r>
        <w:rPr>
          <w:i/>
          <w:iCs/>
          <w:color w:val="595959"/>
          <w:sz w:val="17"/>
          <w:szCs w:val="17"/>
        </w:rPr>
        <w:t xml:space="preserve">Figura 12. Registro, verificación del correo e inicio de sesión.</w:t>
      </w:r>
    </w:p>
    <w:p>
      <w:pPr>
        <w:keepNext/>
        <w:pageBreakBefore/>
        <w:spacing w:after="60" w:before="60" w:line="240" w:lineRule="auto"/>
        <w:jc w:val="center"/>
      </w:pPr>
      <w:r>
        <w:drawing>
          <wp:inline distT="0" distB="0" distL="0" distR="0">
            <wp:extent cx="8839200" cy="5391150"/>
            <wp:effectExtent t="0" r="0" b="0" l="0"/>
            <wp:docPr id="1" name="seq_reserva.png" descr="Figura 13. Solicitud y confirmación de una tutoría." title="Figura 13. Solicitud y confirmación de una tuto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8839200" cy="5391150"/>
                    </a:xfrm>
                    <a:prstGeom prst="rect">
                      <a:avLst/>
                    </a:prstGeom>
                  </pic:spPr>
                </pic:pic>
              </a:graphicData>
            </a:graphic>
          </wp:inline>
        </w:drawing>
      </w:r>
    </w:p>
    <w:p>
      <w:pPr>
        <w:keepNext w:val="false"/>
        <w:spacing w:after="200" w:before="0" w:line="264" w:lineRule="auto"/>
        <w:jc w:val="center"/>
      </w:pPr>
      <w:r>
        <w:rPr>
          <w:i/>
          <w:iCs/>
          <w:color w:val="595959"/>
          <w:sz w:val="17"/>
          <w:szCs w:val="17"/>
        </w:rPr>
        <w:t xml:space="preserve">Figura 13. Solicitud y confirmación de una tutoría.</w:t>
      </w:r>
    </w:p>
    <w:p>
      <w:pPr>
        <w:keepNext/>
        <w:pageBreakBefore/>
        <w:spacing w:after="60" w:before="60" w:line="240" w:lineRule="auto"/>
        <w:jc w:val="center"/>
      </w:pPr>
      <w:r>
        <w:drawing>
          <wp:inline distT="0" distB="0" distL="0" distR="0">
            <wp:extent cx="7572375" cy="5391150"/>
            <wp:effectExtent t="0" r="0" b="0" l="0"/>
            <wp:docPr id="1" name="seq_pago.png" descr="Figura 14. Pago simulado y reembolso al cancelar." title="Figura 14. Pago simulado y reembolso al cance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7572375" cy="5391150"/>
                    </a:xfrm>
                    <a:prstGeom prst="rect">
                      <a:avLst/>
                    </a:prstGeom>
                  </pic:spPr>
                </pic:pic>
              </a:graphicData>
            </a:graphic>
          </wp:inline>
        </w:drawing>
      </w:r>
    </w:p>
    <w:p>
      <w:pPr>
        <w:keepNext w:val="false"/>
        <w:spacing w:after="200" w:before="0" w:line="264" w:lineRule="auto"/>
        <w:jc w:val="center"/>
      </w:pPr>
      <w:r>
        <w:rPr>
          <w:i/>
          <w:iCs/>
          <w:color w:val="595959"/>
          <w:sz w:val="17"/>
          <w:szCs w:val="17"/>
        </w:rPr>
        <w:t xml:space="preserve">Figura 14. Pago simulado y reembolso al cancelar.</w:t>
      </w:r>
    </w:p>
    <w:p>
      <w:pPr>
        <w:sectPr>
          <w:headerReference w:type="default" r:id="rId13"/>
          <w:footerReference w:type="default" r:id="rId14"/>
          <w:pgSz w:w="16838" w:h="11906" w:orient="landscape"/>
          <w:pgMar w:top="1134" w:right="1134" w:bottom="1134" w:left="1134" w:header="560" w:footer="560" w:gutter="0"/>
          <w:pgNumType/>
          <w:docGrid w:linePitch="360"/>
        </w:sectPr>
      </w:pPr>
    </w:p>
    <w:p>
      <w:pPr>
        <w:pStyle w:val="Heading1"/>
        <w:keepNext/>
      </w:pPr>
      <w:r>
        <w:t xml:space="preserve">5. Requisitos no funcionales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7"/>
        <w:gridCol w:w="1252"/>
        <w:gridCol w:w="4047"/>
        <w:gridCol w:w="3472"/>
      </w:tblGrid>
      <w:tr>
        <w:trPr>
          <w:cantSplit/>
          <w:tblHeader/>
        </w:trPr>
        <w:tc>
          <w:tcPr>
            <w:tcW w:type="dxa" w:w="8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top"/>
          </w:tcPr>
          <w:p>
            <w:pPr>
              <w:keepNext/>
              <w:spacing w:after="0" w:before="0" w:line="252" w:lineRule="auto"/>
              <w:jc w:val="left"/>
            </w:pPr>
            <w:r>
              <w:rPr>
                <w:b/>
                <w:bCs/>
                <w:color w:val="FFFFFF"/>
                <w:sz w:val="16"/>
                <w:szCs w:val="16"/>
              </w:rPr>
              <w:t xml:space="preserve">ID</w:t>
            </w:r>
          </w:p>
        </w:tc>
        <w:tc>
          <w:tcPr>
            <w:tcW w:type="dxa" w:w="12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top"/>
          </w:tcPr>
          <w:p>
            <w:pPr>
              <w:keepNext/>
              <w:spacing w:after="0" w:before="0" w:line="252" w:lineRule="auto"/>
              <w:jc w:val="left"/>
            </w:pPr>
            <w:r>
              <w:rPr>
                <w:b/>
                <w:bCs/>
                <w:color w:val="FFFFFF"/>
                <w:sz w:val="16"/>
                <w:szCs w:val="16"/>
              </w:rPr>
              <w:t xml:space="preserve">Atributo</w:t>
            </w:r>
          </w:p>
        </w:tc>
        <w:tc>
          <w:tcPr>
            <w:tcW w:type="dxa" w:w="404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top"/>
          </w:tcPr>
          <w:p>
            <w:pPr>
              <w:keepNext/>
              <w:spacing w:after="0" w:before="0" w:line="252" w:lineRule="auto"/>
              <w:jc w:val="left"/>
            </w:pPr>
            <w:r>
              <w:rPr>
                <w:b/>
                <w:bCs/>
                <w:color w:val="FFFFFF"/>
                <w:sz w:val="16"/>
                <w:szCs w:val="16"/>
              </w:rPr>
              <w:t xml:space="preserve">Requisito verificable</w:t>
            </w:r>
          </w:p>
        </w:tc>
        <w:tc>
          <w:tcPr>
            <w:tcW w:type="dxa" w:w="347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top"/>
          </w:tcPr>
          <w:p>
            <w:pPr>
              <w:keepNext/>
              <w:spacing w:after="0" w:before="0" w:line="252" w:lineRule="auto"/>
              <w:jc w:val="left"/>
            </w:pPr>
            <w:r>
              <w:rPr>
                <w:b/>
                <w:bCs/>
                <w:color w:val="FFFFFF"/>
                <w:sz w:val="16"/>
                <w:szCs w:val="16"/>
              </w:rPr>
              <w:t xml:space="preserve">Cómo y cuándo se verifica</w:t>
            </w:r>
          </w:p>
        </w:tc>
      </w:tr>
      <w:tr>
        <w:trPr>
          <w:cantSplit/>
        </w:trPr>
        <w:tc>
          <w:tcPr>
            <w:tcW w:type="dxa" w:w="867"/>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6"/>
                <w:szCs w:val="16"/>
              </w:rPr>
              <w:t xml:space="preserve">RNF-01</w:t>
            </w:r>
          </w:p>
        </w:tc>
        <w:tc>
          <w:tcPr>
            <w:tcW w:type="dxa" w:w="125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Seguridad</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Contraseñas con hash robusto, sesiones que expiran, intentos de inicio limitados y cada servicio verifica la identidad en cada petición.</w:t>
            </w:r>
          </w:p>
        </w:tc>
        <w:tc>
          <w:tcPr>
            <w:tcW w:type="dxa" w:w="347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Pruebas de tokens (HU-11 y HU-17) y límite en el gateway (HU-05).</w:t>
            </w:r>
          </w:p>
        </w:tc>
      </w:tr>
      <w:tr>
        <w:trPr>
          <w:cantSplit/>
        </w:trPr>
        <w:tc>
          <w:tcPr>
            <w:tcW w:type="dxa" w:w="867"/>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6"/>
                <w:szCs w:val="16"/>
              </w:rPr>
              <w:t xml:space="preserve">RNF-02</w:t>
            </w:r>
          </w:p>
        </w:tc>
        <w:tc>
          <w:tcPr>
            <w:tcW w:type="dxa" w:w="125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Rendimiento</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La búsqueda de tutores responde en menos de 2 s con al menos 500 usuarios de prueba.</w:t>
            </w:r>
          </w:p>
        </w:tc>
        <w:tc>
          <w:tcPr>
            <w:tcW w:type="dxa" w:w="347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Script de carga y medición en HU-34 (sprint 4).</w:t>
            </w:r>
          </w:p>
        </w:tc>
      </w:tr>
      <w:tr>
        <w:trPr>
          <w:cantSplit/>
        </w:trPr>
        <w:tc>
          <w:tcPr>
            <w:tcW w:type="dxa" w:w="867"/>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6"/>
                <w:szCs w:val="16"/>
              </w:rPr>
              <w:t xml:space="preserve">RNF-03</w:t>
            </w:r>
          </w:p>
        </w:tc>
        <w:tc>
          <w:tcPr>
            <w:tcW w:type="dxa" w:w="125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Usabilidad</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Todas las pantallas se usan en 360 px sin desplazamiento horizontal y los errores dicen qué corregir.</w:t>
            </w:r>
          </w:p>
        </w:tc>
        <w:tc>
          <w:tcPr>
            <w:tcW w:type="dxa" w:w="347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Criterio de cada historia de pantallas y revisión completa en HU-35.</w:t>
            </w:r>
          </w:p>
        </w:tc>
      </w:tr>
      <w:tr>
        <w:trPr>
          <w:cantSplit/>
        </w:trPr>
        <w:tc>
          <w:tcPr>
            <w:tcW w:type="dxa" w:w="867"/>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6"/>
                <w:szCs w:val="16"/>
              </w:rPr>
              <w:t xml:space="preserve">RNF-04</w:t>
            </w:r>
          </w:p>
        </w:tc>
        <w:tc>
          <w:tcPr>
            <w:tcW w:type="dxa" w:w="125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Compatibilidad</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Funciona en las versiones vigentes de Chrome, Edge y Firefox.</w:t>
            </w:r>
          </w:p>
        </w:tc>
        <w:tc>
          <w:tcPr>
            <w:tcW w:type="dxa" w:w="347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Revisión en HU-35.</w:t>
            </w:r>
          </w:p>
        </w:tc>
      </w:tr>
      <w:tr>
        <w:trPr>
          <w:cantSplit/>
        </w:trPr>
        <w:tc>
          <w:tcPr>
            <w:tcW w:type="dxa" w:w="867"/>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6"/>
                <w:szCs w:val="16"/>
              </w:rPr>
              <w:t xml:space="preserve">RNF-05</w:t>
            </w:r>
          </w:p>
        </w:tc>
        <w:tc>
          <w:tcPr>
            <w:tcW w:type="dxa" w:w="125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Portabilidad</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El sistema completo se levanta con un solo comando en el equipo de cualquier integrante.</w:t>
            </w:r>
          </w:p>
        </w:tc>
        <w:tc>
          <w:tcPr>
            <w:tcW w:type="dxa" w:w="347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HU-01, trabajo «levantar» y prueba del clon limpio al cierre del sprint 1.</w:t>
            </w:r>
          </w:p>
        </w:tc>
      </w:tr>
      <w:tr>
        <w:trPr>
          <w:cantSplit/>
        </w:trPr>
        <w:tc>
          <w:tcPr>
            <w:tcW w:type="dxa" w:w="867"/>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6"/>
                <w:szCs w:val="16"/>
              </w:rPr>
              <w:t xml:space="preserve">RNF-06</w:t>
            </w:r>
          </w:p>
        </w:tc>
        <w:tc>
          <w:tcPr>
            <w:tcW w:type="dxa" w:w="125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Mantenibilidad</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Las reglas de negocio tienen pruebas automatizadas; cobertura mínima de 60 % en Identidad y Tutorías.</w:t>
            </w:r>
          </w:p>
        </w:tc>
        <w:tc>
          <w:tcPr>
            <w:tcW w:type="dxa" w:w="347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HU-11, HU-27 y HU-36; la cobertura se publica en cada Pull Request.</w:t>
            </w:r>
          </w:p>
        </w:tc>
      </w:tr>
      <w:tr>
        <w:trPr>
          <w:cantSplit/>
        </w:trPr>
        <w:tc>
          <w:tcPr>
            <w:tcW w:type="dxa" w:w="867"/>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6"/>
                <w:szCs w:val="16"/>
              </w:rPr>
              <w:t xml:space="preserve">RNF-07</w:t>
            </w:r>
          </w:p>
        </w:tc>
        <w:tc>
          <w:tcPr>
            <w:tcW w:type="dxa" w:w="125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Privacidad</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Solo se recolectan nombre, correo institucional, carrera, nivel y sede; el correo no se muestra a otros usuarios; datos de prueba.</w:t>
            </w:r>
          </w:p>
        </w:tc>
        <w:tc>
          <w:tcPr>
            <w:tcW w:type="dxa" w:w="347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El correo no sale de Identidad (AD-11) y no viaja en el token (HU-05).</w:t>
            </w:r>
          </w:p>
        </w:tc>
      </w:tr>
      <w:tr>
        <w:trPr>
          <w:cantSplit/>
        </w:trPr>
        <w:tc>
          <w:tcPr>
            <w:tcW w:type="dxa" w:w="867"/>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6"/>
                <w:szCs w:val="16"/>
              </w:rPr>
              <w:t xml:space="preserve">RNF-08</w:t>
            </w:r>
          </w:p>
        </w:tc>
        <w:tc>
          <w:tcPr>
            <w:tcW w:type="dxa" w:w="125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Localización</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Interfaz en español, con fechas y horas de Chile continental.</w:t>
            </w:r>
          </w:p>
        </w:tc>
        <w:tc>
          <w:tcPr>
            <w:tcW w:type="dxa" w:w="347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Prueba de las 20:00 de Chile guardadas en UTC (HU-36).</w:t>
            </w:r>
          </w:p>
        </w:tc>
      </w:tr>
    </w:tbl>
    <w:p>
      <w:pPr>
        <w:keepNext w:val="false"/>
        <w:spacing w:after="140"/>
      </w:pPr>
    </w:p>
    <w:p>
      <w:pPr>
        <w:pStyle w:val="Heading1"/>
        <w:keepNext/>
      </w:pPr>
      <w:r>
        <w:t xml:space="preserve">6. Pruebas e integración continua</w:t>
      </w:r>
    </w:p>
    <w:p>
      <w:pPr>
        <w:keepNext/>
        <w:spacing w:after="60" w:before="60" w:line="240" w:lineRule="auto"/>
        <w:jc w:val="center"/>
      </w:pPr>
      <w:r>
        <w:drawing>
          <wp:inline distT="0" distB="0" distL="0" distR="0">
            <wp:extent cx="5819775" cy="1876425"/>
            <wp:effectExtent t="0" r="0" b="0" l="0"/>
            <wp:docPr id="1" name="integracion_continua.png" descr="Figura 15. Lo que ocurre en cada Pull Request (Pilar 5)." title="Figura 15. Lo que ocurre en cada Pull Request (Pil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819775" cy="1876425"/>
                    </a:xfrm>
                    <a:prstGeom prst="rect">
                      <a:avLst/>
                    </a:prstGeom>
                  </pic:spPr>
                </pic:pic>
              </a:graphicData>
            </a:graphic>
          </wp:inline>
        </w:drawing>
      </w:r>
    </w:p>
    <w:p>
      <w:pPr>
        <w:keepNext w:val="false"/>
        <w:spacing w:after="200" w:before="0" w:line="264" w:lineRule="auto"/>
        <w:jc w:val="center"/>
      </w:pPr>
      <w:r>
        <w:rPr>
          <w:i/>
          <w:iCs/>
          <w:color w:val="595959"/>
          <w:sz w:val="17"/>
          <w:szCs w:val="17"/>
        </w:rPr>
        <w:t xml:space="preserve">Figura 15. Lo que ocurre en cada Pull Request (Pilar 5).</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5"/>
        <w:gridCol w:w="2313"/>
        <w:gridCol w:w="3758"/>
        <w:gridCol w:w="2122"/>
      </w:tblGrid>
      <w:tr>
        <w:trPr>
          <w:cantSplit/>
          <w:tblHeader/>
        </w:trPr>
        <w:tc>
          <w:tcPr>
            <w:tcW w:type="dxa" w:w="144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top"/>
          </w:tcPr>
          <w:p>
            <w:pPr>
              <w:keepNext/>
              <w:spacing w:after="0" w:before="0" w:line="252" w:lineRule="auto"/>
              <w:jc w:val="left"/>
            </w:pPr>
            <w:r>
              <w:rPr>
                <w:b/>
                <w:bCs/>
                <w:color w:val="FFFFFF"/>
                <w:sz w:val="16"/>
                <w:szCs w:val="16"/>
              </w:rPr>
              <w:t xml:space="preserve">Nivel</w:t>
            </w:r>
          </w:p>
        </w:tc>
        <w:tc>
          <w:tcPr>
            <w:tcW w:type="dxa" w:w="23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top"/>
          </w:tcPr>
          <w:p>
            <w:pPr>
              <w:keepNext/>
              <w:spacing w:after="0" w:before="0" w:line="252" w:lineRule="auto"/>
              <w:jc w:val="left"/>
            </w:pPr>
            <w:r>
              <w:rPr>
                <w:b/>
                <w:bCs/>
                <w:color w:val="FFFFFF"/>
                <w:sz w:val="16"/>
                <w:szCs w:val="16"/>
              </w:rPr>
              <w:t xml:space="preserve">Herramienta</w:t>
            </w:r>
          </w:p>
        </w:tc>
        <w:tc>
          <w:tcPr>
            <w:tcW w:type="dxa" w:w="375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top"/>
          </w:tcPr>
          <w:p>
            <w:pPr>
              <w:keepNext/>
              <w:spacing w:after="0" w:before="0" w:line="252" w:lineRule="auto"/>
              <w:jc w:val="left"/>
            </w:pPr>
            <w:r>
              <w:rPr>
                <w:b/>
                <w:bCs/>
                <w:color w:val="FFFFFF"/>
                <w:sz w:val="16"/>
                <w:szCs w:val="16"/>
              </w:rPr>
              <w:t xml:space="preserve">Qué demuestra</w:t>
            </w:r>
          </w:p>
        </w:tc>
        <w:tc>
          <w:tcPr>
            <w:tcW w:type="dxa" w:w="212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top"/>
          </w:tcPr>
          <w:p>
            <w:pPr>
              <w:keepNext/>
              <w:spacing w:after="0" w:before="0" w:line="252" w:lineRule="auto"/>
              <w:jc w:val="left"/>
            </w:pPr>
            <w:r>
              <w:rPr>
                <w:b/>
                <w:bCs/>
                <w:color w:val="FFFFFF"/>
                <w:sz w:val="16"/>
                <w:szCs w:val="16"/>
              </w:rPr>
              <w:t xml:space="preserve">Cuándo</w:t>
            </w:r>
          </w:p>
        </w:tc>
      </w:tr>
      <w:tr>
        <w:trPr>
          <w:cantSplit/>
        </w:trPr>
        <w:tc>
          <w:tcPr>
            <w:tcW w:type="dxa" w:w="1445"/>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6"/>
                <w:szCs w:val="16"/>
              </w:rPr>
              <w:t xml:space="preserve">Unitaria</w:t>
            </w:r>
          </w:p>
        </w:tc>
        <w:tc>
          <w:tcPr>
            <w:tcW w:type="dxa" w:w="2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pytest</w:t>
            </w:r>
          </w:p>
        </w:tc>
        <w:tc>
          <w:tcPr>
            <w:tcW w:type="dxa" w:w="375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Que cada regla de negocio se comporta como dice el Pilar 1.</w:t>
            </w:r>
          </w:p>
        </w:tc>
        <w:tc>
          <w:tcPr>
            <w:tcW w:type="dxa" w:w="212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En cada Pull Request</w:t>
            </w:r>
          </w:p>
        </w:tc>
      </w:tr>
      <w:tr>
        <w:trPr>
          <w:cantSplit/>
        </w:trPr>
        <w:tc>
          <w:tcPr>
            <w:tcW w:type="dxa" w:w="1445"/>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6"/>
                <w:szCs w:val="16"/>
              </w:rPr>
              <w:t xml:space="preserve">De servicio</w:t>
            </w:r>
          </w:p>
        </w:tc>
        <w:tc>
          <w:tcPr>
            <w:tcW w:type="dxa" w:w="2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pytest y el cliente de pruebas de Django REST</w:t>
            </w:r>
          </w:p>
        </w:tc>
        <w:tc>
          <w:tcPr>
            <w:tcW w:type="dxa" w:w="375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Que un endpoint responde el código y el cuerpo de su contrato, con y sin token.</w:t>
            </w:r>
          </w:p>
        </w:tc>
        <w:tc>
          <w:tcPr>
            <w:tcW w:type="dxa" w:w="212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En cada Pull Request</w:t>
            </w:r>
          </w:p>
        </w:tc>
      </w:tr>
      <w:tr>
        <w:trPr>
          <w:cantSplit/>
        </w:trPr>
        <w:tc>
          <w:tcPr>
            <w:tcW w:type="dxa" w:w="1445"/>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6"/>
                <w:szCs w:val="16"/>
              </w:rPr>
              <w:t xml:space="preserve">De contrato</w:t>
            </w:r>
          </w:p>
        </w:tc>
        <w:tc>
          <w:tcPr>
            <w:tcW w:type="dxa" w:w="2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Comparación con el esquema de docs/api</w:t>
            </w:r>
          </w:p>
        </w:tc>
        <w:tc>
          <w:tcPr>
            <w:tcW w:type="dxa" w:w="375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Que el servicio no se desvió de lo acordado.</w:t>
            </w:r>
          </w:p>
        </w:tc>
        <w:tc>
          <w:tcPr>
            <w:tcW w:type="dxa" w:w="212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En cada Pull Request del servicio</w:t>
            </w:r>
          </w:p>
        </w:tc>
      </w:tr>
      <w:tr>
        <w:trPr>
          <w:cantSplit/>
        </w:trPr>
        <w:tc>
          <w:tcPr>
            <w:tcW w:type="dxa" w:w="1445"/>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6"/>
                <w:szCs w:val="16"/>
              </w:rPr>
              <w:t xml:space="preserve">De integración</w:t>
            </w:r>
          </w:p>
        </w:tc>
        <w:tc>
          <w:tcPr>
            <w:tcW w:type="dxa" w:w="2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pytest sobre el sistema levantado con Docker</w:t>
            </w:r>
          </w:p>
        </w:tc>
        <w:tc>
          <w:tcPr>
            <w:tcW w:type="dxa" w:w="375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Que el recorrido completo funciona entre servicios.</w:t>
            </w:r>
          </w:p>
        </w:tc>
        <w:tc>
          <w:tcPr>
            <w:tcW w:type="dxa" w:w="212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Sprint 4 (HU-34) y a mano en el cierre del sprint 3</w:t>
            </w:r>
          </w:p>
        </w:tc>
      </w:tr>
      <w:tr>
        <w:trPr>
          <w:cantSplit/>
        </w:trPr>
        <w:tc>
          <w:tcPr>
            <w:tcW w:type="dxa" w:w="1445"/>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6"/>
                <w:szCs w:val="16"/>
              </w:rPr>
              <w:t xml:space="preserve">De frontend</w:t>
            </w:r>
          </w:p>
        </w:tc>
        <w:tc>
          <w:tcPr>
            <w:tcW w:type="dxa" w:w="2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Vitest y Testing Library</w:t>
            </w:r>
          </w:p>
        </w:tc>
        <w:tc>
          <w:tcPr>
            <w:tcW w:type="dxa" w:w="375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Que los formularios validan y las pantallas muestran carga y error.</w:t>
            </w:r>
          </w:p>
        </w:tc>
        <w:tc>
          <w:tcPr>
            <w:tcW w:type="dxa" w:w="212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En cada Pull Request del frontend</w:t>
            </w:r>
          </w:p>
        </w:tc>
      </w:tr>
      <w:tr>
        <w:trPr>
          <w:cantSplit/>
        </w:trPr>
        <w:tc>
          <w:tcPr>
            <w:tcW w:type="dxa" w:w="1445"/>
            <w:tcBorders>
              <w:top w:val="single" w:color="BFBFBF" w:sz="4"/>
              <w:left w:val="single" w:color="BFBFBF" w:sz="4"/>
              <w:bottom w:val="single" w:color="BFBFBF" w:sz="4"/>
              <w:right w:val="single" w:color="BFBFBF" w:sz="4"/>
            </w:tcBorders>
            <w:shd w:fill="EEF3F8" w:color="auto" w:val="clear"/>
            <w:tcMar>
              <w:top w:type="dxa" w:w="60"/>
              <w:left w:type="dxa" w:w="100"/>
              <w:bottom w:type="dxa" w:w="60"/>
              <w:right w:type="dxa" w:w="100"/>
            </w:tcMar>
            <w:vAlign w:val="top"/>
          </w:tcPr>
          <w:p>
            <w:pPr>
              <w:keepNext w:val="false"/>
              <w:spacing w:after="0" w:before="0" w:line="252" w:lineRule="auto"/>
              <w:jc w:val="left"/>
            </w:pPr>
            <w:r>
              <w:rPr>
                <w:b/>
                <w:bCs/>
                <w:sz w:val="16"/>
                <w:szCs w:val="16"/>
              </w:rPr>
              <w:t xml:space="preserve">Manual guionada</w:t>
            </w:r>
          </w:p>
        </w:tc>
        <w:tc>
          <w:tcPr>
            <w:tcW w:type="dxa" w:w="2313"/>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Los nueve criterios del Pilar 1</w:t>
            </w:r>
          </w:p>
        </w:tc>
        <w:tc>
          <w:tcPr>
            <w:tcW w:type="dxa" w:w="375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Que el sistema hace lo que el proyecto prometió.</w:t>
            </w:r>
          </w:p>
        </w:tc>
        <w:tc>
          <w:tcPr>
            <w:tcW w:type="dxa" w:w="2122"/>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keepNext w:val="false"/>
              <w:spacing w:after="0" w:before="0" w:line="252" w:lineRule="auto"/>
              <w:jc w:val="left"/>
            </w:pPr>
            <w:r>
              <w:rPr>
                <w:sz w:val="16"/>
                <w:szCs w:val="16"/>
              </w:rPr>
              <w:t xml:space="preserve">Cierre de cada sprint</w:t>
            </w:r>
          </w:p>
        </w:tc>
      </w:tr>
    </w:tbl>
    <w:p>
      <w:pPr>
        <w:keepNext w:val="false"/>
        <w:spacing w:after="140"/>
      </w:pPr>
    </w:p>
    <w:p>
      <w:pPr>
        <w:keepNext w:val="false"/>
        <w:spacing w:after="120" w:before="0" w:line="264" w:lineRule="auto"/>
        <w:jc w:val="left"/>
      </w:pPr>
      <w:r>
        <w:t xml:space="preserve">Las ramas de HU-04, HU-07, HU-08 y HU-23 traen pruebas de modelo con pytest: cada una intenta guardar algo que el anexo A prohíbe y comprueba que PostgreSQL lo rechaza sin pasar por el código de la aplicación. La rama de la demo, demo/semana-08, agrega un script de restricciones que hace veinte intentos sobre las bases levantadas. En la verificación del 30-09, hecha sobre un esquema equivalente en PostgreSQL 16, la base rechazó los diecinueve inválidos y aceptó el válido, que se incluyó a propósito: un bloque encima de otro eliminado.</w:t>
      </w:r>
    </w:p>
    <w:p>
      <w:pPr>
        <w:keepNext w:val="false"/>
        <w:spacing w:after="120" w:before="0" w:line="264" w:lineRule="auto"/>
        <w:jc w:val="left"/>
      </w:pPr>
      <w:r>
        <w:t xml:space="preserve">El plan de pruebas de cada sprint está en su Sprint Planning (carpeta de cada sprint), y los resultados, en su Sprint Review. Así la evidencia de pruebas queda por sprint, como pide el instructivo.</w:t>
      </w:r>
    </w:p>
    <w:sectPr>
      <w:headerReference w:type="default" r:id="rId15"/>
      <w:footerReference w:type="default" r:id="rId16"/>
      <w:pgSz w:w="11906" w:h="16838" w:orient="portrait"/>
      <w:pgMar w:top="1134" w:right="1134" w:bottom="1134" w:left="1134"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ieDePagina"/>
      <w:pBdr>
        <w:top w:val="single" w:color="D9D9D9" w:sz="4" w:space="4"/>
      </w:pBdr>
      <w:tabs>
        <w:tab w:val="right" w:pos="9638"/>
      </w:tabs>
    </w:pPr>
    <w:r>
      <w:rPr>
        <w:color w:val="8C8C8C"/>
        <w:sz w:val="15"/>
        <w:szCs w:val="15"/>
      </w:rPr>
      <w:t xml:space="preserve">Capstone PTY4614 · Duoc UC</w:t>
    </w:r>
    <w:r>
      <w:rPr>
        <w:sz w:val="15"/>
        <w:szCs w:val="15"/>
      </w:rPr>
      <w:tab/>
    </w:r>
    <w:r>
      <w:rPr>
        <w:color w:val="8C8C8C"/>
        <w:sz w:val="15"/>
        <w:szCs w:val="15"/>
      </w:rPr>
      <w:t xml:space="preserve">Página </w:t>
    </w:r>
    <w:r>
      <w:rPr>
        <w:color w:val="8C8C8C"/>
        <w:sz w:val="15"/>
        <w:szCs w:val="15"/>
      </w:rPr>
      <w:fldChar w:fldCharType="begin"/>
      <w:instrText xml:space="preserve">PAGE</w:instrText>
      <w:fldChar w:fldCharType="separate"/>
      <w:fldChar w:fldCharType="end"/>
    </w:r>
    <w:r>
      <w:rPr>
        <w:color w:val="8C8C8C"/>
        <w:sz w:val="15"/>
        <w:szCs w:val="15"/>
      </w:rPr>
      <w:t xml:space="preserve"> de </w:t>
    </w:r>
    <w:r>
      <w:rPr>
        <w:color w:val="8C8C8C"/>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ieDePagina"/>
      <w:pBdr>
        <w:top w:val="single" w:color="D9D9D9" w:sz="4" w:space="4"/>
      </w:pBdr>
      <w:tabs>
        <w:tab w:val="right" w:pos="14570"/>
      </w:tabs>
    </w:pPr>
    <w:r>
      <w:rPr>
        <w:color w:val="8C8C8C"/>
        <w:sz w:val="15"/>
        <w:szCs w:val="15"/>
      </w:rPr>
      <w:t xml:space="preserve">Capstone PTY4614 · Duoc UC</w:t>
    </w:r>
    <w:r>
      <w:rPr>
        <w:sz w:val="15"/>
        <w:szCs w:val="15"/>
      </w:rPr>
      <w:tab/>
    </w:r>
    <w:r>
      <w:rPr>
        <w:color w:val="8C8C8C"/>
        <w:sz w:val="15"/>
        <w:szCs w:val="15"/>
      </w:rPr>
      <w:t xml:space="preserve">Página </w:t>
    </w:r>
    <w:r>
      <w:rPr>
        <w:color w:val="8C8C8C"/>
        <w:sz w:val="15"/>
        <w:szCs w:val="15"/>
      </w:rPr>
      <w:fldChar w:fldCharType="begin"/>
      <w:instrText xml:space="preserve">PAGE</w:instrText>
      <w:fldChar w:fldCharType="separate"/>
      <w:fldChar w:fldCharType="end"/>
    </w:r>
    <w:r>
      <w:rPr>
        <w:color w:val="8C8C8C"/>
        <w:sz w:val="15"/>
        <w:szCs w:val="15"/>
      </w:rPr>
      <w:t xml:space="preserve"> de </w:t>
    </w:r>
    <w:r>
      <w:rPr>
        <w:color w:val="8C8C8C"/>
        <w:sz w:val="15"/>
        <w:szCs w:val="15"/>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ieDePagina"/>
      <w:pBdr>
        <w:top w:val="single" w:color="D9D9D9" w:sz="4" w:space="4"/>
      </w:pBdr>
      <w:tabs>
        <w:tab w:val="right" w:pos="9638"/>
      </w:tabs>
    </w:pPr>
    <w:r>
      <w:rPr>
        <w:color w:val="8C8C8C"/>
        <w:sz w:val="15"/>
        <w:szCs w:val="15"/>
      </w:rPr>
      <w:t xml:space="preserve">Capstone PTY4614 · Duoc UC</w:t>
    </w:r>
    <w:r>
      <w:rPr>
        <w:sz w:val="15"/>
        <w:szCs w:val="15"/>
      </w:rPr>
      <w:tab/>
    </w:r>
    <w:r>
      <w:rPr>
        <w:color w:val="8C8C8C"/>
        <w:sz w:val="15"/>
        <w:szCs w:val="15"/>
      </w:rPr>
      <w:t xml:space="preserve">Página </w:t>
    </w:r>
    <w:r>
      <w:rPr>
        <w:color w:val="8C8C8C"/>
        <w:sz w:val="15"/>
        <w:szCs w:val="15"/>
      </w:rPr>
      <w:fldChar w:fldCharType="begin"/>
      <w:instrText xml:space="preserve">PAGE</w:instrText>
      <w:fldChar w:fldCharType="separate"/>
      <w:fldChar w:fldCharType="end"/>
    </w:r>
    <w:r>
      <w:rPr>
        <w:color w:val="8C8C8C"/>
        <w:sz w:val="15"/>
        <w:szCs w:val="15"/>
      </w:rPr>
      <w:t xml:space="preserve"> de </w:t>
    </w:r>
    <w:r>
      <w:rPr>
        <w:color w:val="8C8C8C"/>
        <w:sz w:val="15"/>
        <w:szCs w:val="15"/>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ieDePagina"/>
      <w:pBdr>
        <w:top w:val="single" w:color="D9D9D9" w:sz="4" w:space="4"/>
      </w:pBdr>
      <w:tabs>
        <w:tab w:val="right" w:pos="14570"/>
      </w:tabs>
    </w:pPr>
    <w:r>
      <w:rPr>
        <w:color w:val="8C8C8C"/>
        <w:sz w:val="15"/>
        <w:szCs w:val="15"/>
      </w:rPr>
      <w:t xml:space="preserve">Capstone PTY4614 · Duoc UC</w:t>
    </w:r>
    <w:r>
      <w:rPr>
        <w:sz w:val="15"/>
        <w:szCs w:val="15"/>
      </w:rPr>
      <w:tab/>
    </w:r>
    <w:r>
      <w:rPr>
        <w:color w:val="8C8C8C"/>
        <w:sz w:val="15"/>
        <w:szCs w:val="15"/>
      </w:rPr>
      <w:t xml:space="preserve">Página </w:t>
    </w:r>
    <w:r>
      <w:rPr>
        <w:color w:val="8C8C8C"/>
        <w:sz w:val="15"/>
        <w:szCs w:val="15"/>
      </w:rPr>
      <w:fldChar w:fldCharType="begin"/>
      <w:instrText xml:space="preserve">PAGE</w:instrText>
      <w:fldChar w:fldCharType="separate"/>
      <w:fldChar w:fldCharType="end"/>
    </w:r>
    <w:r>
      <w:rPr>
        <w:color w:val="8C8C8C"/>
        <w:sz w:val="15"/>
        <w:szCs w:val="15"/>
      </w:rPr>
      <w:t xml:space="preserve"> de </w:t>
    </w:r>
    <w:r>
      <w:rPr>
        <w:color w:val="8C8C8C"/>
        <w:sz w:val="15"/>
        <w:szCs w:val="15"/>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ieDePagina"/>
      <w:pBdr>
        <w:top w:val="single" w:color="D9D9D9" w:sz="4" w:space="4"/>
      </w:pBdr>
      <w:tabs>
        <w:tab w:val="right" w:pos="9638"/>
      </w:tabs>
    </w:pPr>
    <w:r>
      <w:rPr>
        <w:color w:val="8C8C8C"/>
        <w:sz w:val="15"/>
        <w:szCs w:val="15"/>
      </w:rPr>
      <w:t xml:space="preserve">Capstone PTY4614 · Duoc UC</w:t>
    </w:r>
    <w:r>
      <w:rPr>
        <w:sz w:val="15"/>
        <w:szCs w:val="15"/>
      </w:rPr>
      <w:tab/>
    </w:r>
    <w:r>
      <w:rPr>
        <w:color w:val="8C8C8C"/>
        <w:sz w:val="15"/>
        <w:szCs w:val="15"/>
      </w:rPr>
      <w:t xml:space="preserve">Página </w:t>
    </w:r>
    <w:r>
      <w:rPr>
        <w:color w:val="8C8C8C"/>
        <w:sz w:val="15"/>
        <w:szCs w:val="15"/>
      </w:rPr>
      <w:fldChar w:fldCharType="begin"/>
      <w:instrText xml:space="preserve">PAGE</w:instrText>
      <w:fldChar w:fldCharType="separate"/>
      <w:fldChar w:fldCharType="end"/>
    </w:r>
    <w:r>
      <w:rPr>
        <w:color w:val="8C8C8C"/>
        <w:sz w:val="15"/>
        <w:szCs w:val="15"/>
      </w:rPr>
      <w:t xml:space="preserve"> de </w:t>
    </w:r>
    <w:r>
      <w:rPr>
        <w:color w:val="8C8C8C"/>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8C8C8C"/>
        <w:sz w:val="15"/>
        <w:szCs w:val="15"/>
      </w:rPr>
      <w:t xml:space="preserve">Plataforma de Tutorías entre Estudiantes  ·  Evidencias Técnicas del Diseño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8C8C8C"/>
        <w:sz w:val="15"/>
        <w:szCs w:val="15"/>
      </w:rPr>
      <w:t xml:space="preserve">Plataforma de Tutorías entre Estudiantes  ·  Evidencias Técnicas del Diseño</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8C8C8C"/>
        <w:sz w:val="15"/>
        <w:szCs w:val="15"/>
      </w:rPr>
      <w:t xml:space="preserve">Plataforma de Tutorías entre Estudiantes  ·  Evidencias Técnicas del Diseño</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8C8C8C"/>
        <w:sz w:val="15"/>
        <w:szCs w:val="15"/>
      </w:rPr>
      <w:t xml:space="preserve">Plataforma de Tutorías entre Estudiantes  ·  Evidencias Técnicas del Diseño</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8C8C8C"/>
        <w:sz w:val="15"/>
        <w:szCs w:val="15"/>
      </w:rPr>
      <w:t xml:space="preserve">Plataforma de Tutorías entre Estudiantes  ·  Evidencias Técnicas del Diseño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bullet"/>
      <w:lvlText w:val="•"/>
      <w:lvlJc w:val="left"/>
      <w:pPr>
        <w:ind w:left="200" w:hanging="170"/>
      </w:pPr>
    </w:lvl>
  </w:abstractNum>
  <w:abstractNum w:abstractNumId="4"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PieDePagina">
    <w:name w:val="Pie de pagina del listado"/>
    <w:basedOn w:val="Normal"/>
    <w:pPr>
      <w:spacing w:after="0" w:before="0"/>
    </w:pPr>
    <w:rPr>
      <w:color w:val="8C8C8C"/>
      <w:sz w:val="15"/>
      <w:szCs w:val="15"/>
    </w:rPr>
  </w:style>
  <w:style w:type="paragraph" w:styleId="Heading1">
    <w:name w:val="Heading 1"/>
    <w:basedOn w:val="Normal"/>
    <w:next w:val="Normal"/>
    <w:qFormat/>
    <w:pPr>
      <w:keepNext/>
      <w:spacing w:after="120" w:before="300"/>
      <w:outlineLvl w:val="0"/>
    </w:pPr>
    <w:rPr>
      <w:rFonts w:ascii="Calibri" w:cs="Calibri" w:eastAsia="Calibri" w:hAnsi="Calibri"/>
      <w:b/>
      <w:bCs/>
      <w:color w:val="1F4E79"/>
      <w:sz w:val="30"/>
      <w:szCs w:val="30"/>
    </w:rPr>
  </w:style>
  <w:style w:type="paragraph" w:styleId="Heading2">
    <w:name w:val="Heading 2"/>
    <w:basedOn w:val="Normal"/>
    <w:next w:val="Normal"/>
    <w:qFormat/>
    <w:pPr>
      <w:keepNext/>
      <w:spacing w:after="100" w:before="220"/>
      <w:outlineLvl w:val="1"/>
    </w:pPr>
    <w:rPr>
      <w:rFonts w:ascii="Calibri" w:cs="Calibri" w:eastAsia="Calibri" w:hAnsi="Calibri"/>
      <w:b/>
      <w:bCs/>
      <w:color w:val="1F4E79"/>
      <w:sz w:val="25"/>
      <w:szCs w:val="25"/>
    </w:rPr>
  </w:style>
  <w:style w:type="paragraph" w:styleId="Heading3">
    <w:name w:val="Heading 3"/>
    <w:basedOn w:val="Normal"/>
    <w:next w:val="Normal"/>
    <w:qFormat/>
    <w:pPr>
      <w:keepNext/>
      <w:spacing w:after="80" w:before="180"/>
      <w:outlineLvl w:val="2"/>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image" Target="media/02be4db5839b623c38068edb55cb5546d2b3cf59.png"/><Relationship Id="rId18" Type="http://schemas.openxmlformats.org/officeDocument/2006/relationships/image" Target="media/83a30013c67613600196762a08a2900cb8421d0c.png"/><Relationship Id="rId19" Type="http://schemas.openxmlformats.org/officeDocument/2006/relationships/image" Target="media/bf8a67047817f0850d8b5027872d6579cff11881.png"/><Relationship Id="rId20" Type="http://schemas.openxmlformats.org/officeDocument/2006/relationships/image" Target="media/05_vista_global.png"/><Relationship Id="rId21" Type="http://schemas.openxmlformats.org/officeDocument/2006/relationships/image" Target="media/e1138cf765f3975b77a61852f64098c2928b350c.png"/><Relationship Id="rId22" Type="http://schemas.openxmlformats.org/officeDocument/2006/relationships/image" Target="media/7775e38a98067e6c235adc1689bad71f13fe583c.png"/><Relationship Id="rId23" Type="http://schemas.openxmlformats.org/officeDocument/2006/relationships/image" Target="media/4bf158e0dc3aba360b6e9ad96037db589c2b03dc.png"/><Relationship Id="rId24" Type="http://schemas.openxmlformats.org/officeDocument/2006/relationships/image" Target="media/107159dded2840f09c525beb7a15a7075da2531f.png"/><Relationship Id="rId25" Type="http://schemas.openxmlformats.org/officeDocument/2006/relationships/image" Target="media/f049179a31a0866b355e7fa5d51e8aafd37fa120.png"/><Relationship Id="rId26" Type="http://schemas.openxmlformats.org/officeDocument/2006/relationships/image" Target="media/a6f5996f17b2e65d9e896e8c23caefda2c677ae0.png"/><Relationship Id="rId27" Type="http://schemas.openxmlformats.org/officeDocument/2006/relationships/image" Target="media/514d31aa0b3721ae7790b223f9952966eb189e08.png"/><Relationship Id="rId28" Type="http://schemas.openxmlformats.org/officeDocument/2006/relationships/fontTable" Target="fontTable.xml"/><Relationship Id="rId29" Type="http://schemas.openxmlformats.org/officeDocument/2006/relationships/image" Target="media/01_identity_db.png"/><Relationship Id="rId30" Type="http://schemas.openxmlformats.org/officeDocument/2006/relationships/image" Target="media/02_catalog_db.png"/><Relationship Id="rId31" Type="http://schemas.openxmlformats.org/officeDocument/2006/relationships/image" Target="media/03_tutoring_db.png"/><Relationship Id="rId32" Type="http://schemas.openxmlformats.org/officeDocument/2006/relationships/image" Target="media/04_payment_db.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Evidencias Técnicas del Diseño</dc:title>
  <dc:creator>Equipo Plataforma de Tutorías</dc:creator>
  <dc:description>Arquitectura, despliegue con Docker, modelo de datos, diagramas UML, requisitos no funcionales, pruebas e integración continua</dc:description>
  <cp:lastModifiedBy>Un-named</cp:lastModifiedBy>
  <cp:revision>1</cp:revision>
  <dcterms:created xsi:type="dcterms:W3CDTF">2026-09-27T18:49:12.706Z</dcterms:created>
  <dcterms:modified xsi:type="dcterms:W3CDTF">2026-09-27T18:49:12.706Z</dcterms:modified>
</cp:coreProperties>
</file>

<file path=docProps/custom.xml><?xml version="1.0" encoding="utf-8"?>
<Properties xmlns="http://schemas.openxmlformats.org/officeDocument/2006/custom-properties" xmlns:vt="http://schemas.openxmlformats.org/officeDocument/2006/docPropsVTypes"/>
</file>