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Manual</w:t>
      </w:r>
    </w:p>
    <w:p>
      <w:pPr>
        <w:pStyle w:val="Heading2"/>
      </w:pPr>
      <w:r>
        <w:t>Access Control</w:t>
      </w:r>
    </w:p>
    <w:p>
      <w:r>
        <w:t>Badge access is revoked automatically after 30 days of inactivity.</w:t>
      </w:r>
    </w:p>
    <w:p>
      <w:pPr>
        <w:pStyle w:val="Heading2"/>
      </w:pPr>
      <w:r>
        <w:t>Maintenance Windows</w:t>
      </w:r>
    </w:p>
    <w:p>
      <w:r>
        <w:t>Scheduled maintenance occurs on the second Sunday monthly.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window_hours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