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3A2D"/>
          <w:sz w:val="40"/>
          <w:szCs w:val="40"/>
        </w:rPr>
        <w:t xml:space="preserve">[App Name TBD] — Product Specification</w:t>
      </w:r>
    </w:p>
    <w:p>
      <w:pPr>
        <w:spacing w:after="60"/>
      </w:pPr>
      <w:r>
        <w:rPr>
          <w:i/>
          <w:iCs/>
          <w:color w:val="C9973A"/>
          <w:sz w:val="22"/>
          <w:szCs w:val="22"/>
        </w:rPr>
        <w:t xml:space="preserve">Powered by the Personal Remedies API</w:t>
      </w:r>
    </w:p>
    <w:p>
      <w:pPr>
        <w:pBdr>
          <w:bottom w:val="single" w:color="C9973A" w:sz="6" w:space="4"/>
        </w:pBdr>
        <w:spacing w:after="240"/>
      </w:pPr>
      <w:r>
        <w:rPr>
          <w:color w:val="666666"/>
          <w:sz w:val="20"/>
          <w:szCs w:val="20"/>
        </w:rPr>
        <w:t xml:space="preserve">Version 3.0  |  Draft — June 2026</w:t>
      </w:r>
    </w:p>
    <w:p>
      <w:pPr>
        <w:pStyle w:val="Heading1"/>
      </w:pPr>
      <w:r>
        <w:t xml:space="preserve">1. Problem Statement</w:t>
      </w:r>
    </w:p>
    <w:p>
      <w:pPr>
        <w:spacing w:after="120"/>
      </w:pPr>
      <w:r>
        <w:t xml:space="preserve">People managing chronic conditions — diabetes, hypertension, heart disease, kidney disease, and others — cannot find food guidance that fits their specific combination of conditions and medications. The options available to them fall short:</w:t>
      </w:r>
    </w:p>
    <w:p>
      <w:pPr>
        <w:pStyle w:val="ListParagraph"/>
        <w:numPr>
          <w:ilvl w:val="0"/>
          <w:numId w:val="2"/>
        </w:numPr>
        <w:spacing w:after="80"/>
      </w:pPr>
      <w:r>
        <w:rPr>
          <w:b/>
          <w:bCs/>
        </w:rPr>
        <w:t xml:space="preserve">The multi-condition gap. </w:t>
      </w:r>
      <w:r>
        <w:t xml:space="preserve">Dietitians are not equipped to advise patients with multiple chronic conditions. The patients who need guidance most are the ones least served.</w:t>
      </w:r>
    </w:p>
    <w:p>
      <w:pPr>
        <w:pStyle w:val="ListParagraph"/>
        <w:numPr>
          <w:ilvl w:val="0"/>
          <w:numId w:val="2"/>
        </w:numPr>
        <w:spacing w:after="80"/>
      </w:pPr>
      <w:r>
        <w:rPr>
          <w:b/>
          <w:bCs/>
        </w:rPr>
        <w:t xml:space="preserve">Limited condition coverage. </w:t>
      </w:r>
      <w:r>
        <w:t xml:space="preserve">Most dietitians work comfortably within a handful of common conditions. CKD, PCOS, IC, and many cancers fall outside that range.</w:t>
      </w:r>
    </w:p>
    <w:p>
      <w:pPr>
        <w:pStyle w:val="ListParagraph"/>
        <w:numPr>
          <w:ilvl w:val="0"/>
          <w:numId w:val="2"/>
        </w:numPr>
        <w:spacing w:after="80"/>
      </w:pPr>
      <w:r>
        <w:rPr>
          <w:b/>
          <w:bCs/>
        </w:rPr>
        <w:t xml:space="preserve">Cost. </w:t>
      </w:r>
      <w:r>
        <w:t xml:space="preserve">Copays and deductibles discourage the repeated consultations that chronic condition management actually requires.</w:t>
      </w:r>
    </w:p>
    <w:p>
      <w:pPr>
        <w:pStyle w:val="ListParagraph"/>
        <w:numPr>
          <w:ilvl w:val="0"/>
          <w:numId w:val="2"/>
        </w:numPr>
        <w:spacing w:after="80"/>
      </w:pPr>
      <w:r>
        <w:rPr>
          <w:b/>
          <w:bCs/>
        </w:rPr>
        <w:t xml:space="preserve">Depth. </w:t>
      </w:r>
      <w:r>
        <w:t xml:space="preserve">A 30-minute appointment cannot produce a tailored, multi-condition dietary plan.</w:t>
      </w:r>
    </w:p>
    <w:p>
      <w:pPr>
        <w:spacing w:after="120"/>
      </w:pPr>
      <w:r>
        <w:t xml:space="preserve">Generic nutrition apps count calories and ignore conditions. Health content sites give generic advice that ignores comorbidities and drug-nutrient interactions. The patient is left to self-navigate conflicting information at exactly the moment they are most motivated to act.</w:t>
      </w:r>
    </w:p>
    <w:p>
      <w:pPr>
        <w:spacing w:after="120"/>
      </w:pPr>
      <w:r>
        <w:rPr>
          <w:i/>
          <w:iCs/>
        </w:rPr>
        <w:t xml:space="preserve">A full competitive landscape review will be completed separately.</w:t>
      </w:r>
    </w:p>
    <w:p>
      <w:pPr>
        <w:pStyle w:val="Heading1"/>
      </w:pPr>
      <w:r>
        <w:t xml:space="preserve">2. Core Product Concept</w:t>
      </w:r>
    </w:p>
    <w:p>
      <w:pPr>
        <w:spacing w:after="120"/>
      </w:pPr>
      <w:r>
        <w:t xml:space="preserve">The app gives the user </w:t>
      </w:r>
      <w:r>
        <w:rPr>
          <w:b/>
          <w:bCs/>
        </w:rPr>
        <w:t xml:space="preserve">the most helpful foods and recipes for their personal health profile, before they shop or cook.</w:t>
      </w:r>
      <w:r>
        <w:t xml:space="preserve"> The user enters their profile once — conditions, medications, allergies, dietary restrictions — and the app does the rest.</w:t>
      </w:r>
    </w:p>
    <w:p>
      <w:pPr>
        <w:spacing w:after="120"/>
      </w:pPr>
      <w:r>
        <w:t xml:space="preserve">The product is proactive, not reactive. Instead of waiting for the user to ask about a food, the app hands them the answer up front: here are the foods most helpful for you, here are recipes built from them, and here are the studies behind each recommendation.</w:t>
      </w:r>
    </w:p>
    <w:p>
      <w:pPr>
        <w:spacing w:after="120"/>
      </w:pPr>
      <w:r>
        <w:t xml:space="preserve">It offers specific, actionable guidance on what to choose and what to avoid in order to prevent, manage, or reverse the user’s health issues. Every recommendation is backed by the Personal Remedies knowledgebase — roughly a decade of curated clinical nutrition research across 300+ conditions, with multi-condition reconciliation no competing source offers.</w:t>
      </w:r>
    </w:p>
    <w:p>
      <w:pPr>
        <w:pStyle w:val="Heading1"/>
      </w:pPr>
      <w:r>
        <w:t xml:space="preserve">3. Primary Use Case</w:t>
      </w:r>
    </w:p>
    <w:p>
      <w:pPr>
        <w:spacing w:after="120"/>
      </w:pPr>
      <w:r>
        <w:rPr>
          <w:i/>
          <w:iCs/>
        </w:rPr>
        <w:t xml:space="preserve">Maria, 57, was diagnosed with Type 2 diabetes and hypertension at her last checkup. Her doctor told her to “watch what she eats” but gave her no specific guidance. She Googles “foods to avoid with diabetes and high blood pressure” and gets 12 conflicting articles.</w:t>
      </w:r>
    </w:p>
    <w:p>
      <w:pPr>
        <w:spacing w:after="120"/>
      </w:pPr>
      <w:r>
        <w:rPr>
          <w:i/>
          <w:iCs/>
        </w:rPr>
        <w:t xml:space="preserve">She opens the app and enters her two conditions, her medications, and her allergies. Within seconds she sees the vegetables, fruits, nuts and seeds, fish, and other foods that are most helpful for her specific profile — and the ones to avoid. Before her next grocery trip, she already knows exactly what to put in the cart. The app also suggests recipes built from her helpful foods, ordered by what she’s likely to enjoy. Behind every recommendation, she can tap to see the published studies it rests on.</w:t>
      </w:r>
    </w:p>
    <w:p>
      <w:pPr>
        <w:pStyle w:val="Heading2"/>
      </w:pPr>
      <w:r>
        <w:t xml:space="preserve">Secondary Use Cases</w:t>
      </w:r>
    </w:p>
    <w:p>
      <w:pPr>
        <w:pStyle w:val="ListParagraph"/>
        <w:numPr>
          <w:ilvl w:val="0"/>
          <w:numId w:val="2"/>
        </w:numPr>
        <w:spacing w:after="80"/>
      </w:pPr>
      <w:r>
        <w:t xml:space="preserve">Caregiver managing a family member’s diet across multiple conditions</w:t>
      </w:r>
    </w:p>
    <w:p>
      <w:pPr>
        <w:pStyle w:val="ListParagraph"/>
        <w:numPr>
          <w:ilvl w:val="0"/>
          <w:numId w:val="2"/>
        </w:numPr>
        <w:spacing w:after="80"/>
      </w:pPr>
      <w:r>
        <w:t xml:space="preserve">Recently diagnosed patient seeking dietary intervention before or alongside medication</w:t>
      </w:r>
    </w:p>
    <w:p>
      <w:pPr>
        <w:pStyle w:val="ListParagraph"/>
        <w:numPr>
          <w:ilvl w:val="0"/>
          <w:numId w:val="2"/>
        </w:numPr>
        <w:spacing w:after="80"/>
      </w:pPr>
      <w:r>
        <w:t xml:space="preserve">Patient whose conditions or medications changed and who needs updated guidance</w:t>
      </w:r>
    </w:p>
    <w:p>
      <w:pPr>
        <w:pStyle w:val="ListParagraph"/>
        <w:numPr>
          <w:ilvl w:val="0"/>
          <w:numId w:val="2"/>
        </w:numPr>
        <w:spacing w:after="80"/>
      </w:pPr>
      <w:r>
        <w:t xml:space="preserve">Individuals at hereditary risk taking preventative dietary measures</w:t>
      </w:r>
    </w:p>
    <w:p>
      <w:pPr>
        <w:pStyle w:val="ListParagraph"/>
        <w:numPr>
          <w:ilvl w:val="0"/>
          <w:numId w:val="2"/>
        </w:numPr>
        <w:spacing w:after="80"/>
      </w:pPr>
      <w:r>
        <w:t xml:space="preserve">Patients on multiple medications who must avoid dangerous food-drug interactions</w:t>
      </w:r>
    </w:p>
    <w:p>
      <w:pPr>
        <w:pStyle w:val="ListParagraph"/>
        <w:numPr>
          <w:ilvl w:val="0"/>
          <w:numId w:val="2"/>
        </w:numPr>
        <w:spacing w:after="80"/>
      </w:pPr>
      <w:r>
        <w:t xml:space="preserve">Shopper or diner who wants a quick answer on a specific food item</w:t>
      </w:r>
    </w:p>
    <w:p>
      <w:pPr>
        <w:pStyle w:val="Heading1"/>
      </w:pPr>
      <w:r>
        <w:t xml:space="preserve">4. Target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40+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Multiple chronic conditions and comorbidities (diabetes, hypertension, heart disease, CKD,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Motivation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Recent diagnosis or checkup — seeking dietary and lifestyle solutions before or alongside conventional treatments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Pain 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Cannot find helpful, actionable food guidance that fully applies to their personal health situation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 comfort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Familiar with smartphone apps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Platform behavior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Indexes heavily on Facebook and YouTube; searches Google for health information (Pew Research Center)</w:t>
            </w:r>
          </w:p>
        </w:tc>
      </w:tr>
    </w:tbl>
    <w:p>
      <w:pPr>
        <w:spacing w:after="120"/>
      </w:pPr>
    </w:p>
    <w:p>
      <w:pPr>
        <w:spacing w:after="120"/>
      </w:pPr>
      <w:r>
        <w:rPr>
          <w:b/>
          <w:bCs/>
        </w:rPr>
        <w:t xml:space="preserve">User = buyer. </w:t>
      </w:r>
      <w:r>
        <w:t xml:space="preserve">The app is aimed at consumers; the user and the buyer are the same person — the patient.</w:t>
      </w:r>
    </w:p>
    <w:p>
      <w:pPr>
        <w:pStyle w:val="Heading2"/>
      </w:pPr>
      <w:r>
        <w:t xml:space="preserve">Market Size</w:t>
      </w:r>
    </w:p>
    <w:p>
      <w:pPr>
        <w:pStyle w:val="ListParagraph"/>
        <w:numPr>
          <w:ilvl w:val="0"/>
          <w:numId w:val="2"/>
        </w:numPr>
        <w:spacing w:after="80"/>
      </w:pPr>
      <w:r>
        <w:t xml:space="preserve">129 million Americans (nearly 60% of adults) live with at least one major chronic condition (CDC, 2023)</w:t>
      </w:r>
    </w:p>
    <w:p>
      <w:pPr>
        <w:pStyle w:val="ListParagraph"/>
        <w:numPr>
          <w:ilvl w:val="0"/>
          <w:numId w:val="2"/>
        </w:numPr>
        <w:spacing w:after="80"/>
      </w:pPr>
      <w:r>
        <w:t xml:space="preserve">About 52 million US adults (40%) have two or more chronic conditions — the primary addressable segment</w:t>
      </w:r>
    </w:p>
    <w:p>
      <w:pPr>
        <w:pStyle w:val="ListParagraph"/>
        <w:numPr>
          <w:ilvl w:val="0"/>
          <w:numId w:val="2"/>
        </w:numPr>
        <w:spacing w:after="80"/>
      </w:pPr>
      <w:r>
        <w:t xml:space="preserve">The market is not limited to the US; English-speaking international users are part of the addressable audience</w:t>
      </w:r>
    </w:p>
    <w:p>
      <w:pPr>
        <w:pStyle w:val="Heading1"/>
      </w:pPr>
      <w:r>
        <w:t xml:space="preserve">5. Features (in build order)</w:t>
      </w:r>
    </w:p>
    <w:p>
      <w:pPr>
        <w:spacing w:after="120"/>
      </w:pPr>
      <w:r>
        <w:t xml:space="preserve">Features 1–3 form the core of the product and will be built end-to-end first, so there is always a working, demoable app. Features 4–5 are enhancements built after the core works.</w:t>
      </w:r>
    </w:p>
    <w:p>
      <w:pPr>
        <w:pStyle w:val="Heading2"/>
      </w:pPr>
      <w:r>
        <w:t xml:space="preserve">5.1  Health Profile</w:t>
      </w:r>
    </w:p>
    <w:p>
      <w:pPr>
        <w:spacing w:after="120"/>
      </w:pPr>
      <w:r>
        <w:t xml:space="preserve">Everything in the app depends on the profile. Entered once, editable any time; recommendations adjust as conditions or medications change.</w:t>
      </w:r>
    </w:p>
    <w:p>
      <w:pPr>
        <w:pStyle w:val="ListParagraph"/>
        <w:numPr>
          <w:ilvl w:val="0"/>
          <w:numId w:val="2"/>
        </w:numPr>
        <w:spacing w:after="80"/>
      </w:pPr>
      <w:r>
        <w:t xml:space="preserve">Conditions (up to 3 in v1)</w:t>
      </w:r>
    </w:p>
    <w:p>
      <w:pPr>
        <w:pStyle w:val="ListParagraph"/>
        <w:numPr>
          <w:ilvl w:val="0"/>
          <w:numId w:val="2"/>
        </w:numPr>
        <w:spacing w:after="80"/>
      </w:pPr>
      <w:r>
        <w:t xml:space="preserve">Medications — enables drug-nutrient interaction awareness</w:t>
      </w:r>
    </w:p>
    <w:p>
      <w:pPr>
        <w:pStyle w:val="ListParagraph"/>
        <w:numPr>
          <w:ilvl w:val="0"/>
          <w:numId w:val="2"/>
        </w:numPr>
        <w:spacing w:after="80"/>
      </w:pPr>
      <w:r>
        <w:t xml:space="preserve">Food allergies and intolerances</w:t>
      </w:r>
    </w:p>
    <w:p>
      <w:pPr>
        <w:pStyle w:val="ListParagraph"/>
        <w:numPr>
          <w:ilvl w:val="0"/>
          <w:numId w:val="2"/>
        </w:numPr>
        <w:spacing w:after="80"/>
      </w:pPr>
      <w:r>
        <w:t xml:space="preserve">Dietary restrictions: vegetarian, vegan, halal, kosher, cultural</w:t>
      </w:r>
    </w:p>
    <w:p>
      <w:pPr>
        <w:pStyle w:val="ListParagraph"/>
        <w:numPr>
          <w:ilvl w:val="0"/>
          <w:numId w:val="2"/>
        </w:numPr>
        <w:spacing w:after="80"/>
      </w:pPr>
      <w:r>
        <w:rPr>
          <w:b/>
          <w:bCs/>
        </w:rPr>
        <w:t xml:space="preserve">Taste preferences (10-second swipe): </w:t>
      </w:r>
      <w:r>
        <w:t xml:space="preserve">a quick like/dislike swipe through common foods. Taste never overrides the health logic — foods harmful to the user’s profile are excluded no matter what. Taste only orders the foods and recipes the engine has already approved, so the plan the user receives is one they will actually follow. Dislikes are weighted most heavily.</w:t>
      </w:r>
    </w:p>
    <w:p>
      <w:pPr>
        <w:pStyle w:val="Heading2"/>
      </w:pPr>
      <w:r>
        <w:t xml:space="preserve">5.2  Most Helpful Foods — the main feature</w:t>
      </w:r>
    </w:p>
    <w:p>
      <w:pPr>
        <w:spacing w:after="120"/>
      </w:pPr>
      <w:r>
        <w:t xml:space="preserve">One screen that answers the main question: what should I be eating? The app shows the foods most helpful for the user’s full profile — vegetables, fruits, nuts and seeds, fish, and other categories — ranked by the Personal Remedies engine. Foods harmful to the profile are listed to avoid.</w:t>
      </w:r>
    </w:p>
    <w:p>
      <w:pPr>
        <w:spacing w:after="120"/>
      </w:pPr>
      <w:r>
        <w:t xml:space="preserve">This is the user’s shopping list and the heart of the product. The user walks into the grocery store already knowing what to buy. In v1 this is a ranked food guide plus recipes — not a day-by-day meal calendar. The calendar format is a candidate for a later version.</w:t>
      </w:r>
    </w:p>
    <w:p>
      <w:pPr>
        <w:pStyle w:val="Heading2"/>
      </w:pPr>
      <w:r>
        <w:t xml:space="preserve">5.3  Recipe Suggestions</w:t>
      </w:r>
    </w:p>
    <w:p>
      <w:pPr>
        <w:spacing w:after="120"/>
      </w:pPr>
      <w:r>
        <w:t xml:space="preserve">Recipes from the Personal Remedies knowledgebase, built from the user’s helpful foods. Per the engine’s output, the top helpful foods are shown first, then recipe suggestions follow.</w:t>
      </w:r>
    </w:p>
    <w:p>
      <w:pPr>
        <w:pStyle w:val="ListParagraph"/>
        <w:numPr>
          <w:ilvl w:val="0"/>
          <w:numId w:val="2"/>
        </w:numPr>
        <w:spacing w:after="80"/>
      </w:pPr>
      <w:r>
        <w:t xml:space="preserve">Only condition-approved recipes ever appear — harmful foods never surface</w:t>
      </w:r>
    </w:p>
    <w:p>
      <w:pPr>
        <w:pStyle w:val="ListParagraph"/>
        <w:numPr>
          <w:ilvl w:val="0"/>
          <w:numId w:val="2"/>
        </w:numPr>
        <w:spacing w:after="80"/>
      </w:pPr>
      <w:r>
        <w:t xml:space="preserve">Approved recipes are ordered by the user’s taste preferences</w:t>
      </w:r>
    </w:p>
    <w:p>
      <w:pPr>
        <w:pStyle w:val="ListParagraph"/>
        <w:numPr>
          <w:ilvl w:val="0"/>
          <w:numId w:val="2"/>
        </w:numPr>
        <w:spacing w:after="80"/>
      </w:pPr>
      <w:r>
        <w:t xml:space="preserve">Users can save recipes to revisit and dismiss ones they dislike (optional, never required)</w:t>
      </w:r>
    </w:p>
    <w:p>
      <w:pPr>
        <w:pStyle w:val="Heading2"/>
      </w:pPr>
      <w:r>
        <w:t xml:space="preserve">5.4  “See the Studies”</w:t>
      </w:r>
    </w:p>
    <w:p>
      <w:pPr>
        <w:spacing w:after="120"/>
      </w:pPr>
      <w:r>
        <w:t xml:space="preserve">Behind each food recommendation, the user can expand a list of published references for that food-condition pair, drawn directly from the knowledgebase. This is the credibility engine of the app: for a medical decision, citations are a stronger trust signal than star ratings. Built as a simple expandable list — the knowledgebase provides references per food-condition pair, not synthesized explanations.</w:t>
      </w:r>
    </w:p>
    <w:p>
      <w:pPr>
        <w:pStyle w:val="Heading2"/>
      </w:pPr>
      <w:r>
        <w:t xml:space="preserve">5.5  Food Lookup</w:t>
      </w:r>
    </w:p>
    <w:p>
      <w:pPr>
        <w:spacing w:after="120"/>
      </w:pPr>
      <w:r>
        <w:t xml:space="preserve">The user can type or select a single food or ingredient and see whether it is helpful or harmful for their profile, with references. Useful at a restaurant or in a grocery aisle.</w:t>
      </w:r>
    </w:p>
    <w:p>
      <w:pPr>
        <w:pStyle w:val="ListParagraph"/>
        <w:numPr>
          <w:ilvl w:val="0"/>
          <w:numId w:val="2"/>
        </w:numPr>
        <w:spacing w:after="80"/>
      </w:pPr>
      <w:r>
        <w:t xml:space="preserve">Covers items in the Personal Remedies knowledgebase only</w:t>
      </w:r>
    </w:p>
    <w:p>
      <w:pPr>
        <w:pStyle w:val="ListParagraph"/>
        <w:numPr>
          <w:ilvl w:val="0"/>
          <w:numId w:val="2"/>
        </w:numPr>
        <w:spacing w:after="80"/>
      </w:pPr>
      <w:r>
        <w:t xml:space="preserve">For unknown items, the app simply says it does not know — no guessing</w:t>
      </w:r>
    </w:p>
    <w:p>
      <w:pPr>
        <w:pStyle w:val="ListParagraph"/>
        <w:numPr>
          <w:ilvl w:val="0"/>
          <w:numId w:val="2"/>
        </w:numPr>
        <w:spacing w:after="80"/>
      </w:pPr>
      <w:r>
        <w:t xml:space="preserve">Built last and kept thin; the database can always be expanded later</w:t>
      </w:r>
    </w:p>
    <w:p>
      <w:pPr>
        <w:pStyle w:val="Heading1"/>
      </w:pPr>
      <w:r>
        <w:t xml:space="preserve">6. Deliberately Out of Scope for v1</w:t>
      </w:r>
    </w:p>
    <w:p>
      <w:pPr>
        <w:spacing w:after="120"/>
      </w:pPr>
      <w:r>
        <w:t xml:space="preserve">Per the guiding principle: every added feature delays launch, adds build effort, and makes the app harder to use.</w:t>
      </w:r>
    </w:p>
    <w:p>
      <w:pPr>
        <w:pStyle w:val="ListParagraph"/>
        <w:numPr>
          <w:ilvl w:val="0"/>
          <w:numId w:val="2"/>
        </w:numPr>
        <w:spacing w:after="80"/>
      </w:pPr>
      <w:r>
        <w:t xml:space="preserve">Photo scanning of labels, recipes, or receipts (revisit in v1.1 if lookup demand proves out)</w:t>
      </w:r>
    </w:p>
    <w:p>
      <w:pPr>
        <w:pStyle w:val="ListParagraph"/>
        <w:numPr>
          <w:ilvl w:val="0"/>
          <w:numId w:val="2"/>
        </w:numPr>
        <w:spacing w:after="80"/>
      </w:pPr>
      <w:r>
        <w:t xml:space="preserve">Aggregate “eat / don’t eat” scores — the engine gives direction (helpful/harmful), not magnitude; the app shows flags and counts, never an invented number</w:t>
      </w:r>
    </w:p>
    <w:p>
      <w:pPr>
        <w:pStyle w:val="ListParagraph"/>
        <w:numPr>
          <w:ilvl w:val="0"/>
          <w:numId w:val="2"/>
        </w:numPr>
        <w:spacing w:after="80"/>
      </w:pPr>
      <w:r>
        <w:t xml:space="preserve">Third-party recipe sources (Edamam) — the knowledgebase’s own recipes are used</w:t>
      </w:r>
    </w:p>
    <w:p>
      <w:pPr>
        <w:pStyle w:val="ListParagraph"/>
        <w:numPr>
          <w:ilvl w:val="0"/>
          <w:numId w:val="2"/>
        </w:numPr>
        <w:spacing w:after="80"/>
      </w:pPr>
      <w:r>
        <w:t xml:space="preserve">Crowd ratings — study references and recipe quality serve as the trust signals</w:t>
      </w:r>
    </w:p>
    <w:p>
      <w:pPr>
        <w:pStyle w:val="ListParagraph"/>
        <w:numPr>
          <w:ilvl w:val="0"/>
          <w:numId w:val="2"/>
        </w:numPr>
        <w:spacing w:after="80"/>
      </w:pPr>
      <w:r>
        <w:t xml:space="preserve">Paywall and pricing logic — v1 ships free; the paid tier will be designed around observed usage</w:t>
      </w:r>
    </w:p>
    <w:p>
      <w:pPr>
        <w:pStyle w:val="ListParagraph"/>
        <w:numPr>
          <w:ilvl w:val="0"/>
          <w:numId w:val="2"/>
        </w:numPr>
        <w:spacing w:after="80"/>
      </w:pPr>
      <w:r>
        <w:t xml:space="preserve">Food logging, diet tracking, streaks, badges, calorie or macro counting</w:t>
      </w:r>
    </w:p>
    <w:p>
      <w:pPr>
        <w:pStyle w:val="ListParagraph"/>
        <w:numPr>
          <w:ilvl w:val="0"/>
          <w:numId w:val="2"/>
        </w:numPr>
        <w:spacing w:after="80"/>
      </w:pPr>
      <w:r>
        <w:t xml:space="preserve">Food delivery, multi-user/caregiver profiles, social features, telehealth, symptom checking</w:t>
      </w:r>
    </w:p>
    <w:p>
      <w:pPr>
        <w:spacing w:after="120"/>
      </w:pPr>
      <w:r>
        <w:t xml:space="preserve">The app is not a replacement for medical advice; all guidance is nutritional and educational, not clinical or prescriptive.</w:t>
      </w:r>
    </w:p>
    <w:p>
      <w:pPr>
        <w:pStyle w:val="Heading1"/>
      </w:pPr>
      <w:r>
        <w:t xml:space="preserve">7. Success Criteria</w:t>
      </w:r>
    </w:p>
    <w:p>
      <w:pPr>
        <w:spacing w:after="120"/>
      </w:pPr>
      <w:r>
        <w:t xml:space="preserve">Metrics measure the product’s actual loop: enter a profile, receive the plan, come back for it. The most important number is whether users return in week two — a food guide that gets screenshotted once and abandoned is a failure even at high signup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0"/>
        <w:gridCol w:w="2160"/>
        <w:gridCol w:w="3780"/>
      </w:tblGrid>
      <w:tr>
        <w:tc>
          <w:tcPr>
            <w:tcW w:type="dxa" w:w="3420"/>
            <w:tcBorders>
              <w:top w:val="single" w:color="CCCCCC" w:sz="1"/>
              <w:left w:val="single" w:color="CCCCCC" w:sz="1"/>
              <w:bottom w:val="single" w:color="CCCCCC" w:sz="1"/>
              <w:right w:val="single" w:color="CCCCCC" w:sz="1"/>
            </w:tcBorders>
            <w:shd w:fill="EFE9DC" w:val="clear"/>
            <w:tcMar>
              <w:top w:type="dxa" w:w="80"/>
              <w:left w:type="dxa" w:w="120"/>
              <w:bottom w:type="dxa" w:w="80"/>
              <w:right w:type="dxa" w:w="120"/>
            </w:tcMar>
          </w:tcPr>
          <w:p>
            <w:r>
              <w:rPr>
                <w:b/>
                <w:bCs/>
              </w:rPr>
              <w:t xml:space="preserve">Metric</w:t>
            </w:r>
          </w:p>
        </w:tc>
        <w:tc>
          <w:tcPr>
            <w:tcW w:type="dxa" w:w="2160"/>
            <w:tcBorders>
              <w:top w:val="single" w:color="CCCCCC" w:sz="1"/>
              <w:left w:val="single" w:color="CCCCCC" w:sz="1"/>
              <w:bottom w:val="single" w:color="CCCCCC" w:sz="1"/>
              <w:right w:val="single" w:color="CCCCCC" w:sz="1"/>
            </w:tcBorders>
            <w:shd w:fill="EFE9DC" w:val="clear"/>
            <w:tcMar>
              <w:top w:type="dxa" w:w="80"/>
              <w:left w:type="dxa" w:w="120"/>
              <w:bottom w:type="dxa" w:w="80"/>
              <w:right w:type="dxa" w:w="120"/>
            </w:tcMar>
          </w:tcPr>
          <w:p>
            <w:r>
              <w:rPr>
                <w:b/>
                <w:bCs/>
              </w:rPr>
              <w:t xml:space="preserve">Target (60 days)</w:t>
            </w:r>
          </w:p>
        </w:tc>
        <w:tc>
          <w:tcPr>
            <w:tcW w:type="dxa" w:w="3780"/>
            <w:tcBorders>
              <w:top w:val="single" w:color="CCCCCC" w:sz="1"/>
              <w:left w:val="single" w:color="CCCCCC" w:sz="1"/>
              <w:bottom w:val="single" w:color="CCCCCC" w:sz="1"/>
              <w:right w:val="single" w:color="CCCCCC" w:sz="1"/>
            </w:tcBorders>
            <w:shd w:fill="EFE9DC" w:val="clear"/>
            <w:tcMar>
              <w:top w:type="dxa" w:w="80"/>
              <w:left w:type="dxa" w:w="120"/>
              <w:bottom w:type="dxa" w:w="80"/>
              <w:right w:type="dxa" w:w="120"/>
            </w:tcMar>
          </w:tcPr>
          <w:p>
            <w:r>
              <w:rPr>
                <w:b/>
                <w:bCs/>
              </w:rPr>
              <w:t xml:space="preserve">Why it matters</w:t>
            </w:r>
          </w:p>
        </w:tc>
      </w:tr>
      <w:tr>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Complete profiles created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Proves engagement beyond first open</w:t>
            </w:r>
          </w:p>
        </w:tc>
      </w:tr>
      <w:tr>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Profiles that view their foods list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Validates the core deliverable lands</w:t>
            </w:r>
          </w:p>
        </w:tc>
      </w:tr>
      <w:tr>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Week-2 return rate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truth metric — do users come back for the plan?</w:t>
            </w:r>
          </w:p>
        </w:tc>
      </w:tr>
      <w:tr>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Monthly active users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Validates consumer demand</w:t>
            </w:r>
          </w:p>
        </w:tc>
      </w:tr>
    </w:tbl>
    <w:p>
      <w:pPr>
        <w:spacing w:after="120"/>
      </w:pPr>
    </w:p>
    <w:p>
      <w:pPr>
        <w:spacing w:after="120"/>
      </w:pPr>
      <w:r>
        <w:t xml:space="preserve">Secondary milestone (4 months post-launch): </w:t>
      </w:r>
      <w:r>
        <w:rPr>
          <w:b/>
          <w:bCs/>
        </w:rPr>
        <w:t xml:space="preserve">5,000 MAU</w:t>
      </w:r>
      <w:r>
        <w:t xml:space="preserve"> — the threshold to begin B2B conversations with health systems and insurers.</w:t>
      </w:r>
    </w:p>
    <w:p>
      <w:pPr>
        <w:pStyle w:val="Heading2"/>
      </w:pPr>
      <w:r>
        <w:t xml:space="preserve">Promotion Plan</w:t>
      </w:r>
    </w:p>
    <w:p>
      <w:pPr>
        <w:pStyle w:val="ListParagraph"/>
        <w:numPr>
          <w:ilvl w:val="0"/>
          <w:numId w:val="2"/>
        </w:numPr>
        <w:spacing w:after="80"/>
      </w:pPr>
      <w:r>
        <w:rPr>
          <w:b/>
          <w:bCs/>
        </w:rPr>
        <w:t xml:space="preserve">Phase 1 — Organic (launch to day 30, $0 spend): </w:t>
      </w:r>
      <w:r>
        <w:t xml:space="preserve">condition-specific Facebook groups and Reddit communities, YouTube and Google SEO content, and the existing Personal Remedies app portfolio repurposed as niche-keyword feeder traffic into the central app. Gate to Phase 2: 100+ complete profiles created organically.</w:t>
      </w:r>
    </w:p>
    <w:p>
      <w:pPr>
        <w:pStyle w:val="ListParagraph"/>
        <w:numPr>
          <w:ilvl w:val="0"/>
          <w:numId w:val="2"/>
        </w:numPr>
        <w:spacing w:after="80"/>
      </w:pPr>
      <w:r>
        <w:rPr>
          <w:b/>
          <w:bCs/>
        </w:rPr>
        <w:t xml:space="preserve">Phase 2 — Paid test (day 30+, $500/month): </w:t>
      </w:r>
      <w:r>
        <w:t xml:space="preserve">paid social on Facebook targeting ages 45–64 with condition-related interests; creative emphasizing the personalized food plan. Scaled only as click-through and conversion prove out.</w:t>
      </w:r>
    </w:p>
    <w:p>
      <w:pPr>
        <w:pStyle w:val="Heading1"/>
      </w:pPr>
      <w:r>
        <w:t xml:space="preserve">8. Open Items to Confirm Before Build</w:t>
      </w:r>
    </w:p>
    <w:p>
      <w:pPr>
        <w:pStyle w:val="ListParagraph"/>
        <w:numPr>
          <w:ilvl w:val="0"/>
          <w:numId w:val="3"/>
        </w:numPr>
        <w:spacing w:after="80"/>
      </w:pPr>
      <w:r>
        <w:t xml:space="preserve">Does the API expose a “top helpful foods for this profile” query directly? If only per-food lookup exists, the ranked list requires a different build approach — this shapes the architecture.</w:t>
      </w:r>
    </w:p>
    <w:p>
      <w:pPr>
        <w:pStyle w:val="ListParagraph"/>
        <w:numPr>
          <w:ilvl w:val="0"/>
          <w:numId w:val="3"/>
        </w:numPr>
        <w:spacing w:after="80"/>
      </w:pPr>
      <w:r>
        <w:t xml:space="preserve">Does the API return study references per food-condition pair? The “See the Studies” feature rests on this.</w:t>
      </w:r>
    </w:p>
    <w:p>
      <w:pPr>
        <w:pStyle w:val="ListParagraph"/>
        <w:numPr>
          <w:ilvl w:val="0"/>
          <w:numId w:val="3"/>
        </w:numPr>
        <w:spacing w:after="80"/>
      </w:pPr>
      <w:r>
        <w:t xml:space="preserve">Roughly how many recipes are in the knowledgebase, and are they condition-tagged? If volume is thin, recipe suggestions get repetitive and a supplemental source may need revisiting.</w:t>
      </w:r>
    </w:p>
    <w:p>
      <w:pPr>
        <w:pStyle w:val="Heading1"/>
      </w:pPr>
      <w:r>
        <w:t xml:space="preserve">9. Technical Notes (Approach, Not Architecture)</w:t>
      </w:r>
    </w:p>
    <w:p>
      <w:pPr>
        <w:pStyle w:val="ListParagraph"/>
        <w:numPr>
          <w:ilvl w:val="0"/>
          <w:numId w:val="2"/>
        </w:numPr>
        <w:spacing w:after="80"/>
      </w:pPr>
      <w:r>
        <w:rPr>
          <w:b/>
          <w:bCs/>
        </w:rPr>
        <w:t xml:space="preserve">Clinical intelligence: </w:t>
      </w:r>
      <w:r>
        <w:t xml:space="preserve">the Personal Remedies (Nutridigm) API — per-food helpful/harmful assessment across 300+ conditions, multi-condition reconciliation, drug-nutrient interaction awareness, and study references per food-condition pair.</w:t>
      </w:r>
    </w:p>
    <w:p>
      <w:pPr>
        <w:pStyle w:val="ListParagraph"/>
        <w:numPr>
          <w:ilvl w:val="0"/>
          <w:numId w:val="2"/>
        </w:numPr>
        <w:spacing w:after="80"/>
      </w:pPr>
      <w:r>
        <w:rPr>
          <w:b/>
          <w:bCs/>
        </w:rPr>
        <w:t xml:space="preserve">Recipes: </w:t>
      </w:r>
      <w:r>
        <w:t xml:space="preserve">sourced from the Personal Remedies knowledgebase; no third-party recipe API in v1.</w:t>
      </w:r>
    </w:p>
    <w:p>
      <w:pPr>
        <w:pStyle w:val="ListParagraph"/>
        <w:numPr>
          <w:ilvl w:val="0"/>
          <w:numId w:val="2"/>
        </w:numPr>
        <w:spacing w:after="80"/>
      </w:pPr>
      <w:r>
        <w:rPr>
          <w:b/>
          <w:bCs/>
        </w:rPr>
        <w:t xml:space="preserve">Platform: </w:t>
      </w:r>
      <w:r>
        <w:t xml:space="preserve">mobile-optimized Progressive Web App (PWA) first for fastest time-to-market; native app conversion planned after traction.</w:t>
      </w:r>
    </w:p>
    <w:p>
      <w:pPr>
        <w:pStyle w:val="ListParagraph"/>
        <w:numPr>
          <w:ilvl w:val="0"/>
          <w:numId w:val="2"/>
        </w:numPr>
        <w:spacing w:after="80"/>
      </w:pPr>
      <w:r>
        <w:rPr>
          <w:b/>
          <w:bCs/>
        </w:rPr>
        <w:t xml:space="preserve">Auth and infrastructure: </w:t>
      </w:r>
      <w:r>
        <w:t xml:space="preserve">handled by third-party services; out of scope to specify here.</w:t>
      </w:r>
    </w:p>
    <w:p>
      <w:pPr>
        <w:spacing w:after="120"/>
      </w:pPr>
      <w:r>
        <w:rPr>
          <w:i/>
          <w:iCs/>
        </w:rPr>
        <w:t xml:space="preserve">This document defines what the product does, not how it will be built. Technical architecture and development timeline are addressed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B3A2D"/>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1B3A2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2026-06-12T23:56:24.440Z</dcterms:created>
  <dcterms:modified xsi:type="dcterms:W3CDTF">2026-06-12T23:56:24.440Z</dcterms:modified>
</cp:coreProperties>
</file>

<file path=docProps/custom.xml><?xml version="1.0" encoding="utf-8"?>
<Properties xmlns="http://schemas.openxmlformats.org/officeDocument/2006/custom-properties" xmlns:vt="http://schemas.openxmlformats.org/officeDocument/2006/docPropsVTypes"/>
</file>