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0" w:after="80"/>
      </w:pPr>
      <w:r>
        <w:rPr/>
        <w:t xml:space="preserve">CAHIER DES CHARGES</w:t>
      </w:r>
    </w:p>
    <w:p>
      <w:pPr>
        <w:pStyle w:val="Heading1"/>
        <w:spacing w:before="240" w:after="80"/>
      </w:pPr>
      <w:r>
        <w:rPr/>
        <w:t xml:space="preserve">Tabla Admin</w:t>
      </w:r>
    </w:p>
    <w:p>
      <w:pPr>
        <w:spacing w:before="60" w:after="60"/>
        <w:shd w:val="clear" w:fill="F1ECE3"/>
        <w:pBdr>
          <w:left w:val="single" w:sz="18" w:space="8" w:color="C68A1F"/>
        </w:pBdr>
      </w:pPr>
      <w:r>
        <w:rPr>
          <w:i/>
          <w:color w:val="5A554D"/>
        </w:rPr>
        <w:t xml:space="preserve">« tabla » : la table, le service — Tabla relie l'étiquette au menu, et le menu au convive  Back-office d'administration interne de la plateforme Tabla  pour les équipes Lamiba — pilotage du parc NFC, CRM, facturation, supervision</w:t>
      </w:r>
    </w:p>
    <w:p>
      <w:pPr>
        <w:spacing w:before="0" w:after="80"/>
      </w:pPr>
      <w:r>
        <w:rPr>
          <w:b/>
        </w:rPr>
        <w:t xml:space="preserve">Version 1.0 · Juin 2026</w:t>
      </w:r>
    </w:p>
    <w:p>
      <w:pPr>
        <w:spacing w:before="0" w:after="80"/>
      </w:pPr>
      <w:r>
        <w:rPr>
          <w:b/>
        </w:rPr>
        <w:t xml:space="preserve">Document de cadrage — diffusion restreinte</w:t>
      </w:r>
    </w:p>
    <w:p>
      <w:pPr>
        <w:pBdr>
          <w:bottom w:val="single" w:sz="6" w:space="1" w:color="D6D0C2"/>
        </w:pBdr>
      </w:pPr>
    </w:p>
    <w:p>
      <w:pPr>
        <w:pStyle w:val="Heading1"/>
        <w:spacing w:before="240" w:after="80"/>
      </w:pPr>
      <w:r>
        <w:rPr/>
        <w:t xml:space="preserve">Sommaire</w:t>
      </w:r>
    </w:p>
    <w:p>
      <w:pPr>
        <w:numPr>
          <w:ilvl w:val="0"/>
          <w:numId w:val="1"/>
        </w:numPr>
        <w:spacing w:before="20" w:after="20"/>
      </w:pPr>
      <w:r>
        <w:rPr/>
        <w:t xml:space="preserve">Contexte et problème</w:t>
      </w:r>
    </w:p>
    <w:p>
      <w:pPr>
        <w:numPr>
          <w:ilvl w:val="0"/>
          <w:numId w:val="1"/>
        </w:numPr>
        <w:spacing w:before="20" w:after="20"/>
      </w:pPr>
      <w:r>
        <w:rPr/>
        <w:t xml:space="preserve">Objectifs du projet</w:t>
      </w:r>
    </w:p>
    <w:p>
      <w:pPr>
        <w:numPr>
          <w:ilvl w:val="0"/>
          <w:numId w:val="1"/>
        </w:numPr>
        <w:spacing w:before="20" w:after="20"/>
      </w:pPr>
      <w:r>
        <w:rPr/>
        <w:t xml:space="preserve">Cible et utilisateurs</w:t>
      </w:r>
    </w:p>
    <w:p>
      <w:pPr>
        <w:numPr>
          <w:ilvl w:val="0"/>
          <w:numId w:val="1"/>
        </w:numPr>
        <w:spacing w:before="20" w:after="20"/>
      </w:pPr>
      <w:r>
        <w:rPr/>
        <w:t xml:space="preserve">Principes de conception non négociables</w:t>
      </w:r>
    </w:p>
    <w:p>
      <w:pPr>
        <w:numPr>
          <w:ilvl w:val="0"/>
          <w:numId w:val="1"/>
        </w:numPr>
        <w:spacing w:before="20" w:after="20"/>
      </w:pPr>
      <w:r>
        <w:rPr/>
        <w:t xml:space="preserve">Périmètre fonctionnel</w:t>
      </w:r>
    </w:p>
    <w:p>
      <w:pPr>
        <w:numPr>
          <w:ilvl w:val="0"/>
          <w:numId w:val="1"/>
        </w:numPr>
        <w:spacing w:before="20" w:after="20"/>
      </w:pPr>
      <w:r>
        <w:rPr/>
        <w:t xml:space="preserve">Spécifications fonctionnelles détaillées</w:t>
      </w:r>
    </w:p>
    <w:p>
      <w:pPr>
        <w:numPr>
          <w:ilvl w:val="0"/>
          <w:numId w:val="1"/>
        </w:numPr>
        <w:spacing w:before="20" w:after="20"/>
      </w:pPr>
      <w:r>
        <w:rPr/>
        <w:t xml:space="preserve">Exigences techniques</w:t>
      </w:r>
    </w:p>
    <w:p>
      <w:pPr>
        <w:numPr>
          <w:ilvl w:val="0"/>
          <w:numId w:val="1"/>
        </w:numPr>
        <w:spacing w:before="20" w:after="20"/>
      </w:pPr>
      <w:r>
        <w:rPr/>
        <w:t xml:space="preserve">Exigences non fonctionnelles</w:t>
      </w:r>
    </w:p>
    <w:p>
      <w:pPr>
        <w:numPr>
          <w:ilvl w:val="0"/>
          <w:numId w:val="1"/>
        </w:numPr>
        <w:spacing w:before="20" w:after="20"/>
      </w:pPr>
      <w:r>
        <w:rPr/>
        <w:t xml:space="preserve">Modèle économique</w:t>
      </w:r>
    </w:p>
    <w:p>
      <w:pPr>
        <w:numPr>
          <w:ilvl w:val="0"/>
          <w:numId w:val="1"/>
        </w:numPr>
        <w:spacing w:before="20" w:after="20"/>
      </w:pPr>
      <w:r>
        <w:rPr/>
        <w:t xml:space="preserve">Risques et mitigation</w:t>
      </w:r>
    </w:p>
    <w:p>
      <w:pPr>
        <w:numPr>
          <w:ilvl w:val="0"/>
          <w:numId w:val="1"/>
        </w:numPr>
        <w:spacing w:before="20" w:after="20"/>
      </w:pPr>
      <w:r>
        <w:rPr/>
        <w:t xml:space="preserve">Démarche et lotissement</w:t>
      </w:r>
    </w:p>
    <w:p>
      <w:pPr>
        <w:numPr>
          <w:ilvl w:val="0"/>
          <w:numId w:val="1"/>
        </w:numPr>
        <w:spacing w:before="20" w:after="20"/>
      </w:pPr>
      <w:r>
        <w:rPr/>
        <w:t xml:space="preserve">Critères d'acceptation globaux</w:t>
      </w:r>
    </w:p>
    <w:p>
      <w:pPr>
        <w:numPr>
          <w:ilvl w:val="0"/>
          <w:numId w:val="1"/>
        </w:numPr>
        <w:spacing w:before="20" w:after="20"/>
      </w:pPr>
      <w:r>
        <w:rPr/>
        <w:t xml:space="preserve">Annexes</w:t>
      </w:r>
    </w:p>
    <w:p>
      <w:pPr>
        <w:pBdr>
          <w:bottom w:val="single" w:sz="6" w:space="1" w:color="D6D0C2"/>
        </w:pBdr>
      </w:pPr>
    </w:p>
    <w:p>
      <w:pPr>
        <w:pStyle w:val="Heading1"/>
        <w:spacing w:before="240" w:after="80"/>
      </w:pPr>
      <w:r>
        <w:rPr/>
        <w:t xml:space="preserve">1. Contexte et problème</w:t>
      </w:r>
    </w:p>
    <w:p>
      <w:pPr>
        <w:pStyle w:val="Heading2"/>
        <w:spacing w:before="160" w:after="40"/>
      </w:pPr>
      <w:r>
        <w:rPr/>
        <w:t xml:space="preserve">1.1 Contexte</w:t>
      </w:r>
    </w:p>
    <w:p>
      <w:pPr>
        <w:spacing w:before="0" w:after="80"/>
      </w:pPr>
      <w:r>
        <w:rPr/>
        <w:t xml:space="preserve">Tabla équipe les restaurants d'étiquettes NFC (et de QR de repli) posées sur les tables : le convive approche son téléphone, le menu s'ouvre, il consulte et commande sans installer d'application. Ce qui se présente comme un geste anodin repose en réalité sur un </w:t>
      </w:r>
      <w:r>
        <w:rPr>
          <w:b/>
        </w:rPr>
        <w:t xml:space="preserve">parc IoT industriel</w:t>
      </w:r>
      <w:r>
        <w:rPr/>
        <w:t xml:space="preserve"> — des milliers de puces encodées, livrées, activées, lavées des centaines de fois, puis réformées — qu'il faut provisionner, suivre, sécuriser et facturer à l'échelle.</w:t>
      </w:r>
    </w:p>
    <w:p>
      <w:pPr>
        <w:spacing w:before="0" w:after="80"/>
      </w:pPr>
      <w:r>
        <w:rPr/>
        <w:t xml:space="preserve">La plateforme Tabla se compose de </w:t>
      </w:r>
      <w:r>
        <w:rPr>
          <w:b/>
        </w:rPr>
        <w:t xml:space="preserve">trois produits</w:t>
      </w:r>
      <w:r>
        <w:rPr/>
        <w:t xml:space="preserve"> partageant le même ADN visuel :</w:t>
      </w:r>
    </w:p>
    <w:p>
      <w:pPr>
        <w:numPr>
          <w:ilvl w:val="0"/>
          <w:numId w:val="1"/>
        </w:numPr>
        <w:spacing w:before="20" w:after="20"/>
      </w:pPr>
      <w:r>
        <w:rPr/>
        <w:t xml:space="preserve">la </w:t>
      </w:r>
      <w:r>
        <w:rPr>
          <w:b/>
        </w:rPr>
        <w:t xml:space="preserve">PWA Convive</w:t>
      </w:r>
      <w:r>
        <w:rPr/>
        <w:t xml:space="preserve">, ouverte au tap par le client final ;</w:t>
      </w:r>
    </w:p>
    <w:p>
      <w:pPr>
        <w:numPr>
          <w:ilvl w:val="0"/>
          <w:numId w:val="1"/>
        </w:numPr>
        <w:spacing w:before="20" w:after="20"/>
      </w:pPr>
      <w:r>
        <w:rPr/>
        <w:t xml:space="preserve">la </w:t>
      </w:r>
      <w:r>
        <w:rPr>
          <w:b/>
        </w:rPr>
        <w:t xml:space="preserve">web app Restaurant</w:t>
      </w:r>
      <w:r>
        <w:rPr/>
        <w:t xml:space="preserve">, le back-office du restaurateur ;</w:t>
      </w:r>
    </w:p>
    <w:p>
      <w:pPr>
        <w:numPr>
          <w:ilvl w:val="0"/>
          <w:numId w:val="1"/>
        </w:numPr>
        <w:spacing w:before="20" w:after="20"/>
      </w:pPr>
      <w:r>
        <w:rPr>
          <w:b/>
        </w:rPr>
        <w:t xml:space="preserve">Tabla Admin</w:t>
      </w:r>
      <w:r>
        <w:rPr/>
        <w:t xml:space="preserve"> *(objet de ce document)*, le cockpit interne des équipes Lamiba.</w:t>
      </w:r>
    </w:p>
    <w:p>
      <w:pPr>
        <w:spacing w:before="0" w:after="80"/>
      </w:pPr>
      <w:r>
        <w:rPr/>
        <w:t xml:space="preserve">Ce projet prolonge l'expertise déjà constituée sur la PWA et le back-office restaurateur en l'étendant à un outil radicalement différent d'intention : non plus une interface client soignée et imagée, mais un </w:t>
      </w:r>
      <w:r>
        <w:rPr>
          <w:b/>
        </w:rPr>
        <w:t xml:space="preserve">outil de pilotage opérationnel dense</w:t>
      </w:r>
      <w:r>
        <w:rPr/>
        <w:t xml:space="preserve"> — celui qui inspire la maîtrise et la précision à des équipes qui y passent leurs journées.</w:t>
      </w:r>
    </w:p>
    <w:p>
      <w:pPr>
        <w:pStyle w:val="Heading2"/>
        <w:spacing w:before="160" w:after="40"/>
      </w:pPr>
      <w:r>
        <w:rPr/>
        <w:t xml:space="preserve">1.2 Problème adressé</w:t>
      </w:r>
    </w:p>
    <w:p>
      <w:pPr>
        <w:spacing w:before="0" w:after="80"/>
      </w:pPr>
      <w:r>
        <w:rPr/>
        <w:t xml:space="preserve">Sans cockpit interne, l'opération Tabla pilote « de tête » et dans des tableurs : on ne sait pas en un coup d'œil combien de tags sont morts ce mois-ci, quels lots dérivent en mortalité, quels restaurants sont à risque, ni où part la marge. Cette connaissance est fragile : elle ne se transmet pas, ne se mesure pas, et se dissout dès qu'un opérateur change.</w:t>
      </w:r>
    </w:p>
    <w:p>
      <w:pPr>
        <w:spacing w:before="0" w:after="80"/>
      </w:pPr>
      <w:r>
        <w:rPr/>
        <w:t xml:space="preserve">Le coût de l'absence d'outil n'est pas visible mais bien réel : </w:t>
      </w:r>
      <w:r>
        <w:rPr>
          <w:b/>
        </w:rPr>
        <w:t xml:space="preserve">tags morts non détectés</w:t>
      </w:r>
      <w:r>
        <w:rPr/>
        <w:t xml:space="preserve"> (convives bloqués, image dégradée), </w:t>
      </w:r>
      <w:r>
        <w:rPr>
          <w:b/>
        </w:rPr>
        <w:t xml:space="preserve">capital immobilisé</w:t>
      </w:r>
      <w:r>
        <w:rPr/>
        <w:t xml:space="preserve"> en étiquettes vierges mal réapprovisionnées, </w:t>
      </w:r>
      <w:r>
        <w:rPr>
          <w:b/>
        </w:rPr>
        <w:t xml:space="preserve">impayés</w:t>
      </w:r>
      <w:r>
        <w:rPr/>
        <w:t xml:space="preserve"> qui glissent, </w:t>
      </w:r>
      <w:r>
        <w:rPr>
          <w:b/>
        </w:rPr>
        <w:t xml:space="preserve">comptes à risque</w:t>
      </w:r>
      <w:r>
        <w:rPr/>
        <w:t xml:space="preserve"> qui churnent sans alerte, et </w:t>
      </w:r>
      <w:r>
        <w:rPr>
          <w:b/>
        </w:rPr>
        <w:t xml:space="preserve">décisions d'achat</w:t>
      </w:r>
      <w:r>
        <w:rPr/>
        <w:t xml:space="preserve"> prises au mauvais moment faute de visibilité sur la qualité fournisseur.</w:t>
      </w:r>
    </w:p>
    <w:p>
      <w:pPr>
        <w:pStyle w:val="Heading2"/>
        <w:spacing w:before="160" w:after="40"/>
      </w:pPr>
      <w:r>
        <w:rPr/>
        <w:t xml:space="preserve">1.3 Opportunité</w:t>
      </w:r>
    </w:p>
    <w:p>
      <w:pPr>
        <w:spacing w:before="0" w:after="80"/>
      </w:pPr>
      <w:r>
        <w:rPr/>
        <w:t xml:space="preserve">Le back-office est l'outil qui transforme une opération artisanale en plateforme industrialisable. La difficulté n'est pas conceptuelle mais d'</w:t>
      </w:r>
      <w:r>
        <w:rPr>
          <w:b/>
        </w:rPr>
        <w:t xml:space="preserve">exécution et de densité</w:t>
      </w:r>
      <w:r>
        <w:rPr/>
        <w:t xml:space="preserve"> : un panel admin générique se code en un week-end ; un cockpit où une table dense « ressemble à du Linear ou du Attio, pas à du Bootstrap » — où la fonction prime sur la forme sans que la forme ne cède jamais — est la véritable barrière de qualité. La réussite tient à une condition : qu'un opérationnel, en ouvrant l'outil, ressente « c'est sérieux, c'est précis, je peux faire mon métier ici ».</w:t>
      </w:r>
    </w:p>
    <w:p>
      <w:pPr>
        <w:pBdr>
          <w:bottom w:val="single" w:sz="6" w:space="1" w:color="D6D0C2"/>
        </w:pBdr>
      </w:pPr>
    </w:p>
    <w:p>
      <w:pPr>
        <w:pStyle w:val="Heading1"/>
        <w:spacing w:before="240" w:after="80"/>
      </w:pPr>
      <w:r>
        <w:rPr/>
        <w:t xml:space="preserve">2. Objectifs du projet</w:t>
      </w:r>
    </w:p>
    <w:p>
      <w:pPr>
        <w:pStyle w:val="Heading2"/>
        <w:spacing w:before="160" w:after="40"/>
      </w:pPr>
      <w:r>
        <w:rPr/>
        <w:t xml:space="preserve">2.1 Objectifs produit</w:t>
      </w:r>
    </w:p>
    <w:p>
      <w:pPr>
        <w:numPr>
          <w:ilvl w:val="0"/>
          <w:numId w:val="1"/>
        </w:numPr>
        <w:spacing w:before="20" w:after="20"/>
      </w:pPr>
      <w:r>
        <w:rPr/>
        <w:t xml:space="preserve">Donner, dès la connexion, une </w:t>
      </w:r>
      <w:r>
        <w:rPr>
          <w:b/>
        </w:rPr>
        <w:t xml:space="preserve">vue immédiate de l'état du business</w:t>
      </w:r>
      <w:r>
        <w:rPr/>
        <w:t xml:space="preserve"> : parc, MRR, alertes, santé système, sur un cockpit unique.</w:t>
      </w:r>
    </w:p>
    <w:p>
      <w:pPr>
        <w:numPr>
          <w:ilvl w:val="0"/>
          <w:numId w:val="1"/>
        </w:numPr>
        <w:spacing w:before="20" w:after="20"/>
      </w:pPr>
      <w:r>
        <w:rPr/>
        <w:t xml:space="preserve">Permettre de </w:t>
      </w:r>
      <w:r>
        <w:rPr>
          <w:b/>
        </w:rPr>
        <w:t xml:space="preserve">piloter le parc NFC de bout en bout</w:t>
      </w:r>
      <w:r>
        <w:rPr/>
        <w:t xml:space="preserve"> — du provisionnement d'un lot à la réforme d'un tag — depuis des tables denses, filtrables et actionnables.</w:t>
      </w:r>
    </w:p>
    <w:p>
      <w:pPr>
        <w:numPr>
          <w:ilvl w:val="0"/>
          <w:numId w:val="1"/>
        </w:numPr>
        <w:spacing w:before="20" w:after="20"/>
      </w:pPr>
      <w:r>
        <w:rPr>
          <w:b/>
        </w:rPr>
        <w:t xml:space="preserve">Anticiper plutôt que subir</w:t>
      </w:r>
      <w:r>
        <w:rPr/>
        <w:t xml:space="preserve"> : détecter tags morts, fins de vie, lots à risque et comptes en churn avant qu'ils ne coûtent.</w:t>
      </w:r>
    </w:p>
    <w:p>
      <w:pPr>
        <w:numPr>
          <w:ilvl w:val="0"/>
          <w:numId w:val="1"/>
        </w:numPr>
        <w:spacing w:before="20" w:after="20"/>
      </w:pPr>
      <w:r>
        <w:rPr/>
        <w:t xml:space="preserve">Offrir un outil </w:t>
      </w:r>
      <w:r>
        <w:rPr>
          <w:b/>
        </w:rPr>
        <w:t xml:space="preserve">impeccable en mode sombre</w:t>
      </w:r>
      <w:r>
        <w:rPr/>
        <w:t xml:space="preserve">, utilisé toute la journée, sans surcharge visuelle même sur les écrans les plus denses.</w:t>
      </w:r>
    </w:p>
    <w:p>
      <w:pPr>
        <w:pStyle w:val="Heading2"/>
        <w:spacing w:before="160" w:after="40"/>
      </w:pPr>
      <w:r>
        <w:rPr/>
        <w:t xml:space="preserve">2.2 Objectifs business</w:t>
      </w:r>
    </w:p>
    <w:p>
      <w:pPr>
        <w:numPr>
          <w:ilvl w:val="0"/>
          <w:numId w:val="1"/>
        </w:numPr>
        <w:spacing w:before="20" w:after="20"/>
      </w:pPr>
      <w:r>
        <w:rPr>
          <w:b/>
        </w:rPr>
        <w:t xml:space="preserve">Industrialiser l'opération</w:t>
      </w:r>
      <w:r>
        <w:rPr/>
        <w:t xml:space="preserve"> : réduire le temps de traitement d'un incident, d'un réassort, d'une facture, d'un onboarding.</w:t>
      </w:r>
    </w:p>
    <w:p>
      <w:pPr>
        <w:numPr>
          <w:ilvl w:val="0"/>
          <w:numId w:val="1"/>
        </w:numPr>
        <w:spacing w:before="20" w:after="20"/>
      </w:pPr>
      <w:r>
        <w:rPr>
          <w:b/>
        </w:rPr>
        <w:t xml:space="preserve">Protéger la marge</w:t>
      </w:r>
      <w:r>
        <w:rPr/>
        <w:t xml:space="preserve"> : limiter les pertes (tags morts, impayés, churn) par la détection précoce et la traçabilité.</w:t>
      </w:r>
    </w:p>
    <w:p>
      <w:pPr>
        <w:numPr>
          <w:ilvl w:val="0"/>
          <w:numId w:val="1"/>
        </w:numPr>
        <w:spacing w:before="20" w:after="20"/>
      </w:pPr>
      <w:r>
        <w:rPr>
          <w:b/>
        </w:rPr>
        <w:t xml:space="preserve">Exploiter la donnée NFC comme actif</w:t>
      </w:r>
      <w:r>
        <w:rPr/>
        <w:t xml:space="preserve"> : le taux de repli QR, la mortalité par lot et la qualité fournisseur deviennent des leviers d'arbitrage d'achat et de prédiction.</w:t>
      </w:r>
    </w:p>
    <w:p>
      <w:pPr>
        <w:pStyle w:val="Heading2"/>
        <w:spacing w:before="160" w:after="40"/>
      </w:pPr>
      <w:r>
        <w:rPr/>
        <w:t xml:space="preserve">2.3 Indicateurs de succès (KPI)</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3120"/>
        <w:gridCol w:w="3120"/>
        <w:gridCol w:w="3120"/>
      </w:tblGrid>
      <w:tr>
        <w:trPr>
          <w:tblHeader/>
        </w:trPr>
        <w:tc>
          <w:tcPr>
            <w:tcW w:w="3120" w:type="dxa"/>
            <w:shd w:val="clear" w:fill="1C1A17"/>
            <w:vAlign w:val="center"/>
          </w:tcPr>
          <w:p>
            <w:pPr>
              <w:spacing w:before="20" w:after="20"/>
              <w:shd w:val="clear" w:fill="1C1A17"/>
            </w:pPr>
            <w:r>
              <w:rPr>
                <w:b/>
                <w:color w:val="FAF7F2"/>
                <w:sz w:val="18"/>
              </w:rPr>
              <w:t xml:space="preserve">Indicateur</w:t>
            </w:r>
          </w:p>
        </w:tc>
        <w:tc>
          <w:tcPr>
            <w:tcW w:w="3120" w:type="dxa"/>
            <w:shd w:val="clear" w:fill="1C1A17"/>
            <w:vAlign w:val="center"/>
          </w:tcPr>
          <w:p>
            <w:pPr>
              <w:spacing w:before="20" w:after="20"/>
              <w:shd w:val="clear" w:fill="1C1A17"/>
            </w:pPr>
            <w:r>
              <w:rPr>
                <w:b/>
                <w:color w:val="FAF7F2"/>
                <w:sz w:val="18"/>
              </w:rPr>
              <w:t xml:space="preserve">Cible de référence</w:t>
            </w:r>
          </w:p>
        </w:tc>
        <w:tc>
          <w:tcPr>
            <w:tcW w:w="3120" w:type="dxa"/>
            <w:shd w:val="clear" w:fill="1C1A17"/>
            <w:vAlign w:val="center"/>
          </w:tcPr>
          <w:p>
            <w:pPr>
              <w:spacing w:before="20" w:after="20"/>
              <w:shd w:val="clear" w:fill="1C1A17"/>
            </w:pPr>
            <w:r>
              <w:rPr>
                <w:b/>
                <w:color w:val="FAF7F2"/>
                <w:sz w:val="18"/>
              </w:rPr>
              <w:t xml:space="preserve">Horizon</w:t>
            </w:r>
          </w:p>
        </w:tc>
      </w:tr>
      <w:tr>
        <w:tc>
          <w:tcPr>
            <w:tcW w:w="3120" w:type="dxa"/>
            <w:vAlign w:val="center"/>
          </w:tcPr>
          <w:p>
            <w:pPr>
              <w:spacing w:before="20" w:after="20"/>
            </w:pPr>
            <w:r>
              <w:rPr>
                <w:sz w:val="18"/>
              </w:rPr>
              <w:t xml:space="preserve">Temps de traitement d'une alerte critique</w:t>
            </w:r>
          </w:p>
        </w:tc>
        <w:tc>
          <w:tcPr>
            <w:tcW w:w="3120" w:type="dxa"/>
            <w:vAlign w:val="center"/>
          </w:tcPr>
          <w:p>
            <w:pPr>
              <w:spacing w:before="20" w:after="20"/>
            </w:pPr>
            <w:r>
              <w:rPr>
                <w:sz w:val="18"/>
              </w:rPr>
              <w:t xml:space="preserve">≤ 2 h en journée ouvrée</w:t>
            </w:r>
          </w:p>
        </w:tc>
        <w:tc>
          <w:tcPr>
            <w:tcW w:w="3120" w:type="dxa"/>
            <w:vAlign w:val="center"/>
          </w:tcPr>
          <w:p>
            <w:pPr>
              <w:spacing w:before="20" w:after="20"/>
            </w:pPr>
            <w:r>
              <w:rPr>
                <w:sz w:val="18"/>
              </w:rPr>
              <w:t xml:space="preserve">MVP</w:t>
            </w:r>
          </w:p>
        </w:tc>
      </w:tr>
      <w:tr>
        <w:tc>
          <w:tcPr>
            <w:tcW w:w="3120" w:type="dxa"/>
            <w:vAlign w:val="center"/>
          </w:tcPr>
          <w:p>
            <w:pPr>
              <w:spacing w:before="20" w:after="20"/>
            </w:pPr>
            <w:r>
              <w:rPr>
                <w:sz w:val="18"/>
              </w:rPr>
              <w:t xml:space="preserve">Tags morts détectés avant signalement restaurant</w:t>
            </w:r>
          </w:p>
        </w:tc>
        <w:tc>
          <w:tcPr>
            <w:tcW w:w="3120" w:type="dxa"/>
            <w:vAlign w:val="center"/>
          </w:tcPr>
          <w:p>
            <w:pPr>
              <w:spacing w:before="20" w:after="20"/>
            </w:pPr>
            <w:r>
              <w:rPr>
                <w:sz w:val="18"/>
              </w:rPr>
              <w:t xml:space="preserve">≥ 90 %</w:t>
            </w:r>
          </w:p>
        </w:tc>
        <w:tc>
          <w:tcPr>
            <w:tcW w:w="3120" w:type="dxa"/>
            <w:vAlign w:val="center"/>
          </w:tcPr>
          <w:p>
            <w:pPr>
              <w:spacing w:before="20" w:after="20"/>
            </w:pPr>
            <w:r>
              <w:rPr>
                <w:sz w:val="18"/>
              </w:rPr>
              <w:t xml:space="preserve">MVP + 2 mois</w:t>
            </w:r>
          </w:p>
        </w:tc>
      </w:tr>
      <w:tr>
        <w:tc>
          <w:tcPr>
            <w:tcW w:w="3120" w:type="dxa"/>
            <w:vAlign w:val="center"/>
          </w:tcPr>
          <w:p>
            <w:pPr>
              <w:spacing w:before="20" w:after="20"/>
            </w:pPr>
            <w:r>
              <w:rPr>
                <w:sz w:val="18"/>
              </w:rPr>
              <w:t xml:space="preserve">Part du parc sous supervision active (santé + sécurité)</w:t>
            </w:r>
          </w:p>
        </w:tc>
        <w:tc>
          <w:tcPr>
            <w:tcW w:w="3120" w:type="dxa"/>
            <w:vAlign w:val="center"/>
          </w:tcPr>
          <w:p>
            <w:pPr>
              <w:spacing w:before="20" w:after="20"/>
            </w:pPr>
            <w:r>
              <w:rPr>
                <w:sz w:val="18"/>
              </w:rPr>
              <w:t xml:space="preserve">100 % des NTAG 424</w:t>
            </w:r>
          </w:p>
        </w:tc>
        <w:tc>
          <w:tcPr>
            <w:tcW w:w="3120" w:type="dxa"/>
            <w:vAlign w:val="center"/>
          </w:tcPr>
          <w:p>
            <w:pPr>
              <w:spacing w:before="20" w:after="20"/>
            </w:pPr>
            <w:r>
              <w:rPr>
                <w:sz w:val="18"/>
              </w:rPr>
              <w:t xml:space="preserve">MVP</w:t>
            </w:r>
          </w:p>
        </w:tc>
      </w:tr>
      <w:tr>
        <w:tc>
          <w:tcPr>
            <w:tcW w:w="3120" w:type="dxa"/>
            <w:vAlign w:val="center"/>
          </w:tcPr>
          <w:p>
            <w:pPr>
              <w:spacing w:before="20" w:after="20"/>
            </w:pPr>
            <w:r>
              <w:rPr>
                <w:sz w:val="18"/>
              </w:rPr>
              <w:t xml:space="preserve">Précision du modèle de fin de vie des tags</w:t>
            </w:r>
          </w:p>
        </w:tc>
        <w:tc>
          <w:tcPr>
            <w:tcW w:w="3120" w:type="dxa"/>
            <w:vAlign w:val="center"/>
          </w:tcPr>
          <w:p>
            <w:pPr>
              <w:spacing w:before="20" w:after="20"/>
            </w:pPr>
            <w:r>
              <w:rPr>
                <w:sz w:val="18"/>
              </w:rPr>
              <w:t xml:space="preserve">≥ 90 % vs tags réformés</w:t>
            </w:r>
          </w:p>
        </w:tc>
        <w:tc>
          <w:tcPr>
            <w:tcW w:w="3120" w:type="dxa"/>
            <w:vAlign w:val="center"/>
          </w:tcPr>
          <w:p>
            <w:pPr>
              <w:spacing w:before="20" w:after="20"/>
            </w:pPr>
            <w:r>
              <w:rPr>
                <w:sz w:val="18"/>
              </w:rPr>
              <w:t xml:space="preserve">P2</w:t>
            </w:r>
          </w:p>
        </w:tc>
      </w:tr>
      <w:tr>
        <w:tc>
          <w:tcPr>
            <w:tcW w:w="3120" w:type="dxa"/>
            <w:vAlign w:val="center"/>
          </w:tcPr>
          <w:p>
            <w:pPr>
              <w:spacing w:before="20" w:after="20"/>
            </w:pPr>
            <w:r>
              <w:rPr>
                <w:sz w:val="18"/>
              </w:rPr>
              <w:t xml:space="preserve">Délai moyen de réapprovisionnement sous seuil</w:t>
            </w:r>
          </w:p>
        </w:tc>
        <w:tc>
          <w:tcPr>
            <w:tcW w:w="3120" w:type="dxa"/>
            <w:vAlign w:val="center"/>
          </w:tcPr>
          <w:p>
            <w:pPr>
              <w:spacing w:before="20" w:after="20"/>
            </w:pPr>
            <w:r>
              <w:rPr>
                <w:sz w:val="18"/>
              </w:rPr>
              <w:t xml:space="preserve">≤ 1 cycle d'encodage</w:t>
            </w:r>
          </w:p>
        </w:tc>
        <w:tc>
          <w:tcPr>
            <w:tcW w:w="3120" w:type="dxa"/>
            <w:vAlign w:val="center"/>
          </w:tcPr>
          <w:p>
            <w:pPr>
              <w:spacing w:before="20" w:after="20"/>
            </w:pPr>
            <w:r>
              <w:rPr>
                <w:sz w:val="18"/>
              </w:rPr>
              <w:t xml:space="preserve">P2</w:t>
            </w:r>
          </w:p>
        </w:tc>
      </w:tr>
      <w:tr>
        <w:tc>
          <w:tcPr>
            <w:tcW w:w="3120" w:type="dxa"/>
            <w:vAlign w:val="center"/>
          </w:tcPr>
          <w:p>
            <w:pPr>
              <w:spacing w:before="20" w:after="20"/>
            </w:pPr>
            <w:r>
              <w:rPr>
                <w:sz w:val="18"/>
              </w:rPr>
              <w:t xml:space="preserve">Adoption interne (opérateurs actifs quotidiens)</w:t>
            </w:r>
          </w:p>
        </w:tc>
        <w:tc>
          <w:tcPr>
            <w:tcW w:w="3120" w:type="dxa"/>
            <w:vAlign w:val="center"/>
          </w:tcPr>
          <w:p>
            <w:pPr>
              <w:spacing w:before="20" w:after="20"/>
            </w:pPr>
            <w:r>
              <w:rPr>
                <w:sz w:val="18"/>
              </w:rPr>
              <w:t xml:space="preserve">100 % de l'équipe ops</w:t>
            </w:r>
          </w:p>
        </w:tc>
        <w:tc>
          <w:tcPr>
            <w:tcW w:w="3120" w:type="dxa"/>
            <w:vAlign w:val="center"/>
          </w:tcPr>
          <w:p>
            <w:pPr>
              <w:spacing w:before="20" w:after="20"/>
            </w:pPr>
            <w:r>
              <w:rPr>
                <w:sz w:val="18"/>
              </w:rPr>
              <w:t xml:space="preserve">MVP + 1 mois</w:t>
            </w:r>
          </w:p>
        </w:tc>
      </w:tr>
    </w:tbl>
    <w:p/>
    <w:p>
      <w:pPr>
        <w:pBdr>
          <w:bottom w:val="single" w:sz="6" w:space="1" w:color="D6D0C2"/>
        </w:pBdr>
      </w:pPr>
    </w:p>
    <w:p>
      <w:pPr>
        <w:pStyle w:val="Heading1"/>
        <w:spacing w:before="240" w:after="80"/>
      </w:pPr>
      <w:r>
        <w:rPr/>
        <w:t xml:space="preserve">3. Cible et utilisateurs</w:t>
      </w:r>
    </w:p>
    <w:p>
      <w:pPr>
        <w:pStyle w:val="Heading2"/>
        <w:spacing w:before="160" w:after="40"/>
      </w:pPr>
      <w:r>
        <w:rPr/>
        <w:t xml:space="preserve">3.1 Persona principal</w:t>
      </w:r>
    </w:p>
    <w:p>
      <w:pPr>
        <w:spacing w:before="0" w:after="80"/>
      </w:pPr>
      <w:r>
        <w:rPr>
          <w:b/>
        </w:rPr>
        <w:t xml:space="preserve">L'opérationnel Lamiba (Admin).</w:t>
      </w:r>
      <w:r>
        <w:rPr/>
        <w:t xml:space="preserve"> Illustré par Cissé Issiaka, directeur des opérations. Pilote le parc, le CRM, la facturation et la supervision. Passe ses journées dans l'outil, en mode sombre. Cherche la densité, la précision et la rapidité d'action — pas une démo marketing. Maîtrise les identifiants techniques (UID, short_uid, lots) et attend du mono partout où c'est fonctionnel.</w:t>
      </w:r>
    </w:p>
    <w:p>
      <w:pPr>
        <w:pStyle w:val="Heading2"/>
        <w:spacing w:before="160" w:after="40"/>
      </w:pPr>
      <w:r>
        <w:rPr/>
        <w:t xml:space="preserve">3.2 Personas secondaires</w:t>
      </w:r>
    </w:p>
    <w:p>
      <w:pPr>
        <w:numPr>
          <w:ilvl w:val="0"/>
          <w:numId w:val="1"/>
        </w:numPr>
        <w:spacing w:before="20" w:after="20"/>
      </w:pPr>
      <w:r>
        <w:rPr>
          <w:b/>
        </w:rPr>
        <w:t xml:space="preserve">Le commercial.</w:t>
      </w:r>
      <w:r>
        <w:rPr/>
        <w:t xml:space="preserve"> Gère un portefeuille de restaurants, suit son pipeline d'opportunités et l'onboarding de ses comptes. A besoin d'un CRM dense mais pas du parc technique complet.</w:t>
      </w:r>
    </w:p>
    <w:p>
      <w:pPr>
        <w:numPr>
          <w:ilvl w:val="0"/>
          <w:numId w:val="1"/>
        </w:numPr>
        <w:spacing w:before="20" w:after="20"/>
      </w:pPr>
      <w:r>
        <w:rPr>
          <w:b/>
        </w:rPr>
        <w:t xml:space="preserve">Le gestionnaire de stock / d'atelier.</w:t>
      </w:r>
      <w:r>
        <w:rPr/>
        <w:t xml:space="preserve"> Encode les lots, surveille les stations, gère le réassort et les commandes fournisseurs. Vit dans Provisionnement, Stock et Qualité fournisseur.</w:t>
      </w:r>
    </w:p>
    <w:p>
      <w:pPr>
        <w:numPr>
          <w:ilvl w:val="0"/>
          <w:numId w:val="1"/>
        </w:numPr>
        <w:spacing w:before="20" w:after="20"/>
      </w:pPr>
      <w:r>
        <w:rPr>
          <w:b/>
        </w:rPr>
        <w:t xml:space="preserve">Le rôle Finance.</w:t>
      </w:r>
      <w:r>
        <w:rPr/>
        <w:t xml:space="preserve"> Émet et relance les factures, suit les impayés, gère coupons et catalogue tarifaire.</w:t>
      </w:r>
    </w:p>
    <w:p>
      <w:pPr>
        <w:numPr>
          <w:ilvl w:val="0"/>
          <w:numId w:val="1"/>
        </w:numPr>
        <w:spacing w:before="20" w:after="20"/>
      </w:pPr>
      <w:r>
        <w:rPr>
          <w:b/>
        </w:rPr>
        <w:t xml:space="preserve">Le rôle Conformité / Support.</w:t>
      </w:r>
      <w:r>
        <w:rPr/>
        <w:t xml:space="preserve"> Traite les demandes RGPD, consulte l'audit, répond aux avis.</w:t>
      </w:r>
    </w:p>
    <w:p>
      <w:pPr>
        <w:pStyle w:val="Heading2"/>
        <w:spacing w:before="160" w:after="40"/>
      </w:pPr>
      <w:r>
        <w:rPr/>
        <w:t xml:space="preserve">3.3 Contexte d'usage</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3120"/>
        <w:gridCol w:w="3120"/>
        <w:gridCol w:w="3120"/>
      </w:tblGrid>
      <w:tr>
        <w:trPr>
          <w:tblHeader/>
        </w:trPr>
        <w:tc>
          <w:tcPr>
            <w:tcW w:w="3120" w:type="dxa"/>
            <w:shd w:val="clear" w:fill="1C1A17"/>
            <w:vAlign w:val="center"/>
          </w:tcPr>
          <w:p>
            <w:pPr>
              <w:spacing w:before="20" w:after="20"/>
              <w:shd w:val="clear" w:fill="1C1A17"/>
            </w:pPr>
            <w:r>
              <w:rPr>
                <w:b/>
                <w:color w:val="FAF7F2"/>
                <w:sz w:val="18"/>
              </w:rPr>
              <w:t xml:space="preserve">Dimension</w:t>
            </w:r>
          </w:p>
        </w:tc>
        <w:tc>
          <w:tcPr>
            <w:tcW w:w="3120" w:type="dxa"/>
            <w:shd w:val="clear" w:fill="1C1A17"/>
            <w:vAlign w:val="center"/>
          </w:tcPr>
          <w:p>
            <w:pPr>
              <w:spacing w:before="20" w:after="20"/>
              <w:shd w:val="clear" w:fill="1C1A17"/>
            </w:pPr>
            <w:r>
              <w:rPr>
                <w:b/>
                <w:color w:val="FAF7F2"/>
                <w:sz w:val="18"/>
              </w:rPr>
              <w:t xml:space="preserve">Réalité</w:t>
            </w:r>
          </w:p>
        </w:tc>
        <w:tc>
          <w:tcPr>
            <w:tcW w:w="3120" w:type="dxa"/>
            <w:shd w:val="clear" w:fill="1C1A17"/>
            <w:vAlign w:val="center"/>
          </w:tcPr>
          <w:p>
            <w:pPr>
              <w:spacing w:before="20" w:after="20"/>
              <w:shd w:val="clear" w:fill="1C1A17"/>
            </w:pPr>
            <w:r>
              <w:rPr>
                <w:b/>
                <w:color w:val="FAF7F2"/>
                <w:sz w:val="18"/>
              </w:rPr>
              <w:t xml:space="preserve">Conséquence de conception</w:t>
            </w:r>
          </w:p>
        </w:tc>
      </w:tr>
      <w:tr>
        <w:tc>
          <w:tcPr>
            <w:tcW w:w="3120" w:type="dxa"/>
            <w:vAlign w:val="center"/>
          </w:tcPr>
          <w:p>
            <w:pPr>
              <w:spacing w:before="20" w:after="20"/>
            </w:pPr>
            <w:r>
              <w:rPr>
                <w:sz w:val="18"/>
              </w:rPr>
              <w:t xml:space="preserve">Durée d'usage</w:t>
            </w:r>
          </w:p>
        </w:tc>
        <w:tc>
          <w:tcPr>
            <w:tcW w:w="3120" w:type="dxa"/>
            <w:vAlign w:val="center"/>
          </w:tcPr>
          <w:p>
            <w:pPr>
              <w:spacing w:before="20" w:after="20"/>
            </w:pPr>
            <w:r>
              <w:rPr>
                <w:sz w:val="18"/>
              </w:rPr>
              <w:t xml:space="preserve">Journée entière, sessions longues</w:t>
            </w:r>
          </w:p>
        </w:tc>
        <w:tc>
          <w:tcPr>
            <w:tcW w:w="3120" w:type="dxa"/>
            <w:vAlign w:val="center"/>
          </w:tcPr>
          <w:p>
            <w:pPr>
              <w:spacing w:before="20" w:after="20"/>
            </w:pPr>
            <w:r>
              <w:rPr>
                <w:sz w:val="18"/>
              </w:rPr>
              <w:t xml:space="preserve">Mode sombre impeccable, densité soutenable, pas d'animation gratuite</w:t>
            </w:r>
          </w:p>
        </w:tc>
      </w:tr>
      <w:tr>
        <w:tc>
          <w:tcPr>
            <w:tcW w:w="3120" w:type="dxa"/>
            <w:vAlign w:val="center"/>
          </w:tcPr>
          <w:p>
            <w:pPr>
              <w:spacing w:before="20" w:after="20"/>
            </w:pPr>
            <w:r>
              <w:rPr>
                <w:sz w:val="18"/>
              </w:rPr>
              <w:t xml:space="preserve">Volume de données</w:t>
            </w:r>
          </w:p>
        </w:tc>
        <w:tc>
          <w:tcPr>
            <w:tcW w:w="3120" w:type="dxa"/>
            <w:vAlign w:val="center"/>
          </w:tcPr>
          <w:p>
            <w:pPr>
              <w:spacing w:before="20" w:after="20"/>
            </w:pPr>
            <w:r>
              <w:rPr>
                <w:sz w:val="18"/>
              </w:rPr>
              <w:t xml:space="preserve">2 847 tags, ~300 lots, 87 restaurants</w:t>
            </w:r>
          </w:p>
        </w:tc>
        <w:tc>
          <w:tcPr>
            <w:tcW w:w="3120" w:type="dxa"/>
            <w:vAlign w:val="center"/>
          </w:tcPr>
          <w:p>
            <w:pPr>
              <w:spacing w:before="20" w:after="20"/>
            </w:pPr>
            <w:r>
              <w:rPr>
                <w:sz w:val="18"/>
              </w:rPr>
              <w:t xml:space="preserve">Tables très denses (40–44px), filtres complexes, pagination réelle</w:t>
            </w:r>
          </w:p>
        </w:tc>
      </w:tr>
      <w:tr>
        <w:tc>
          <w:tcPr>
            <w:tcW w:w="3120" w:type="dxa"/>
            <w:vAlign w:val="center"/>
          </w:tcPr>
          <w:p>
            <w:pPr>
              <w:spacing w:before="20" w:after="20"/>
            </w:pPr>
            <w:r>
              <w:rPr>
                <w:sz w:val="18"/>
              </w:rPr>
              <w:t xml:space="preserve">Densité d'information</w:t>
            </w:r>
          </w:p>
        </w:tc>
        <w:tc>
          <w:tcPr>
            <w:tcW w:w="3120" w:type="dxa"/>
            <w:vAlign w:val="center"/>
          </w:tcPr>
          <w:p>
            <w:pPr>
              <w:spacing w:before="20" w:after="20"/>
            </w:pPr>
            <w:r>
              <w:rPr>
                <w:sz w:val="18"/>
              </w:rPr>
              <w:t xml:space="preserve">Maximale, type « cockpit »</w:t>
            </w:r>
          </w:p>
        </w:tc>
        <w:tc>
          <w:tcPr>
            <w:tcW w:w="3120" w:type="dxa"/>
            <w:vAlign w:val="center"/>
          </w:tcPr>
          <w:p>
            <w:pPr>
              <w:spacing w:before="20" w:after="20"/>
            </w:pPr>
            <w:r>
              <w:rPr>
                <w:sz w:val="18"/>
              </w:rPr>
              <w:t xml:space="preserve">Pas de zebra-striping, séparateurs fins, status pills à code couleur strict</w:t>
            </w:r>
          </w:p>
        </w:tc>
      </w:tr>
      <w:tr>
        <w:tc>
          <w:tcPr>
            <w:tcW w:w="3120" w:type="dxa"/>
            <w:vAlign w:val="center"/>
          </w:tcPr>
          <w:p>
            <w:pPr>
              <w:spacing w:before="20" w:after="20"/>
            </w:pPr>
            <w:r>
              <w:rPr>
                <w:sz w:val="18"/>
              </w:rPr>
              <w:t xml:space="preserve">Précision technique</w:t>
            </w:r>
          </w:p>
        </w:tc>
        <w:tc>
          <w:tcPr>
            <w:tcW w:w="3120" w:type="dxa"/>
            <w:vAlign w:val="center"/>
          </w:tcPr>
          <w:p>
            <w:pPr>
              <w:spacing w:before="20" w:after="20"/>
            </w:pPr>
            <w:r>
              <w:rPr>
                <w:sz w:val="18"/>
              </w:rPr>
              <w:t xml:space="preserve">Identifiants hexadécimaux, timestamps</w:t>
            </w:r>
          </w:p>
        </w:tc>
        <w:tc>
          <w:tcPr>
            <w:tcW w:w="3120" w:type="dxa"/>
            <w:vAlign w:val="center"/>
          </w:tcPr>
          <w:p>
            <w:pPr>
              <w:spacing w:before="20" w:after="20"/>
            </w:pPr>
            <w:r>
              <w:rPr>
                <w:sz w:val="18"/>
              </w:rPr>
              <w:t xml:space="preserve">Mono (JetBrains Mono) en usage intensif</w:t>
            </w:r>
          </w:p>
        </w:tc>
      </w:tr>
      <w:tr>
        <w:tc>
          <w:tcPr>
            <w:tcW w:w="3120" w:type="dxa"/>
            <w:vAlign w:val="center"/>
          </w:tcPr>
          <w:p>
            <w:pPr>
              <w:spacing w:before="20" w:after="20"/>
            </w:pPr>
            <w:r>
              <w:rPr>
                <w:sz w:val="18"/>
              </w:rPr>
              <w:t xml:space="preserve">Poste de travail</w:t>
            </w:r>
          </w:p>
        </w:tc>
        <w:tc>
          <w:tcPr>
            <w:tcW w:w="3120" w:type="dxa"/>
            <w:vAlign w:val="center"/>
          </w:tcPr>
          <w:p>
            <w:pPr>
              <w:spacing w:before="20" w:after="20"/>
            </w:pPr>
            <w:r>
              <w:rPr>
                <w:sz w:val="18"/>
              </w:rPr>
              <w:t xml:space="preserve">Desktop 1440px</w:t>
            </w:r>
          </w:p>
        </w:tc>
        <w:tc>
          <w:tcPr>
            <w:tcW w:w="3120" w:type="dxa"/>
            <w:vAlign w:val="center"/>
          </w:tcPr>
          <w:p>
            <w:pPr>
              <w:spacing w:before="20" w:after="20"/>
            </w:pPr>
            <w:r>
              <w:rPr>
                <w:sz w:val="18"/>
              </w:rPr>
              <w:t xml:space="preserve">Optimisation desktop, layout max 1400px</w:t>
            </w:r>
          </w:p>
        </w:tc>
      </w:tr>
      <w:tr>
        <w:tc>
          <w:tcPr>
            <w:tcW w:w="3120" w:type="dxa"/>
            <w:vAlign w:val="center"/>
          </w:tcPr>
          <w:p>
            <w:pPr>
              <w:spacing w:before="20" w:after="20"/>
            </w:pPr>
            <w:r>
              <w:rPr>
                <w:sz w:val="18"/>
              </w:rPr>
              <w:t xml:space="preserve">Hétérogénéité des rôles</w:t>
            </w:r>
          </w:p>
        </w:tc>
        <w:tc>
          <w:tcPr>
            <w:tcW w:w="3120" w:type="dxa"/>
            <w:vAlign w:val="center"/>
          </w:tcPr>
          <w:p>
            <w:pPr>
              <w:spacing w:before="20" w:after="20"/>
            </w:pPr>
            <w:r>
              <w:rPr>
                <w:sz w:val="18"/>
              </w:rPr>
              <w:t xml:space="preserve">Admin, commercial, atelier, finance</w:t>
            </w:r>
          </w:p>
        </w:tc>
        <w:tc>
          <w:tcPr>
            <w:tcW w:w="3120" w:type="dxa"/>
            <w:vAlign w:val="center"/>
          </w:tcPr>
          <w:p>
            <w:pPr>
              <w:spacing w:before="20" w:after="20"/>
            </w:pPr>
            <w:r>
              <w:rPr>
                <w:sz w:val="18"/>
              </w:rPr>
              <w:t xml:space="preserve">Permissions par module, navigation groupée</w:t>
            </w:r>
          </w:p>
        </w:tc>
      </w:tr>
    </w:tbl>
    <w:p/>
    <w:p>
      <w:pPr>
        <w:pBdr>
          <w:bottom w:val="single" w:sz="6" w:space="1" w:color="D6D0C2"/>
        </w:pBdr>
      </w:pPr>
    </w:p>
    <w:p>
      <w:pPr>
        <w:pStyle w:val="Heading1"/>
        <w:spacing w:before="240" w:after="80"/>
      </w:pPr>
      <w:r>
        <w:rPr/>
        <w:t xml:space="preserve">4. Principes de conception non négociables</w:t>
      </w:r>
    </w:p>
    <w:p>
      <w:pPr>
        <w:spacing w:before="0" w:after="80"/>
      </w:pPr>
      <w:r>
        <w:rPr/>
        <w:t xml:space="preserve">Ces quatre principes priment sur toute autre considération. Toute fonctionnalité qui les contredit est, par défaut, hors périmètre.</w:t>
      </w:r>
    </w:p>
    <w:p>
      <w:pPr>
        <w:pStyle w:val="Heading2"/>
        <w:spacing w:before="160" w:after="40"/>
      </w:pPr>
      <w:r>
        <w:rPr/>
        <w:t xml:space="preserve">4.1 La fonction prime, la forme reste irréprochable</w:t>
      </w:r>
    </w:p>
    <w:p>
      <w:pPr>
        <w:spacing w:before="0" w:after="80"/>
      </w:pPr>
      <w:r>
        <w:rPr/>
        <w:t xml:space="preserve">C'est un outil professionnel interne, pas une vitrine. La densité, la précision et la rapidité d'action passent avant l'esthétique — mais l'esthétique ne cède jamais : si l'on prend un screenshot d'une table dense, ça doit ressembler à du Linear ou du Attio, jamais à un panel admin générique.</w:t>
      </w:r>
    </w:p>
    <w:p>
      <w:pPr>
        <w:pStyle w:val="Heading2"/>
        <w:spacing w:before="160" w:after="40"/>
      </w:pPr>
      <w:r>
        <w:rPr/>
        <w:t xml:space="preserve">4.2 Densité sans surcharge</w:t>
      </w:r>
    </w:p>
    <w:p>
      <w:pPr>
        <w:spacing w:before="0" w:after="80"/>
      </w:pPr>
      <w:r>
        <w:rPr/>
        <w:t xml:space="preserve">L'écran peut être très dense — beaucoup de tables, de filtres, de colonnes — sans jamais donner une sensation de surcharge. La maîtrise visuelle se gagne par la rigueur de l'alignement, la sobriété des ombres et la stricte cohérence des codes couleur, pas par le vide.</w:t>
      </w:r>
    </w:p>
    <w:p>
      <w:pPr>
        <w:pStyle w:val="Heading2"/>
        <w:spacing w:before="160" w:after="40"/>
      </w:pPr>
      <w:r>
        <w:rPr/>
        <w:t xml:space="preserve">4.3 Même ADN que les autres interfaces Tabla</w:t>
      </w:r>
    </w:p>
    <w:p>
      <w:pPr>
        <w:spacing w:before="0" w:after="80"/>
      </w:pPr>
      <w:r>
        <w:rPr/>
        <w:t xml:space="preserve">Palette, typographie et langage de composants (status pills, KPI, avatars) sont </w:t>
      </w:r>
      <w:r>
        <w:rPr>
          <w:b/>
        </w:rPr>
        <w:t xml:space="preserve">partagés</w:t>
      </w:r>
      <w:r>
        <w:rPr/>
        <w:t xml:space="preserve"> avec la PWA Convive et le back-office restaurateur. Tabla Admin se distingue par l'intention (cockpit interne), pas par une rupture visuelle : plus de densité, plus de mono, moins de photographie immersive.</w:t>
      </w:r>
    </w:p>
    <w:p>
      <w:pPr>
        <w:pStyle w:val="Heading2"/>
        <w:spacing w:before="160" w:after="40"/>
      </w:pPr>
      <w:r>
        <w:rPr/>
        <w:t xml:space="preserve">4.4 Mode sombre de premier rang</w:t>
      </w:r>
    </w:p>
    <w:p>
      <w:pPr>
        <w:spacing w:before="0" w:after="80"/>
      </w:pPr>
      <w:r>
        <w:rPr/>
        <w:t xml:space="preserve">Les opérationnels passent leurs journées dans l'outil ; le mode sombre n'est pas une option cosmétique mais une exigence ergonomique. Il doit être impeccable, bâti sur des tokens de couleur, et basculer sans rupture.</w:t>
      </w:r>
    </w:p>
    <w:p>
      <w:pPr>
        <w:pBdr>
          <w:bottom w:val="single" w:sz="6" w:space="1" w:color="D6D0C2"/>
        </w:pBdr>
      </w:pPr>
    </w:p>
    <w:p>
      <w:pPr>
        <w:pStyle w:val="Heading1"/>
        <w:spacing w:before="240" w:after="80"/>
      </w:pPr>
      <w:r>
        <w:rPr/>
        <w:t xml:space="preserve">5. Périmètre fonctionnel</w:t>
      </w:r>
    </w:p>
    <w:p>
      <w:pPr>
        <w:pStyle w:val="Heading2"/>
        <w:spacing w:before="160" w:after="40"/>
      </w:pPr>
      <w:r>
        <w:rPr/>
        <w:t xml:space="preserve">5.1 Périmètre du MVP (V1)</w:t>
      </w:r>
    </w:p>
    <w:p>
      <w:pPr>
        <w:spacing w:before="0" w:after="80"/>
      </w:pPr>
      <w:r>
        <w:rPr/>
        <w:t xml:space="preserve">Le MVP couvre le </w:t>
      </w:r>
      <w:r>
        <w:rPr>
          <w:b/>
        </w:rPr>
        <w:t xml:space="preserve">noyau de pilotage opérationnel</w:t>
      </w:r>
      <w:r>
        <w:rPr/>
        <w:t xml:space="preserve"> sans lequel l'équipe ne peut pas faire son métier :</w:t>
      </w:r>
    </w:p>
    <w:p>
      <w:pPr>
        <w:numPr>
          <w:ilvl w:val="0"/>
          <w:numId w:val="1"/>
        </w:numPr>
        <w:spacing w:before="20" w:after="20"/>
      </w:pPr>
      <w:r>
        <w:rPr>
          <w:b/>
        </w:rPr>
        <w:t xml:space="preserve">Cockpit (Vue d'ensemble)</w:t>
      </w:r>
      <w:r>
        <w:rPr/>
        <w:t xml:space="preserve"> : KPI du business, carte de couverture, alertes, courbes MRR / restaurants.</w:t>
      </w:r>
    </w:p>
    <w:p>
      <w:pPr>
        <w:numPr>
          <w:ilvl w:val="0"/>
          <w:numId w:val="1"/>
        </w:numPr>
        <w:spacing w:before="20" w:after="20"/>
      </w:pPr>
      <w:r>
        <w:rPr>
          <w:b/>
        </w:rPr>
        <w:t xml:space="preserve">Parc NFC</w:t>
      </w:r>
      <w:r>
        <w:rPr/>
        <w:t xml:space="preserve"> : inventaire dense (filtres, statuts, cycles), détail tag, détail lot, affectation / réaffectation.</w:t>
      </w:r>
    </w:p>
    <w:p>
      <w:pPr>
        <w:numPr>
          <w:ilvl w:val="0"/>
          <w:numId w:val="1"/>
        </w:numPr>
        <w:spacing w:before="20" w:after="20"/>
      </w:pPr>
      <w:r>
        <w:rPr>
          <w:b/>
        </w:rPr>
        <w:t xml:space="preserve">Provisionnement</w:t>
      </w:r>
      <w:r>
        <w:rPr/>
        <w:t xml:space="preserve"> : encodage d'un lot en temps réel.</w:t>
      </w:r>
    </w:p>
    <w:p>
      <w:pPr>
        <w:numPr>
          <w:ilvl w:val="0"/>
          <w:numId w:val="1"/>
        </w:numPr>
        <w:spacing w:before="20" w:after="20"/>
      </w:pPr>
      <w:r>
        <w:rPr>
          <w:b/>
        </w:rPr>
        <w:t xml:space="preserve">Restaurants clients (CRM)</w:t>
      </w:r>
      <w:r>
        <w:rPr/>
        <w:t xml:space="preserve"> : table + fiche détaillée multi-onglets.</w:t>
      </w:r>
    </w:p>
    <w:p>
      <w:pPr>
        <w:numPr>
          <w:ilvl w:val="0"/>
          <w:numId w:val="1"/>
        </w:numPr>
        <w:spacing w:before="20" w:after="20"/>
      </w:pPr>
      <w:r>
        <w:rPr>
          <w:b/>
        </w:rPr>
        <w:t xml:space="preserve">Abonnements &amp; facturation</w:t>
      </w:r>
      <w:r>
        <w:rPr/>
        <w:t xml:space="preserve"> : MRR/ARR, factures, impayés, détail facture.</w:t>
      </w:r>
    </w:p>
    <w:p>
      <w:pPr>
        <w:numPr>
          <w:ilvl w:val="0"/>
          <w:numId w:val="1"/>
        </w:numPr>
        <w:spacing w:before="20" w:after="20"/>
      </w:pPr>
      <w:r>
        <w:rPr>
          <w:b/>
        </w:rPr>
        <w:t xml:space="preserve">Centre d'alertes &amp; Statut système</w:t>
      </w:r>
      <w:r>
        <w:rPr/>
        <w:t xml:space="preserve"> : triage des incidents, supervision des services.</w:t>
      </w:r>
    </w:p>
    <w:p>
      <w:pPr>
        <w:numPr>
          <w:ilvl w:val="0"/>
          <w:numId w:val="1"/>
        </w:numPr>
        <w:spacing w:before="20" w:after="20"/>
      </w:pPr>
      <w:r>
        <w:rPr>
          <w:b/>
        </w:rPr>
        <w:t xml:space="preserve">Socle</w:t>
      </w:r>
      <w:r>
        <w:rPr/>
        <w:t xml:space="preserve"> : navigation groupée, recherche ⌘K, mode sombre, audit.</w:t>
      </w:r>
    </w:p>
    <w:p>
      <w:pPr>
        <w:spacing w:before="0" w:after="80"/>
      </w:pPr>
      <w:r>
        <w:rPr/>
        <w:t xml:space="preserve">Le « waouh » du premier jour est le </w:t>
      </w:r>
      <w:r>
        <w:rPr>
          <w:b/>
        </w:rPr>
        <w:t xml:space="preserve">cockpit + la table NFC dense</w:t>
      </w:r>
      <w:r>
        <w:rPr/>
        <w:t xml:space="preserve"> : une vue de l'état du parc et du business jamais consolidée auparavant.</w:t>
      </w:r>
    </w:p>
    <w:p>
      <w:pPr>
        <w:pStyle w:val="Heading2"/>
        <w:spacing w:before="160" w:after="40"/>
      </w:pPr>
      <w:r>
        <w:rPr/>
        <w:t xml:space="preserve">5.2 Hors périmètre de la V1 (explicite)</w:t>
      </w:r>
    </w:p>
    <w:p>
      <w:pPr>
        <w:spacing w:before="0" w:after="80"/>
      </w:pPr>
      <w:r>
        <w:rPr/>
        <w:t xml:space="preserve">Reconnus utiles mais délibérément différés :</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4680"/>
        <w:gridCol w:w="4680"/>
      </w:tblGrid>
      <w:tr>
        <w:trPr>
          <w:tblHeader/>
        </w:trPr>
        <w:tc>
          <w:tcPr>
            <w:tcW w:w="4680" w:type="dxa"/>
            <w:shd w:val="clear" w:fill="1C1A17"/>
            <w:vAlign w:val="center"/>
          </w:tcPr>
          <w:p>
            <w:pPr>
              <w:spacing w:before="20" w:after="20"/>
              <w:shd w:val="clear" w:fill="1C1A17"/>
            </w:pPr>
            <w:r>
              <w:rPr>
                <w:b/>
                <w:color w:val="FAF7F2"/>
                <w:sz w:val="18"/>
              </w:rPr>
              <w:t xml:space="preserve">Fonctionnalité différée</w:t>
            </w:r>
          </w:p>
        </w:tc>
        <w:tc>
          <w:tcPr>
            <w:tcW w:w="4680" w:type="dxa"/>
            <w:shd w:val="clear" w:fill="1C1A17"/>
            <w:vAlign w:val="center"/>
          </w:tcPr>
          <w:p>
            <w:pPr>
              <w:spacing w:before="20" w:after="20"/>
              <w:shd w:val="clear" w:fill="1C1A17"/>
            </w:pPr>
            <w:r>
              <w:rPr>
                <w:b/>
                <w:color w:val="FAF7F2"/>
                <w:sz w:val="18"/>
              </w:rPr>
              <w:t xml:space="preserve">Raison du report</w:t>
            </w:r>
          </w:p>
        </w:tc>
      </w:tr>
      <w:tr>
        <w:tc>
          <w:tcPr>
            <w:tcW w:w="4680" w:type="dxa"/>
            <w:vAlign w:val="center"/>
          </w:tcPr>
          <w:p>
            <w:pPr>
              <w:spacing w:before="20" w:after="20"/>
            </w:pPr>
            <w:r>
              <w:rPr>
                <w:sz w:val="18"/>
              </w:rPr>
              <w:t xml:space="preserve">Prédictions IA (fin de vie, churn, anomalies)</w:t>
            </w:r>
          </w:p>
        </w:tc>
        <w:tc>
          <w:tcPr>
            <w:tcW w:w="4680" w:type="dxa"/>
            <w:vAlign w:val="center"/>
          </w:tcPr>
          <w:p>
            <w:pPr>
              <w:spacing w:before="20" w:after="20"/>
            </w:pPr>
            <w:r>
              <w:rPr>
                <w:sz w:val="18"/>
              </w:rPr>
              <w:t xml:space="preserve">Suppose un historique de données suffisant à entraîner et valider</w:t>
            </w:r>
          </w:p>
        </w:tc>
      </w:tr>
      <w:tr>
        <w:tc>
          <w:tcPr>
            <w:tcW w:w="4680" w:type="dxa"/>
            <w:vAlign w:val="center"/>
          </w:tcPr>
          <w:p>
            <w:pPr>
              <w:spacing w:before="20" w:after="20"/>
            </w:pPr>
            <w:r>
              <w:rPr>
                <w:sz w:val="18"/>
              </w:rPr>
              <w:t xml:space="preserve">Sécurité NFC avancée (rotation de clés, SDM)</w:t>
            </w:r>
          </w:p>
        </w:tc>
        <w:tc>
          <w:tcPr>
            <w:tcW w:w="4680" w:type="dxa"/>
            <w:vAlign w:val="center"/>
          </w:tcPr>
          <w:p>
            <w:pPr>
              <w:spacing w:before="20" w:after="20"/>
            </w:pPr>
            <w:r>
              <w:rPr>
                <w:sz w:val="18"/>
              </w:rPr>
              <w:t xml:space="preserve">Brique technique pointue, à stabiliser après le noyau</w:t>
            </w:r>
          </w:p>
        </w:tc>
      </w:tr>
      <w:tr>
        <w:tc>
          <w:tcPr>
            <w:tcW w:w="4680" w:type="dxa"/>
            <w:vAlign w:val="center"/>
          </w:tcPr>
          <w:p>
            <w:pPr>
              <w:spacing w:before="20" w:after="20"/>
            </w:pPr>
            <w:r>
              <w:rPr>
                <w:sz w:val="18"/>
              </w:rPr>
              <w:t xml:space="preserve">Pipeline commercial &amp; onboarding structurés</w:t>
            </w:r>
          </w:p>
        </w:tc>
        <w:tc>
          <w:tcPr>
            <w:tcW w:w="4680" w:type="dxa"/>
            <w:vAlign w:val="center"/>
          </w:tcPr>
          <w:p>
            <w:pPr>
              <w:spacing w:before="20" w:after="20"/>
            </w:pPr>
            <w:r>
              <w:rPr>
                <w:sz w:val="18"/>
              </w:rPr>
              <w:t xml:space="preserve">Le CRM de base suffit à démarrer ; le pipeline vient ensuite</w:t>
            </w:r>
          </w:p>
        </w:tc>
      </w:tr>
      <w:tr>
        <w:tc>
          <w:tcPr>
            <w:tcW w:w="4680" w:type="dxa"/>
            <w:vAlign w:val="center"/>
          </w:tcPr>
          <w:p>
            <w:pPr>
              <w:spacing w:before="20" w:after="20"/>
            </w:pPr>
            <w:r>
              <w:rPr>
                <w:sz w:val="18"/>
              </w:rPr>
              <w:t xml:space="preserve">Catalogue &amp; grille tarifaire multi-pays</w:t>
            </w:r>
          </w:p>
        </w:tc>
        <w:tc>
          <w:tcPr>
            <w:tcW w:w="4680" w:type="dxa"/>
            <w:vAlign w:val="center"/>
          </w:tcPr>
          <w:p>
            <w:pPr>
              <w:spacing w:before="20" w:after="20"/>
            </w:pPr>
            <w:r>
              <w:rPr>
                <w:sz w:val="18"/>
              </w:rPr>
              <w:t xml:space="preserve">Émerge du besoin commercial, pas un préalable</w:t>
            </w:r>
          </w:p>
        </w:tc>
      </w:tr>
      <w:tr>
        <w:tc>
          <w:tcPr>
            <w:tcW w:w="4680" w:type="dxa"/>
            <w:vAlign w:val="center"/>
          </w:tcPr>
          <w:p>
            <w:pPr>
              <w:spacing w:before="20" w:after="20"/>
            </w:pPr>
            <w:r>
              <w:rPr>
                <w:sz w:val="18"/>
              </w:rPr>
              <w:t xml:space="preserve">Campagnes, RGPD, webhooks &amp; API</w:t>
            </w:r>
          </w:p>
        </w:tc>
        <w:tc>
          <w:tcPr>
            <w:tcW w:w="4680" w:type="dxa"/>
            <w:vAlign w:val="center"/>
          </w:tcPr>
          <w:p>
            <w:pPr>
              <w:spacing w:before="20" w:after="20"/>
            </w:pPr>
            <w:r>
              <w:rPr>
                <w:sz w:val="18"/>
              </w:rPr>
              <w:t xml:space="preserve">Capacités plateforme, postérieures au cœur opérationnel</w:t>
            </w:r>
          </w:p>
        </w:tc>
      </w:tr>
      <w:tr>
        <w:tc>
          <w:tcPr>
            <w:tcW w:w="4680" w:type="dxa"/>
            <w:vAlign w:val="center"/>
          </w:tcPr>
          <w:p>
            <w:pPr>
              <w:spacing w:before="20" w:after="20"/>
            </w:pPr>
            <w:r>
              <w:rPr>
                <w:sz w:val="18"/>
              </w:rPr>
              <w:t xml:space="preserve">Stock, SAV, qualité fournisseur</w:t>
            </w:r>
          </w:p>
        </w:tc>
        <w:tc>
          <w:tcPr>
            <w:tcW w:w="4680" w:type="dxa"/>
            <w:vAlign w:val="center"/>
          </w:tcPr>
          <w:p>
            <w:pPr>
              <w:spacing w:before="20" w:after="20"/>
            </w:pPr>
            <w:r>
              <w:rPr>
                <w:sz w:val="18"/>
              </w:rPr>
              <w:t xml:space="preserve">Chaîne d'approvisionnement, à industrialiser après le parc</w:t>
            </w:r>
          </w:p>
        </w:tc>
      </w:tr>
    </w:tbl>
    <w:p/>
    <w:p>
      <w:pPr>
        <w:pStyle w:val="Heading2"/>
        <w:spacing w:before="160" w:after="40"/>
      </w:pPr>
      <w:r>
        <w:rPr/>
        <w:t xml:space="preserve">5.3 Évolutions futures (au-delà du MVP)</w:t>
      </w:r>
    </w:p>
    <w:p>
      <w:pPr>
        <w:spacing w:before="0" w:after="80"/>
      </w:pPr>
      <w:r>
        <w:rPr>
          <w:b/>
        </w:rPr>
        <w:t xml:space="preserve">Phase 2 — Supervision avancée &amp; chaîne d'appro.</w:t>
      </w:r>
      <w:r>
        <w:rPr/>
        <w:t xml:space="preserve"> On expose les briques prédictives et la chaîne logistique amont :</w:t>
      </w:r>
    </w:p>
    <w:p>
      <w:pPr>
        <w:numPr>
          <w:ilvl w:val="0"/>
          <w:numId w:val="1"/>
        </w:numPr>
        <w:spacing w:before="20" w:after="20"/>
      </w:pPr>
      <w:r>
        <w:rPr/>
        <w:t xml:space="preserve">Prédictions IA (fin de vie des tags, anomalies de taps, churn restaurants).</w:t>
      </w:r>
    </w:p>
    <w:p>
      <w:pPr>
        <w:numPr>
          <w:ilvl w:val="0"/>
          <w:numId w:val="1"/>
        </w:numPr>
        <w:spacing w:before="20" w:after="20"/>
      </w:pPr>
      <w:r>
        <w:rPr/>
        <w:t xml:space="preserve">Sécurité &amp; authentification NFC (clés maîtresses, SDM, journal de sécurité, diagnostic).</w:t>
      </w:r>
    </w:p>
    <w:p>
      <w:pPr>
        <w:numPr>
          <w:ilvl w:val="0"/>
          <w:numId w:val="1"/>
        </w:numPr>
        <w:spacing w:before="20" w:after="20"/>
      </w:pPr>
      <w:r>
        <w:rPr/>
        <w:t xml:space="preserve">Santé du parc, SAV &amp; retours, qualité fournisseur.</w:t>
      </w:r>
    </w:p>
    <w:p>
      <w:pPr>
        <w:numPr>
          <w:ilvl w:val="0"/>
          <w:numId w:val="1"/>
        </w:numPr>
        <w:spacing w:before="20" w:after="20"/>
      </w:pPr>
      <w:r>
        <w:rPr/>
        <w:t xml:space="preserve">Stock &amp; approvisionnement, commandes fournisseurs.</w:t>
      </w:r>
    </w:p>
    <w:p>
      <w:pPr>
        <w:numPr>
          <w:ilvl w:val="0"/>
          <w:numId w:val="1"/>
        </w:numPr>
        <w:spacing w:before="20" w:after="20"/>
      </w:pPr>
      <w:r>
        <w:rPr/>
        <w:t xml:space="preserve">Contenu encodé (templates NDEF / URL dynamiques).</w:t>
      </w:r>
    </w:p>
    <w:p>
      <w:pPr>
        <w:spacing w:before="0" w:after="80"/>
      </w:pPr>
      <w:r>
        <w:rPr>
          <w:b/>
        </w:rPr>
        <w:t xml:space="preserve">Phase 3 — Plateforme, commerce &amp; conformité.</w:t>
      </w:r>
      <w:r>
        <w:rPr/>
        <w:t xml:space="preserve"> On industrialise l'écosystème :</w:t>
      </w:r>
    </w:p>
    <w:p>
      <w:pPr>
        <w:numPr>
          <w:ilvl w:val="0"/>
          <w:numId w:val="1"/>
        </w:numPr>
        <w:spacing w:before="20" w:after="20"/>
      </w:pPr>
      <w:r>
        <w:rPr/>
        <w:t xml:space="preserve">Pipeline commercial, onboarding, équipe &amp; permissions.</w:t>
      </w:r>
    </w:p>
    <w:p>
      <w:pPr>
        <w:numPr>
          <w:ilvl w:val="0"/>
          <w:numId w:val="1"/>
        </w:numPr>
        <w:spacing w:before="20" w:after="20"/>
      </w:pPr>
      <w:r>
        <w:rPr/>
        <w:t xml:space="preserve">Catalogue &amp; tarifs, coupons, campagnes &amp; communications.</w:t>
      </w:r>
    </w:p>
    <w:p>
      <w:pPr>
        <w:numPr>
          <w:ilvl w:val="0"/>
          <w:numId w:val="1"/>
        </w:numPr>
        <w:spacing w:before="20" w:after="20"/>
      </w:pPr>
      <w:r>
        <w:rPr/>
        <w:t xml:space="preserve">Webhooks &amp; API, intégrations, rapports &amp; exports.</w:t>
      </w:r>
    </w:p>
    <w:p>
      <w:pPr>
        <w:numPr>
          <w:ilvl w:val="0"/>
          <w:numId w:val="1"/>
        </w:numPr>
        <w:spacing w:before="20" w:after="20"/>
      </w:pPr>
      <w:r>
        <w:rPr/>
        <w:t xml:space="preserve">Conformité RGPD, versions &amp; changelog.</w:t>
      </w:r>
    </w:p>
    <w:p>
      <w:pPr>
        <w:pBdr>
          <w:bottom w:val="single" w:sz="6" w:space="1" w:color="D6D0C2"/>
        </w:pBdr>
      </w:pPr>
    </w:p>
    <w:p>
      <w:pPr>
        <w:pStyle w:val="Heading1"/>
        <w:spacing w:before="240" w:after="80"/>
      </w:pPr>
      <w:r>
        <w:rPr/>
        <w:t xml:space="preserve">6. Spécifications fonctionnelles détaillées</w:t>
      </w:r>
    </w:p>
    <w:p>
      <w:pPr>
        <w:pStyle w:val="Heading2"/>
        <w:spacing w:before="160" w:after="40"/>
      </w:pPr>
      <w:r>
        <w:rPr/>
        <w:t xml:space="preserve">6.1 Conventions de spécification</w:t>
      </w:r>
    </w:p>
    <w:p>
      <w:pPr>
        <w:numPr>
          <w:ilvl w:val="0"/>
          <w:numId w:val="1"/>
        </w:numPr>
        <w:spacing w:before="20" w:after="20"/>
      </w:pPr>
      <w:r>
        <w:rPr>
          <w:b/>
        </w:rPr>
        <w:t xml:space="preserve">Référence</w:t>
      </w:r>
      <w:r>
        <w:rPr/>
        <w:t xml:space="preserve"> : identifiant stable `F-[MODULE]-NN`, support de traçabilité de la conception à la recette.</w:t>
      </w:r>
    </w:p>
    <w:p>
      <w:pPr>
        <w:numPr>
          <w:ilvl w:val="0"/>
          <w:numId w:val="1"/>
        </w:numPr>
        <w:spacing w:before="20" w:after="20"/>
      </w:pPr>
      <w:r>
        <w:rPr>
          <w:b/>
        </w:rPr>
        <w:t xml:space="preserve">Priorité (MoSCoW)</w:t>
      </w:r>
      <w:r>
        <w:rPr/>
        <w:t xml:space="preserve"> : M = indispensable, S = important, C = souhaitable.</w:t>
      </w:r>
    </w:p>
    <w:p>
      <w:pPr>
        <w:numPr>
          <w:ilvl w:val="0"/>
          <w:numId w:val="1"/>
        </w:numPr>
        <w:spacing w:before="20" w:after="20"/>
      </w:pPr>
      <w:r>
        <w:rPr>
          <w:b/>
        </w:rPr>
        <w:t xml:space="preserve">Phase de livraison</w:t>
      </w:r>
      <w:r>
        <w:rPr/>
        <w:t xml:space="preserve"> : MVP, P2, P3, Toutes (transverse).</w:t>
      </w:r>
    </w:p>
    <w:p>
      <w:pPr>
        <w:numPr>
          <w:ilvl w:val="0"/>
          <w:numId w:val="1"/>
        </w:numPr>
        <w:spacing w:before="20" w:after="20"/>
      </w:pPr>
      <w:r>
        <w:rPr>
          <w:b/>
        </w:rPr>
        <w:t xml:space="preserve">Formulation</w:t>
      </w:r>
      <w:r>
        <w:rPr/>
        <w:t xml:space="preserve"> : exigences atomiques et vérifiables ; les fonctions cœur sont approfondies en 6.4.</w:t>
      </w:r>
    </w:p>
    <w:p>
      <w:pPr>
        <w:pStyle w:val="Heading2"/>
        <w:spacing w:before="160" w:after="40"/>
      </w:pPr>
      <w:r>
        <w:rPr/>
        <w:t xml:space="preserve">6.2 Vue d'ensemble des modules fonctionnels</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3120"/>
        <w:gridCol w:w="3120"/>
        <w:gridCol w:w="3120"/>
      </w:tblGrid>
      <w:tr>
        <w:trPr>
          <w:tblHeader/>
        </w:trPr>
        <w:tc>
          <w:tcPr>
            <w:tcW w:w="3120" w:type="dxa"/>
            <w:shd w:val="clear" w:fill="1C1A17"/>
            <w:vAlign w:val="center"/>
          </w:tcPr>
          <w:p>
            <w:pPr>
              <w:spacing w:before="20" w:after="20"/>
              <w:shd w:val="clear" w:fill="1C1A17"/>
            </w:pPr>
            <w:r>
              <w:rPr>
                <w:b/>
                <w:color w:val="FAF7F2"/>
                <w:sz w:val="18"/>
              </w:rPr>
              <w:t xml:space="preserve">Code</w:t>
            </w:r>
          </w:p>
        </w:tc>
        <w:tc>
          <w:tcPr>
            <w:tcW w:w="3120" w:type="dxa"/>
            <w:shd w:val="clear" w:fill="1C1A17"/>
            <w:vAlign w:val="center"/>
          </w:tcPr>
          <w:p>
            <w:pPr>
              <w:spacing w:before="20" w:after="20"/>
              <w:shd w:val="clear" w:fill="1C1A17"/>
            </w:pPr>
            <w:r>
              <w:rPr>
                <w:b/>
                <w:color w:val="FAF7F2"/>
                <w:sz w:val="18"/>
              </w:rPr>
              <w:t xml:space="preserve">Module</w:t>
            </w:r>
          </w:p>
        </w:tc>
        <w:tc>
          <w:tcPr>
            <w:tcW w:w="3120" w:type="dxa"/>
            <w:shd w:val="clear" w:fill="1C1A17"/>
            <w:vAlign w:val="center"/>
          </w:tcPr>
          <w:p>
            <w:pPr>
              <w:spacing w:before="20" w:after="20"/>
              <w:shd w:val="clear" w:fill="1C1A17"/>
            </w:pPr>
            <w:r>
              <w:rPr>
                <w:b/>
                <w:color w:val="FAF7F2"/>
                <w:sz w:val="18"/>
              </w:rPr>
              <w:t xml:space="preserve">Périmètre</w:t>
            </w:r>
          </w:p>
        </w:tc>
      </w:tr>
      <w:tr>
        <w:tc>
          <w:tcPr>
            <w:tcW w:w="3120" w:type="dxa"/>
            <w:vAlign w:val="center"/>
          </w:tcPr>
          <w:p>
            <w:pPr>
              <w:spacing w:before="20" w:after="20"/>
            </w:pPr>
            <w:r>
              <w:rPr>
                <w:sz w:val="18"/>
              </w:rPr>
              <w:t xml:space="preserve">NAV</w:t>
            </w:r>
          </w:p>
        </w:tc>
        <w:tc>
          <w:tcPr>
            <w:tcW w:w="3120" w:type="dxa"/>
            <w:vAlign w:val="center"/>
          </w:tcPr>
          <w:p>
            <w:pPr>
              <w:spacing w:before="20" w:after="20"/>
            </w:pPr>
            <w:r>
              <w:rPr>
                <w:sz w:val="18"/>
              </w:rPr>
              <w:t xml:space="preserve">Socle, navigation &amp; recherche</w:t>
            </w:r>
          </w:p>
        </w:tc>
        <w:tc>
          <w:tcPr>
            <w:tcW w:w="3120" w:type="dxa"/>
            <w:vAlign w:val="center"/>
          </w:tcPr>
          <w:p>
            <w:pPr>
              <w:spacing w:before="20" w:after="20"/>
            </w:pPr>
            <w:r>
              <w:rPr>
                <w:sz w:val="18"/>
              </w:rPr>
              <w:t xml:space="preserve">Sidebar groupée, topbar, breadcrumb, palette ⌘K, thème clair/sombre, notifications</w:t>
            </w:r>
          </w:p>
        </w:tc>
      </w:tr>
      <w:tr>
        <w:tc>
          <w:tcPr>
            <w:tcW w:w="3120" w:type="dxa"/>
            <w:vAlign w:val="center"/>
          </w:tcPr>
          <w:p>
            <w:pPr>
              <w:spacing w:before="20" w:after="20"/>
            </w:pPr>
            <w:r>
              <w:rPr>
                <w:sz w:val="18"/>
              </w:rPr>
              <w:t xml:space="preserve">DSH</w:t>
            </w:r>
          </w:p>
        </w:tc>
        <w:tc>
          <w:tcPr>
            <w:tcW w:w="3120" w:type="dxa"/>
            <w:vAlign w:val="center"/>
          </w:tcPr>
          <w:p>
            <w:pPr>
              <w:spacing w:before="20" w:after="20"/>
            </w:pPr>
            <w:r>
              <w:rPr>
                <w:sz w:val="18"/>
              </w:rPr>
              <w:t xml:space="preserve">Cockpit &amp; pilotage</w:t>
            </w:r>
          </w:p>
        </w:tc>
        <w:tc>
          <w:tcPr>
            <w:tcW w:w="3120" w:type="dxa"/>
            <w:vAlign w:val="center"/>
          </w:tcPr>
          <w:p>
            <w:pPr>
              <w:spacing w:before="20" w:after="20"/>
            </w:pPr>
            <w:r>
              <w:rPr>
                <w:sz w:val="18"/>
              </w:rPr>
              <w:t xml:space="preserve">Vue d'ensemble, KPI, carte de déploiement, alertes en tête</w:t>
            </w:r>
          </w:p>
        </w:tc>
      </w:tr>
      <w:tr>
        <w:tc>
          <w:tcPr>
            <w:tcW w:w="3120" w:type="dxa"/>
            <w:vAlign w:val="center"/>
          </w:tcPr>
          <w:p>
            <w:pPr>
              <w:spacing w:before="20" w:after="20"/>
            </w:pPr>
            <w:r>
              <w:rPr>
                <w:sz w:val="18"/>
              </w:rPr>
              <w:t xml:space="preserve">CRM</w:t>
            </w:r>
          </w:p>
        </w:tc>
        <w:tc>
          <w:tcPr>
            <w:tcW w:w="3120" w:type="dxa"/>
            <w:vAlign w:val="center"/>
          </w:tcPr>
          <w:p>
            <w:pPr>
              <w:spacing w:before="20" w:after="20"/>
            </w:pPr>
            <w:r>
              <w:rPr>
                <w:sz w:val="18"/>
              </w:rPr>
              <w:t xml:space="preserve">Restaurants clients</w:t>
            </w:r>
          </w:p>
        </w:tc>
        <w:tc>
          <w:tcPr>
            <w:tcW w:w="3120" w:type="dxa"/>
            <w:vAlign w:val="center"/>
          </w:tcPr>
          <w:p>
            <w:pPr>
              <w:spacing w:before="20" w:after="20"/>
            </w:pPr>
            <w:r>
              <w:rPr>
                <w:sz w:val="18"/>
              </w:rPr>
              <w:t xml:space="preserve">Table CRM, fiche détaillée multi-onglets, filtres, création</w:t>
            </w:r>
          </w:p>
        </w:tc>
      </w:tr>
      <w:tr>
        <w:tc>
          <w:tcPr>
            <w:tcW w:w="3120" w:type="dxa"/>
            <w:vAlign w:val="center"/>
          </w:tcPr>
          <w:p>
            <w:pPr>
              <w:spacing w:before="20" w:after="20"/>
            </w:pPr>
            <w:r>
              <w:rPr>
                <w:sz w:val="18"/>
              </w:rPr>
              <w:t xml:space="preserve">PIP</w:t>
            </w:r>
          </w:p>
        </w:tc>
        <w:tc>
          <w:tcPr>
            <w:tcW w:w="3120" w:type="dxa"/>
            <w:vAlign w:val="center"/>
          </w:tcPr>
          <w:p>
            <w:pPr>
              <w:spacing w:before="20" w:after="20"/>
            </w:pPr>
            <w:r>
              <w:rPr>
                <w:sz w:val="18"/>
              </w:rPr>
              <w:t xml:space="preserve">Commercial &amp; onboarding</w:t>
            </w:r>
          </w:p>
        </w:tc>
        <w:tc>
          <w:tcPr>
            <w:tcW w:w="3120" w:type="dxa"/>
            <w:vAlign w:val="center"/>
          </w:tcPr>
          <w:p>
            <w:pPr>
              <w:spacing w:before="20" w:after="20"/>
            </w:pPr>
            <w:r>
              <w:rPr>
                <w:sz w:val="18"/>
              </w:rPr>
              <w:t xml:space="preserve">Pipeline d'opportunités, prévision, onboarding des comptes</w:t>
            </w:r>
          </w:p>
        </w:tc>
      </w:tr>
      <w:tr>
        <w:tc>
          <w:tcPr>
            <w:tcW w:w="3120" w:type="dxa"/>
            <w:vAlign w:val="center"/>
          </w:tcPr>
          <w:p>
            <w:pPr>
              <w:spacing w:before="20" w:after="20"/>
            </w:pPr>
            <w:r>
              <w:rPr>
                <w:sz w:val="18"/>
              </w:rPr>
              <w:t xml:space="preserve">NFC</w:t>
            </w:r>
          </w:p>
        </w:tc>
        <w:tc>
          <w:tcPr>
            <w:tcW w:w="3120" w:type="dxa"/>
            <w:vAlign w:val="center"/>
          </w:tcPr>
          <w:p>
            <w:pPr>
              <w:spacing w:before="20" w:after="20"/>
            </w:pPr>
            <w:r>
              <w:rPr>
                <w:sz w:val="18"/>
              </w:rPr>
              <w:t xml:space="preserve">Parc d'étiquettes NFC</w:t>
            </w:r>
          </w:p>
        </w:tc>
        <w:tc>
          <w:tcPr>
            <w:tcW w:w="3120" w:type="dxa"/>
            <w:vAlign w:val="center"/>
          </w:tcPr>
          <w:p>
            <w:pPr>
              <w:spacing w:before="20" w:after="20"/>
            </w:pPr>
            <w:r>
              <w:rPr>
                <w:sz w:val="18"/>
              </w:rPr>
              <w:t xml:space="preserve">Inventaire dense, détail tag, détail lot, affectation, QR de repli</w:t>
            </w:r>
          </w:p>
        </w:tc>
      </w:tr>
      <w:tr>
        <w:tc>
          <w:tcPr>
            <w:tcW w:w="3120" w:type="dxa"/>
            <w:vAlign w:val="center"/>
          </w:tcPr>
          <w:p>
            <w:pPr>
              <w:spacing w:before="20" w:after="20"/>
            </w:pPr>
            <w:r>
              <w:rPr>
                <w:sz w:val="18"/>
              </w:rPr>
              <w:t xml:space="preserve">PRV</w:t>
            </w:r>
          </w:p>
        </w:tc>
        <w:tc>
          <w:tcPr>
            <w:tcW w:w="3120" w:type="dxa"/>
            <w:vAlign w:val="center"/>
          </w:tcPr>
          <w:p>
            <w:pPr>
              <w:spacing w:before="20" w:after="20"/>
            </w:pPr>
            <w:r>
              <w:rPr>
                <w:sz w:val="18"/>
              </w:rPr>
              <w:t xml:space="preserve">Provisionnement &amp; appro</w:t>
            </w:r>
          </w:p>
        </w:tc>
        <w:tc>
          <w:tcPr>
            <w:tcW w:w="3120" w:type="dxa"/>
            <w:vAlign w:val="center"/>
          </w:tcPr>
          <w:p>
            <w:pPr>
              <w:spacing w:before="20" w:after="20"/>
            </w:pPr>
            <w:r>
              <w:rPr>
                <w:sz w:val="18"/>
              </w:rPr>
              <w:t xml:space="preserve">Encodage en lot, contenu encodé (NDEF), stock, commandes fournisseurs</w:t>
            </w:r>
          </w:p>
        </w:tc>
      </w:tr>
      <w:tr>
        <w:tc>
          <w:tcPr>
            <w:tcW w:w="3120" w:type="dxa"/>
            <w:vAlign w:val="center"/>
          </w:tcPr>
          <w:p>
            <w:pPr>
              <w:spacing w:before="20" w:after="20"/>
            </w:pPr>
            <w:r>
              <w:rPr>
                <w:sz w:val="18"/>
              </w:rPr>
              <w:t xml:space="preserve">SEC</w:t>
            </w:r>
          </w:p>
        </w:tc>
        <w:tc>
          <w:tcPr>
            <w:tcW w:w="3120" w:type="dxa"/>
            <w:vAlign w:val="center"/>
          </w:tcPr>
          <w:p>
            <w:pPr>
              <w:spacing w:before="20" w:after="20"/>
            </w:pPr>
            <w:r>
              <w:rPr>
                <w:sz w:val="18"/>
              </w:rPr>
              <w:t xml:space="preserve">Sécurité &amp; authentification NFC</w:t>
            </w:r>
          </w:p>
        </w:tc>
        <w:tc>
          <w:tcPr>
            <w:tcW w:w="3120" w:type="dxa"/>
            <w:vAlign w:val="center"/>
          </w:tcPr>
          <w:p>
            <w:pPr>
              <w:spacing w:before="20" w:after="20"/>
            </w:pPr>
            <w:r>
              <w:rPr>
                <w:sz w:val="18"/>
              </w:rPr>
              <w:t xml:space="preserve">Clés maîtresses, SDM, journal de sécurité, diagnostic de tag</w:t>
            </w:r>
          </w:p>
        </w:tc>
      </w:tr>
      <w:tr>
        <w:tc>
          <w:tcPr>
            <w:tcW w:w="3120" w:type="dxa"/>
            <w:vAlign w:val="center"/>
          </w:tcPr>
          <w:p>
            <w:pPr>
              <w:spacing w:before="20" w:after="20"/>
            </w:pPr>
            <w:r>
              <w:rPr>
                <w:sz w:val="18"/>
              </w:rPr>
              <w:t xml:space="preserve">FLT</w:t>
            </w:r>
          </w:p>
        </w:tc>
        <w:tc>
          <w:tcPr>
            <w:tcW w:w="3120" w:type="dxa"/>
            <w:vAlign w:val="center"/>
          </w:tcPr>
          <w:p>
            <w:pPr>
              <w:spacing w:before="20" w:after="20"/>
            </w:pPr>
            <w:r>
              <w:rPr>
                <w:sz w:val="18"/>
              </w:rPr>
              <w:t xml:space="preserve">Santé du parc &amp; qualité</w:t>
            </w:r>
          </w:p>
        </w:tc>
        <w:tc>
          <w:tcPr>
            <w:tcW w:w="3120" w:type="dxa"/>
            <w:vAlign w:val="center"/>
          </w:tcPr>
          <w:p>
            <w:pPr>
              <w:spacing w:before="20" w:after="20"/>
            </w:pPr>
            <w:r>
              <w:rPr>
                <w:sz w:val="18"/>
              </w:rPr>
              <w:t xml:space="preserve">Mortalité, fin de vie, SAV &amp; retours, qualité fournisseur</w:t>
            </w:r>
          </w:p>
        </w:tc>
      </w:tr>
      <w:tr>
        <w:tc>
          <w:tcPr>
            <w:tcW w:w="3120" w:type="dxa"/>
            <w:vAlign w:val="center"/>
          </w:tcPr>
          <w:p>
            <w:pPr>
              <w:spacing w:before="20" w:after="20"/>
            </w:pPr>
            <w:r>
              <w:rPr>
                <w:sz w:val="18"/>
              </w:rPr>
              <w:t xml:space="preserve">FIN</w:t>
            </w:r>
          </w:p>
        </w:tc>
        <w:tc>
          <w:tcPr>
            <w:tcW w:w="3120" w:type="dxa"/>
            <w:vAlign w:val="center"/>
          </w:tcPr>
          <w:p>
            <w:pPr>
              <w:spacing w:before="20" w:after="20"/>
            </w:pPr>
            <w:r>
              <w:rPr>
                <w:sz w:val="18"/>
              </w:rPr>
              <w:t xml:space="preserve">Abonnements &amp; facturation</w:t>
            </w:r>
          </w:p>
        </w:tc>
        <w:tc>
          <w:tcPr>
            <w:tcW w:w="3120" w:type="dxa"/>
            <w:vAlign w:val="center"/>
          </w:tcPr>
          <w:p>
            <w:pPr>
              <w:spacing w:before="20" w:after="20"/>
            </w:pPr>
            <w:r>
              <w:rPr>
                <w:sz w:val="18"/>
              </w:rPr>
              <w:t xml:space="preserve">MRR/ARR, factures, impayés, coupons, catalogue &amp; tarifs</w:t>
            </w:r>
          </w:p>
        </w:tc>
      </w:tr>
      <w:tr>
        <w:tc>
          <w:tcPr>
            <w:tcW w:w="3120" w:type="dxa"/>
            <w:vAlign w:val="center"/>
          </w:tcPr>
          <w:p>
            <w:pPr>
              <w:spacing w:before="20" w:after="20"/>
            </w:pPr>
            <w:r>
              <w:rPr>
                <w:sz w:val="18"/>
              </w:rPr>
              <w:t xml:space="preserve">SUP</w:t>
            </w:r>
          </w:p>
        </w:tc>
        <w:tc>
          <w:tcPr>
            <w:tcW w:w="3120" w:type="dxa"/>
            <w:vAlign w:val="center"/>
          </w:tcPr>
          <w:p>
            <w:pPr>
              <w:spacing w:before="20" w:after="20"/>
            </w:pPr>
            <w:r>
              <w:rPr>
                <w:sz w:val="18"/>
              </w:rPr>
              <w:t xml:space="preserve">Supervision, alertes &amp; audit</w:t>
            </w:r>
          </w:p>
        </w:tc>
        <w:tc>
          <w:tcPr>
            <w:tcW w:w="3120" w:type="dxa"/>
            <w:vAlign w:val="center"/>
          </w:tcPr>
          <w:p>
            <w:pPr>
              <w:spacing w:before="20" w:after="20"/>
            </w:pPr>
            <w:r>
              <w:rPr>
                <w:sz w:val="18"/>
              </w:rPr>
              <w:t xml:space="preserve">Centre d'alertes, statut système, journal d'audit, notifications</w:t>
            </w:r>
          </w:p>
        </w:tc>
      </w:tr>
      <w:tr>
        <w:tc>
          <w:tcPr>
            <w:tcW w:w="3120" w:type="dxa"/>
            <w:vAlign w:val="center"/>
          </w:tcPr>
          <w:p>
            <w:pPr>
              <w:spacing w:before="20" w:after="20"/>
            </w:pPr>
            <w:r>
              <w:rPr>
                <w:sz w:val="18"/>
              </w:rPr>
              <w:t xml:space="preserve">ANL</w:t>
            </w:r>
          </w:p>
        </w:tc>
        <w:tc>
          <w:tcPr>
            <w:tcW w:w="3120" w:type="dxa"/>
            <w:vAlign w:val="center"/>
          </w:tcPr>
          <w:p>
            <w:pPr>
              <w:spacing w:before="20" w:after="20"/>
            </w:pPr>
            <w:r>
              <w:rPr>
                <w:sz w:val="18"/>
              </w:rPr>
              <w:t xml:space="preserve">Analytics, taps &amp; IA</w:t>
            </w:r>
          </w:p>
        </w:tc>
        <w:tc>
          <w:tcPr>
            <w:tcW w:w="3120" w:type="dxa"/>
            <w:vAlign w:val="center"/>
          </w:tcPr>
          <w:p>
            <w:pPr>
              <w:spacing w:before="20" w:after="20"/>
            </w:pPr>
            <w:r>
              <w:rPr>
                <w:sz w:val="18"/>
              </w:rPr>
              <w:t xml:space="preserve">Analytics globaux, analyse des taps, prédictions IA</w:t>
            </w:r>
          </w:p>
        </w:tc>
      </w:tr>
      <w:tr>
        <w:tc>
          <w:tcPr>
            <w:tcW w:w="3120" w:type="dxa"/>
            <w:vAlign w:val="center"/>
          </w:tcPr>
          <w:p>
            <w:pPr>
              <w:spacing w:before="20" w:after="20"/>
            </w:pPr>
            <w:r>
              <w:rPr>
                <w:sz w:val="18"/>
              </w:rPr>
              <w:t xml:space="preserve">COM</w:t>
            </w:r>
          </w:p>
        </w:tc>
        <w:tc>
          <w:tcPr>
            <w:tcW w:w="3120" w:type="dxa"/>
            <w:vAlign w:val="center"/>
          </w:tcPr>
          <w:p>
            <w:pPr>
              <w:spacing w:before="20" w:after="20"/>
            </w:pPr>
            <w:r>
              <w:rPr>
                <w:sz w:val="18"/>
              </w:rPr>
              <w:t xml:space="preserve">Avis, campagnes &amp; versions</w:t>
            </w:r>
          </w:p>
        </w:tc>
        <w:tc>
          <w:tcPr>
            <w:tcW w:w="3120" w:type="dxa"/>
            <w:vAlign w:val="center"/>
          </w:tcPr>
          <w:p>
            <w:pPr>
              <w:spacing w:before="20" w:after="20"/>
            </w:pPr>
            <w:r>
              <w:rPr>
                <w:sz w:val="18"/>
              </w:rPr>
              <w:t xml:space="preserve">Avis &amp; réputation, campagnes, changelog</w:t>
            </w:r>
          </w:p>
        </w:tc>
      </w:tr>
      <w:tr>
        <w:tc>
          <w:tcPr>
            <w:tcW w:w="3120" w:type="dxa"/>
            <w:vAlign w:val="center"/>
          </w:tcPr>
          <w:p>
            <w:pPr>
              <w:spacing w:before="20" w:after="20"/>
            </w:pPr>
            <w:r>
              <w:rPr>
                <w:sz w:val="18"/>
              </w:rPr>
              <w:t xml:space="preserve">ORG</w:t>
            </w:r>
          </w:p>
        </w:tc>
        <w:tc>
          <w:tcPr>
            <w:tcW w:w="3120" w:type="dxa"/>
            <w:vAlign w:val="center"/>
          </w:tcPr>
          <w:p>
            <w:pPr>
              <w:spacing w:before="20" w:after="20"/>
            </w:pPr>
            <w:r>
              <w:rPr>
                <w:sz w:val="18"/>
              </w:rPr>
              <w:t xml:space="preserve">Organisation &amp; plateforme</w:t>
            </w:r>
          </w:p>
        </w:tc>
        <w:tc>
          <w:tcPr>
            <w:tcW w:w="3120" w:type="dxa"/>
            <w:vAlign w:val="center"/>
          </w:tcPr>
          <w:p>
            <w:pPr>
              <w:spacing w:before="20" w:after="20"/>
            </w:pPr>
            <w:r>
              <w:rPr>
                <w:sz w:val="18"/>
              </w:rPr>
              <w:t xml:space="preserve">Équipe &amp; permissions, intégrations/API, RGPD, réglages, aide</w:t>
            </w:r>
          </w:p>
        </w:tc>
      </w:tr>
    </w:tbl>
    <w:p/>
    <w:p>
      <w:pPr>
        <w:pStyle w:val="Heading2"/>
        <w:spacing w:before="160" w:after="40"/>
      </w:pPr>
      <w:r>
        <w:rPr/>
        <w:t xml:space="preserve">6.3 Catalogue des fonctionnalités à implémenter</w:t>
      </w:r>
    </w:p>
    <w:p>
      <w:pPr>
        <w:spacing w:before="60" w:after="60"/>
        <w:shd w:val="clear" w:fill="F1ECE3"/>
        <w:pBdr>
          <w:left w:val="single" w:sz="18" w:space="8" w:color="C68A1F"/>
        </w:pBdr>
      </w:pPr>
      <w:r>
        <w:rPr>
          <w:i/>
          <w:color w:val="5A554D"/>
        </w:rPr>
        <w:t xml:space="preserve">Légende — priorité : M = indispensable · S = important · C = souhaitable. Phases : MVP, P2, P3, Toutes.  Le détail fiche par fiche (Objectif / Règles / Critères d'acceptation / Dépendances) figure dans le document </w:t>
      </w:r>
      <w:r>
        <w:rPr>
          <w:i/>
          <w:color w:val="5A554D"/>
          <w:b/>
        </w:rPr>
        <w:t xml:space="preserve">Spécifications fonctionnelles détaillées</w:t>
      </w:r>
      <w:r>
        <w:rPr>
          <w:i/>
          <w:color w:val="5A554D"/>
        </w:rPr>
        <w:t xml:space="preserve">.</w:t>
      </w:r>
    </w:p>
    <w:p>
      <w:pPr>
        <w:spacing w:before="0" w:after="80"/>
      </w:pPr>
      <w:r>
        <w:rPr>
          <w:b/>
        </w:rPr>
        <w:t xml:space="preserve">NAV — Socle, navigation &amp; recherche</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F-NAV-01</w:t>
            </w:r>
          </w:p>
        </w:tc>
        <w:tc>
          <w:tcPr>
            <w:tcW w:w="2340" w:type="dxa"/>
            <w:vAlign w:val="center"/>
          </w:tcPr>
          <w:p>
            <w:pPr>
              <w:spacing w:before="20" w:after="20"/>
            </w:pPr>
            <w:r>
              <w:rPr>
                <w:sz w:val="18"/>
              </w:rPr>
              <w:t xml:space="preserve">Présenter une sidebar fixe (220px) groupant la navigation en familles (Pilotage, Opérations, Supervision, Organisation), avec état actif et compteurs.</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F-NAV-02</w:t>
            </w:r>
          </w:p>
        </w:tc>
        <w:tc>
          <w:tcPr>
            <w:tcW w:w="2340" w:type="dxa"/>
            <w:vAlign w:val="center"/>
          </w:tcPr>
          <w:p>
            <w:pPr>
              <w:spacing w:before="20" w:after="20"/>
            </w:pPr>
            <w:r>
              <w:rPr>
                <w:sz w:val="18"/>
              </w:rPr>
              <w:t xml:space="preserve">Afficher une topbar avec breadcrumb contextuel s'adaptant aux pages de détail.</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F-NAV-03</w:t>
            </w:r>
          </w:p>
        </w:tc>
        <w:tc>
          <w:tcPr>
            <w:tcW w:w="2340" w:type="dxa"/>
            <w:vAlign w:val="center"/>
          </w:tcPr>
          <w:p>
            <w:pPr>
              <w:spacing w:before="20" w:after="20"/>
            </w:pPr>
            <w:r>
              <w:rPr>
                <w:sz w:val="18"/>
              </w:rPr>
              <w:t xml:space="preserve">Offrir une recherche globale ⌘K (palette de commandes) transverse aux écrans et aux entités.</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F-NAV-04</w:t>
            </w:r>
          </w:p>
        </w:tc>
        <w:tc>
          <w:tcPr>
            <w:tcW w:w="2340" w:type="dxa"/>
            <w:vAlign w:val="center"/>
          </w:tcPr>
          <w:p>
            <w:pPr>
              <w:spacing w:before="20" w:after="20"/>
            </w:pPr>
            <w:r>
              <w:rPr>
                <w:sz w:val="18"/>
              </w:rPr>
              <w:t xml:space="preserve">Permettre la bascule thème clair / sombre, persistée, sur des tokens de couleur.</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F-NAV-05</w:t>
            </w:r>
          </w:p>
        </w:tc>
        <w:tc>
          <w:tcPr>
            <w:tcW w:w="2340" w:type="dxa"/>
            <w:vAlign w:val="center"/>
          </w:tcPr>
          <w:p>
            <w:pPr>
              <w:spacing w:before="20" w:after="20"/>
            </w:pPr>
            <w:r>
              <w:rPr>
                <w:sz w:val="18"/>
              </w:rPr>
              <w:t xml:space="preserve">Fournir un inbox de notifications personnel (« ce qui me concerne »), distinct des alertes globales.</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F-NAV-06</w:t>
            </w:r>
          </w:p>
        </w:tc>
        <w:tc>
          <w:tcPr>
            <w:tcW w:w="2340" w:type="dxa"/>
            <w:vAlign w:val="center"/>
          </w:tcPr>
          <w:p>
            <w:pPr>
              <w:spacing w:before="20" w:after="20"/>
            </w:pPr>
            <w:r>
              <w:rPr>
                <w:sz w:val="18"/>
              </w:rPr>
              <w:t xml:space="preserve">Router les pages de détail (tag, lot, facture, membre) comme routes dédiées avec paramètres.</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bl>
    <w:p/>
    <w:p>
      <w:pPr>
        <w:spacing w:before="0" w:after="80"/>
      </w:pPr>
      <w:r>
        <w:rPr>
          <w:b/>
        </w:rPr>
        <w:t xml:space="preserve">DSH — Cockpit &amp; pilotage</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F-DSH-01</w:t>
            </w:r>
          </w:p>
        </w:tc>
        <w:tc>
          <w:tcPr>
            <w:tcW w:w="2340" w:type="dxa"/>
            <w:vAlign w:val="center"/>
          </w:tcPr>
          <w:p>
            <w:pPr>
              <w:spacing w:before="20" w:after="20"/>
            </w:pPr>
            <w:r>
              <w:rPr>
                <w:sz w:val="18"/>
              </w:rPr>
              <w:t xml:space="preserve">Afficher un cockpit d'accueil : ligne de bienvenue, statut système, 6 KPI clés du business.</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F-DSH-02</w:t>
            </w:r>
          </w:p>
        </w:tc>
        <w:tc>
          <w:tcPr>
            <w:tcW w:w="2340" w:type="dxa"/>
            <w:vAlign w:val="center"/>
          </w:tcPr>
          <w:p>
            <w:pPr>
              <w:spacing w:before="20" w:after="20"/>
            </w:pPr>
            <w:r>
              <w:rPr>
                <w:sz w:val="18"/>
              </w:rPr>
              <w:t xml:space="preserve">Rendre chaque KPI cliquable vers l'écran filtré correspondant.</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F-DSH-03</w:t>
            </w:r>
          </w:p>
        </w:tc>
        <w:tc>
          <w:tcPr>
            <w:tcW w:w="2340" w:type="dxa"/>
            <w:vAlign w:val="center"/>
          </w:tcPr>
          <w:p>
            <w:pPr>
              <w:spacing w:before="20" w:after="20"/>
            </w:pPr>
            <w:r>
              <w:rPr>
                <w:sz w:val="18"/>
              </w:rPr>
              <w:t xml:space="preserve">Présenter une carte de couverture géographique (villes équipées, dimensionnées au nombre de restaurants).</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F-DSH-04</w:t>
            </w:r>
          </w:p>
        </w:tc>
        <w:tc>
          <w:tcPr>
            <w:tcW w:w="2340" w:type="dxa"/>
            <w:vAlign w:val="center"/>
          </w:tcPr>
          <w:p>
            <w:pPr>
              <w:spacing w:before="20" w:after="20"/>
            </w:pPr>
            <w:r>
              <w:rPr>
                <w:sz w:val="18"/>
              </w:rPr>
              <w:t xml:space="preserve">Lister les alertes en cours, priorisées, avec accès au traitement.</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F-DSH-05</w:t>
            </w:r>
          </w:p>
        </w:tc>
        <w:tc>
          <w:tcPr>
            <w:tcW w:w="2340" w:type="dxa"/>
            <w:vAlign w:val="center"/>
          </w:tcPr>
          <w:p>
            <w:pPr>
              <w:spacing w:before="20" w:after="20"/>
            </w:pPr>
            <w:r>
              <w:rPr>
                <w:sz w:val="18"/>
              </w:rPr>
              <w:t xml:space="preserve">Tracer l'évolution du MRR et du nombre de restaurants équipés, avec sélecteurs de période fonctionnels.</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F-DSH-06</w:t>
            </w:r>
          </w:p>
        </w:tc>
        <w:tc>
          <w:tcPr>
            <w:tcW w:w="2340" w:type="dxa"/>
            <w:vAlign w:val="center"/>
          </w:tcPr>
          <w:p>
            <w:pPr>
              <w:spacing w:before="20" w:after="20"/>
            </w:pPr>
            <w:r>
              <w:rPr>
                <w:sz w:val="18"/>
              </w:rPr>
              <w:t xml:space="preserve">Offrir une carte de déploiement plein écran avec filtres et panneau ville.</w:t>
            </w:r>
          </w:p>
        </w:tc>
        <w:tc>
          <w:tcPr>
            <w:tcW w:w="2340" w:type="dxa"/>
            <w:vAlign w:val="center"/>
          </w:tcPr>
          <w:p>
            <w:pPr>
              <w:spacing w:before="20" w:after="20"/>
            </w:pPr>
            <w:r>
              <w:rPr>
                <w:sz w:val="18"/>
              </w:rPr>
              <w:t xml:space="preserve">C</w:t>
            </w:r>
          </w:p>
        </w:tc>
        <w:tc>
          <w:tcPr>
            <w:tcW w:w="2340" w:type="dxa"/>
            <w:vAlign w:val="center"/>
          </w:tcPr>
          <w:p>
            <w:pPr>
              <w:spacing w:before="20" w:after="20"/>
            </w:pPr>
            <w:r>
              <w:rPr>
                <w:sz w:val="18"/>
              </w:rPr>
              <w:t xml:space="preserve">P2</w:t>
            </w:r>
          </w:p>
        </w:tc>
      </w:tr>
    </w:tbl>
    <w:p/>
    <w:p>
      <w:pPr>
        <w:spacing w:before="0" w:after="80"/>
      </w:pPr>
      <w:r>
        <w:rPr>
          <w:b/>
        </w:rPr>
        <w:t xml:space="preserve">CRM — Restaurants clients</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F-CRM-01</w:t>
            </w:r>
          </w:p>
        </w:tc>
        <w:tc>
          <w:tcPr>
            <w:tcW w:w="2340" w:type="dxa"/>
            <w:vAlign w:val="center"/>
          </w:tcPr>
          <w:p>
            <w:pPr>
              <w:spacing w:before="20" w:after="20"/>
            </w:pPr>
            <w:r>
              <w:rPr>
                <w:sz w:val="18"/>
              </w:rPr>
              <w:t xml:space="preserve">Présenter une table dense des restaurants (forfait, tags, activations, note, health score, MRR, paiement).</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F-CRM-02</w:t>
            </w:r>
          </w:p>
        </w:tc>
        <w:tc>
          <w:tcPr>
            <w:tcW w:w="2340" w:type="dxa"/>
            <w:vAlign w:val="center"/>
          </w:tcPr>
          <w:p>
            <w:pPr>
              <w:spacing w:before="20" w:after="20"/>
            </w:pPr>
            <w:r>
              <w:rPr>
                <w:sz w:val="18"/>
              </w:rPr>
              <w:t xml:space="preserve">Filtrer par forfait, statut de paiement et health score.</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F-CRM-03</w:t>
            </w:r>
          </w:p>
        </w:tc>
        <w:tc>
          <w:tcPr>
            <w:tcW w:w="2340" w:type="dxa"/>
            <w:vAlign w:val="center"/>
          </w:tcPr>
          <w:p>
            <w:pPr>
              <w:spacing w:before="20" w:after="20"/>
            </w:pPr>
            <w:r>
              <w:rPr>
                <w:sz w:val="18"/>
              </w:rPr>
              <w:t xml:space="preserve">Ouvrir une fiche restaurant détaillée plein écran à onglets (Vue d'ensemble, Tags, Activité, Facturation, Notes, Historique).</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F-CRM-04</w:t>
            </w:r>
          </w:p>
        </w:tc>
        <w:tc>
          <w:tcPr>
            <w:tcW w:w="2340" w:type="dxa"/>
            <w:vAlign w:val="center"/>
          </w:tcPr>
          <w:p>
            <w:pPr>
              <w:spacing w:before="20" w:after="20"/>
            </w:pPr>
            <w:r>
              <w:rPr>
                <w:sz w:val="18"/>
              </w:rPr>
              <w:t xml:space="preserve">Permettre la création d'un restaurant.</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F-CRM-05</w:t>
            </w:r>
          </w:p>
        </w:tc>
        <w:tc>
          <w:tcPr>
            <w:tcW w:w="2340" w:type="dxa"/>
            <w:vAlign w:val="center"/>
          </w:tcPr>
          <w:p>
            <w:pPr>
              <w:spacing w:before="20" w:after="20"/>
            </w:pPr>
            <w:r>
              <w:rPr>
                <w:sz w:val="18"/>
              </w:rPr>
              <w:t xml:space="preserve">Coder le health score par couleur + valeur (olive &gt; 75, amber 50–75, terracotta &lt; 50).</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bl>
    <w:p/>
    <w:p>
      <w:pPr>
        <w:spacing w:before="0" w:after="80"/>
      </w:pPr>
      <w:r>
        <w:rPr>
          <w:b/>
        </w:rPr>
        <w:t xml:space="preserve">PIP — Commercial &amp; onboarding</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F-PIP-01</w:t>
            </w:r>
          </w:p>
        </w:tc>
        <w:tc>
          <w:tcPr>
            <w:tcW w:w="2340" w:type="dxa"/>
            <w:vAlign w:val="center"/>
          </w:tcPr>
          <w:p>
            <w:pPr>
              <w:spacing w:before="20" w:after="20"/>
            </w:pPr>
            <w:r>
              <w:rPr>
                <w:sz w:val="18"/>
              </w:rPr>
              <w:t xml:space="preserve">Gérer un pipeline d'opportunités en Kanban par étape (Contact → Démo → Devis → Négociation → Signé).</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r>
        <w:tc>
          <w:tcPr>
            <w:tcW w:w="2340" w:type="dxa"/>
            <w:vAlign w:val="center"/>
          </w:tcPr>
          <w:p>
            <w:pPr>
              <w:spacing w:before="20" w:after="20"/>
            </w:pPr>
            <w:r>
              <w:rPr>
                <w:sz w:val="18"/>
              </w:rPr>
              <w:t xml:space="preserve">F-PIP-02</w:t>
            </w:r>
          </w:p>
        </w:tc>
        <w:tc>
          <w:tcPr>
            <w:tcW w:w="2340" w:type="dxa"/>
            <w:vAlign w:val="center"/>
          </w:tcPr>
          <w:p>
            <w:pPr>
              <w:spacing w:before="20" w:after="20"/>
            </w:pPr>
            <w:r>
              <w:rPr>
                <w:sz w:val="18"/>
              </w:rPr>
              <w:t xml:space="preserve">Offrir une vue liste et une vue prévision de revenu pondérée.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r>
        <w:tc>
          <w:tcPr>
            <w:tcW w:w="2340" w:type="dxa"/>
            <w:vAlign w:val="center"/>
          </w:tcPr>
          <w:p>
            <w:pPr>
              <w:spacing w:before="20" w:after="20"/>
            </w:pPr>
            <w:r>
              <w:rPr>
                <w:sz w:val="18"/>
              </w:rPr>
              <w:t xml:space="preserve">F-PIP-03</w:t>
            </w:r>
          </w:p>
        </w:tc>
        <w:tc>
          <w:tcPr>
            <w:tcW w:w="2340" w:type="dxa"/>
            <w:vAlign w:val="center"/>
          </w:tcPr>
          <w:p>
            <w:pPr>
              <w:spacing w:before="20" w:after="20"/>
            </w:pPr>
            <w:r>
              <w:rPr>
                <w:sz w:val="18"/>
              </w:rPr>
              <w:t xml:space="preserve">Détailler une opportunité (valeurs, prochaine action, historique).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r>
        <w:tc>
          <w:tcPr>
            <w:tcW w:w="2340" w:type="dxa"/>
            <w:vAlign w:val="center"/>
          </w:tcPr>
          <w:p>
            <w:pPr>
              <w:spacing w:before="20" w:after="20"/>
            </w:pPr>
            <w:r>
              <w:rPr>
                <w:sz w:val="18"/>
              </w:rPr>
              <w:t xml:space="preserve">F-PIP-04</w:t>
            </w:r>
          </w:p>
        </w:tc>
        <w:tc>
          <w:tcPr>
            <w:tcW w:w="2340" w:type="dxa"/>
            <w:vAlign w:val="center"/>
          </w:tcPr>
          <w:p>
            <w:pPr>
              <w:spacing w:before="20" w:after="20"/>
            </w:pPr>
            <w:r>
              <w:rPr>
                <w:sz w:val="18"/>
              </w:rPr>
              <w:t xml:space="preserve">Suivre le pipeline d'onboarding des restaurants (contrat → provisionnement → installation → activation).</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bl>
    <w:p/>
    <w:p>
      <w:pPr>
        <w:spacing w:before="0" w:after="80"/>
      </w:pPr>
      <w:r>
        <w:rPr>
          <w:b/>
        </w:rPr>
        <w:t xml:space="preserve">NFC — Parc d'étiquettes NFC</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F-NFC-01</w:t>
            </w:r>
          </w:p>
        </w:tc>
        <w:tc>
          <w:tcPr>
            <w:tcW w:w="2340" w:type="dxa"/>
            <w:vAlign w:val="center"/>
          </w:tcPr>
          <w:p>
            <w:pPr>
              <w:spacing w:before="20" w:after="20"/>
            </w:pPr>
            <w:r>
              <w:rPr>
                <w:sz w:val="18"/>
              </w:rPr>
              <w:t xml:space="preserve">Présenter un inventaire dense des tags avec filtres complexes (UID, statut, type de puce, lot, restaurant, cycles).</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F-NFC-02</w:t>
            </w:r>
          </w:p>
        </w:tc>
        <w:tc>
          <w:tcPr>
            <w:tcW w:w="2340" w:type="dxa"/>
            <w:vAlign w:val="center"/>
          </w:tcPr>
          <w:p>
            <w:pPr>
              <w:spacing w:before="20" w:after="20"/>
            </w:pPr>
            <w:r>
              <w:rPr>
                <w:sz w:val="18"/>
              </w:rPr>
              <w:t xml:space="preserve">Coder chaque statut par une status pill stricte (encodée, en service, lavage, fin de vie, à remplacer, réformée).</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F-NFC-03</w:t>
            </w:r>
          </w:p>
        </w:tc>
        <w:tc>
          <w:tcPr>
            <w:tcW w:w="2340" w:type="dxa"/>
            <w:vAlign w:val="center"/>
          </w:tcPr>
          <w:p>
            <w:pPr>
              <w:spacing w:before="20" w:after="20"/>
            </w:pPr>
            <w:r>
              <w:rPr>
                <w:sz w:val="18"/>
              </w:rPr>
              <w:t xml:space="preserve">Afficher les cycles de lavage par une barre de progression colorée par seuil.</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F-NFC-04</w:t>
            </w:r>
          </w:p>
        </w:tc>
        <w:tc>
          <w:tcPr>
            <w:tcW w:w="2340" w:type="dxa"/>
            <w:vAlign w:val="center"/>
          </w:tcPr>
          <w:p>
            <w:pPr>
              <w:spacing w:before="20" w:after="20"/>
            </w:pPr>
            <w:r>
              <w:rPr>
                <w:sz w:val="18"/>
              </w:rPr>
              <w:t xml:space="preserve">Ouvrir un panneau latéral de détail tag, puis une route de détail plein écran.</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F-NFC-05</w:t>
            </w:r>
          </w:p>
        </w:tc>
        <w:tc>
          <w:tcPr>
            <w:tcW w:w="2340" w:type="dxa"/>
            <w:vAlign w:val="center"/>
          </w:tcPr>
          <w:p>
            <w:pPr>
              <w:spacing w:before="20" w:after="20"/>
            </w:pPr>
            <w:r>
              <w:rPr>
                <w:sz w:val="18"/>
              </w:rPr>
              <w:t xml:space="preserve">Détailler un lot (route dédiée) : courbe de mortalité, suivi d'expédition, répartition par restaurant.</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F-NFC-06</w:t>
            </w:r>
          </w:p>
        </w:tc>
        <w:tc>
          <w:tcPr>
            <w:tcW w:w="2340" w:type="dxa"/>
            <w:vAlign w:val="center"/>
          </w:tcPr>
          <w:p>
            <w:pPr>
              <w:spacing w:before="20" w:after="20"/>
            </w:pPr>
            <w:r>
              <w:rPr>
                <w:sz w:val="18"/>
              </w:rPr>
              <w:t xml:space="preserve">Affecter / réaffecter un lot ou un tag à un restaurant et à une table.</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F-NFC-07</w:t>
            </w:r>
          </w:p>
        </w:tc>
        <w:tc>
          <w:tcPr>
            <w:tcW w:w="2340" w:type="dxa"/>
            <w:vAlign w:val="center"/>
          </w:tcPr>
          <w:p>
            <w:pPr>
              <w:spacing w:before="20" w:after="20"/>
            </w:pPr>
            <w:r>
              <w:rPr>
                <w:sz w:val="18"/>
              </w:rPr>
              <w:t xml:space="preserve">Gérer le QR de repli associé à chaque tag (même URL que le NFC, correction d'erreur élevée).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F-NFC-08</w:t>
            </w:r>
          </w:p>
        </w:tc>
        <w:tc>
          <w:tcPr>
            <w:tcW w:w="2340" w:type="dxa"/>
            <w:vAlign w:val="center"/>
          </w:tcPr>
          <w:p>
            <w:pPr>
              <w:spacing w:before="20" w:after="20"/>
            </w:pPr>
            <w:r>
              <w:rPr>
                <w:sz w:val="18"/>
              </w:rPr>
              <w:t xml:space="preserve">Permettre la sélection multiple et des actions de masse.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MVP</w:t>
            </w:r>
          </w:p>
        </w:tc>
      </w:tr>
    </w:tbl>
    <w:p/>
    <w:p>
      <w:pPr>
        <w:spacing w:before="0" w:after="80"/>
      </w:pPr>
      <w:r>
        <w:rPr>
          <w:b/>
        </w:rPr>
        <w:t xml:space="preserve">PRV — Provisionnement &amp; approvisionnement</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F-PRV-01</w:t>
            </w:r>
          </w:p>
        </w:tc>
        <w:tc>
          <w:tcPr>
            <w:tcW w:w="2340" w:type="dxa"/>
            <w:vAlign w:val="center"/>
          </w:tcPr>
          <w:p>
            <w:pPr>
              <w:spacing w:before="20" w:after="20"/>
            </w:pPr>
            <w:r>
              <w:rPr>
                <w:sz w:val="18"/>
              </w:rPr>
              <w:t xml:space="preserve">Encoder un lot en temps réel avec compteur, vitesse, taux d'échec et flux des derniers tags.</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F-PRV-02</w:t>
            </w:r>
          </w:p>
        </w:tc>
        <w:tc>
          <w:tcPr>
            <w:tcW w:w="2340" w:type="dxa"/>
            <w:vAlign w:val="center"/>
          </w:tcPr>
          <w:p>
            <w:pPr>
              <w:spacing w:before="20" w:after="20"/>
            </w:pPr>
            <w:r>
              <w:rPr>
                <w:sz w:val="18"/>
              </w:rPr>
              <w:t xml:space="preserve">Gérer le contenu encodé : templates d'URL dynamiques (NDEF), placeholders, occupation mémoire, QR de repli.</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F-PRV-03</w:t>
            </w:r>
          </w:p>
        </w:tc>
        <w:tc>
          <w:tcPr>
            <w:tcW w:w="2340" w:type="dxa"/>
            <w:vAlign w:val="center"/>
          </w:tcPr>
          <w:p>
            <w:pPr>
              <w:spacing w:before="20" w:after="20"/>
            </w:pPr>
            <w:r>
              <w:rPr>
                <w:sz w:val="18"/>
              </w:rPr>
              <w:t xml:space="preserve">Tenir un inventaire des étiquettes vierges avec seuils de réapprovisionnement.</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F-PRV-04</w:t>
            </w:r>
          </w:p>
        </w:tc>
        <w:tc>
          <w:tcPr>
            <w:tcW w:w="2340" w:type="dxa"/>
            <w:vAlign w:val="center"/>
          </w:tcPr>
          <w:p>
            <w:pPr>
              <w:spacing w:before="20" w:after="20"/>
            </w:pPr>
            <w:r>
              <w:rPr>
                <w:sz w:val="18"/>
              </w:rPr>
              <w:t xml:space="preserve">Suivre les commandes fournisseurs (PO) : quantité, prix, réception, retard.</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bl>
    <w:p/>
    <w:p>
      <w:pPr>
        <w:spacing w:before="0" w:after="80"/>
      </w:pPr>
      <w:r>
        <w:rPr>
          <w:b/>
        </w:rPr>
        <w:t xml:space="preserve">SEC — Sécurité &amp; authentification NFC</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F-SEC-01</w:t>
            </w:r>
          </w:p>
        </w:tc>
        <w:tc>
          <w:tcPr>
            <w:tcW w:w="2340" w:type="dxa"/>
            <w:vAlign w:val="center"/>
          </w:tcPr>
          <w:p>
            <w:pPr>
              <w:spacing w:before="20" w:after="20"/>
            </w:pPr>
            <w:r>
              <w:rPr>
                <w:sz w:val="18"/>
              </w:rPr>
              <w:t xml:space="preserve">Gérer les clés maîtresses (K0–K4, AES-128) : usage, rotation, statut, stockage HSM.</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F-SEC-02</w:t>
            </w:r>
          </w:p>
        </w:tc>
        <w:tc>
          <w:tcPr>
            <w:tcW w:w="2340" w:type="dxa"/>
            <w:vAlign w:val="center"/>
          </w:tcPr>
          <w:p>
            <w:pPr>
              <w:spacing w:before="20" w:after="20"/>
            </w:pPr>
            <w:r>
              <w:rPr>
                <w:sz w:val="18"/>
              </w:rPr>
              <w:t xml:space="preserve">Configurer le Secure Dynamic Messaging (SDM) : template d'URL, champs miroir, paramètres cryptographiques.</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F-SEC-03</w:t>
            </w:r>
          </w:p>
        </w:tc>
        <w:tc>
          <w:tcPr>
            <w:tcW w:w="2340" w:type="dxa"/>
            <w:vAlign w:val="center"/>
          </w:tcPr>
          <w:p>
            <w:pPr>
              <w:spacing w:before="20" w:after="20"/>
            </w:pPr>
            <w:r>
              <w:rPr>
                <w:sz w:val="18"/>
              </w:rPr>
              <w:t xml:space="preserve">Tenir un journal de sécurité des événements d'authentification (échec CMAC, rejeu, UID inconnu).</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F-SEC-04</w:t>
            </w:r>
          </w:p>
        </w:tc>
        <w:tc>
          <w:tcPr>
            <w:tcW w:w="2340" w:type="dxa"/>
            <w:vAlign w:val="center"/>
          </w:tcPr>
          <w:p>
            <w:pPr>
              <w:spacing w:before="20" w:after="20"/>
            </w:pPr>
            <w:r>
              <w:rPr>
                <w:sz w:val="18"/>
              </w:rPr>
              <w:t xml:space="preserve">Offrir un diagnostic de tag en direct (lecture NDEF, validation CMAC, compteur, test d'écriture).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bl>
    <w:p/>
    <w:p>
      <w:pPr>
        <w:spacing w:before="0" w:after="80"/>
      </w:pPr>
      <w:r>
        <w:rPr>
          <w:b/>
        </w:rPr>
        <w:t xml:space="preserve">FLT — Santé du parc &amp; qualité</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F-FLT-01</w:t>
            </w:r>
          </w:p>
        </w:tc>
        <w:tc>
          <w:tcPr>
            <w:tcW w:w="2340" w:type="dxa"/>
            <w:vAlign w:val="center"/>
          </w:tcPr>
          <w:p>
            <w:pPr>
              <w:spacing w:before="20" w:after="20"/>
            </w:pPr>
            <w:r>
              <w:rPr>
                <w:sz w:val="18"/>
              </w:rPr>
              <w:t xml:space="preserve">Cartographier les tags hors-service par ville et lister les lots à risque.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F-FLT-02</w:t>
            </w:r>
          </w:p>
        </w:tc>
        <w:tc>
          <w:tcPr>
            <w:tcW w:w="2340" w:type="dxa"/>
            <w:vAlign w:val="center"/>
          </w:tcPr>
          <w:p>
            <w:pPr>
              <w:spacing w:before="20" w:after="20"/>
            </w:pPr>
            <w:r>
              <w:rPr>
                <w:sz w:val="18"/>
              </w:rPr>
              <w:t xml:space="preserve">Identifier les tags jamais activés depuis livraison et les fins de vie en masse.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F-FLT-03</w:t>
            </w:r>
          </w:p>
        </w:tc>
        <w:tc>
          <w:tcPr>
            <w:tcW w:w="2340" w:type="dxa"/>
            <w:vAlign w:val="center"/>
          </w:tcPr>
          <w:p>
            <w:pPr>
              <w:spacing w:before="20" w:after="20"/>
            </w:pPr>
            <w:r>
              <w:rPr>
                <w:sz w:val="18"/>
              </w:rPr>
              <w:t xml:space="preserve">Gérer les retours / SAV (RMA) : motifs, garantie, suivi de remplacement.</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F-FLT-04</w:t>
            </w:r>
          </w:p>
        </w:tc>
        <w:tc>
          <w:tcPr>
            <w:tcW w:w="2340" w:type="dxa"/>
            <w:vAlign w:val="center"/>
          </w:tcPr>
          <w:p>
            <w:pPr>
              <w:spacing w:before="20" w:after="20"/>
            </w:pPr>
            <w:r>
              <w:rPr>
                <w:sz w:val="18"/>
              </w:rPr>
              <w:t xml:space="preserve">Comparer la qualité des fournisseurs (taux d'échec, mortalité, durée de vie, coût).</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bl>
    <w:p/>
    <w:p>
      <w:pPr>
        <w:spacing w:before="0" w:after="80"/>
      </w:pPr>
      <w:r>
        <w:rPr>
          <w:b/>
        </w:rPr>
        <w:t xml:space="preserve">FIN — Abonnements &amp; facturation</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F-FIN-01</w:t>
            </w:r>
          </w:p>
        </w:tc>
        <w:tc>
          <w:tcPr>
            <w:tcW w:w="2340" w:type="dxa"/>
            <w:vAlign w:val="center"/>
          </w:tcPr>
          <w:p>
            <w:pPr>
              <w:spacing w:before="20" w:after="20"/>
            </w:pPr>
            <w:r>
              <w:rPr>
                <w:sz w:val="18"/>
              </w:rPr>
              <w:t xml:space="preserve">Présenter MRR / ARR / encours impayés et les onglets Abonnements, Factures, Impayés, Coupons.</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F-FIN-02</w:t>
            </w:r>
          </w:p>
        </w:tc>
        <w:tc>
          <w:tcPr>
            <w:tcW w:w="2340" w:type="dxa"/>
            <w:vAlign w:val="center"/>
          </w:tcPr>
          <w:p>
            <w:pPr>
              <w:spacing w:before="20" w:after="20"/>
            </w:pPr>
            <w:r>
              <w:rPr>
                <w:sz w:val="18"/>
              </w:rPr>
              <w:t xml:space="preserve">Détailler une facture (route dédiée) : lignes, HT/TVA/TTC, échéancier, relances, avoirs, aperçu PDF.</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F-FIN-03</w:t>
            </w:r>
          </w:p>
        </w:tc>
        <w:tc>
          <w:tcPr>
            <w:tcW w:w="2340" w:type="dxa"/>
            <w:vAlign w:val="center"/>
          </w:tcPr>
          <w:p>
            <w:pPr>
              <w:spacing w:before="20" w:after="20"/>
            </w:pPr>
            <w:r>
              <w:rPr>
                <w:sz w:val="18"/>
              </w:rPr>
              <w:t xml:space="preserve">Gérer les coupons &amp; promotions (usage, expiration, création).</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r>
        <w:tc>
          <w:tcPr>
            <w:tcW w:w="2340" w:type="dxa"/>
            <w:vAlign w:val="center"/>
          </w:tcPr>
          <w:p>
            <w:pPr>
              <w:spacing w:before="20" w:after="20"/>
            </w:pPr>
            <w:r>
              <w:rPr>
                <w:sz w:val="18"/>
              </w:rPr>
              <w:t xml:space="preserve">F-FIN-04</w:t>
            </w:r>
          </w:p>
        </w:tc>
        <w:tc>
          <w:tcPr>
            <w:tcW w:w="2340" w:type="dxa"/>
            <w:vAlign w:val="center"/>
          </w:tcPr>
          <w:p>
            <w:pPr>
              <w:spacing w:before="20" w:after="20"/>
            </w:pPr>
            <w:r>
              <w:rPr>
                <w:sz w:val="18"/>
              </w:rPr>
              <w:t xml:space="preserve">Définir le catalogue &amp; la grille tarifaire (forfaits, options, matériel, prix par pays).</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bl>
    <w:p/>
    <w:p>
      <w:pPr>
        <w:spacing w:before="0" w:after="80"/>
      </w:pPr>
      <w:r>
        <w:rPr>
          <w:b/>
        </w:rPr>
        <w:t xml:space="preserve">SUP — Supervision, alertes &amp; audit</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F-SUP-01</w:t>
            </w:r>
          </w:p>
        </w:tc>
        <w:tc>
          <w:tcPr>
            <w:tcW w:w="2340" w:type="dxa"/>
            <w:vAlign w:val="center"/>
          </w:tcPr>
          <w:p>
            <w:pPr>
              <w:spacing w:before="20" w:after="20"/>
            </w:pPr>
            <w:r>
              <w:rPr>
                <w:sz w:val="18"/>
              </w:rPr>
              <w:t xml:space="preserve">Centraliser les alertes (vues sauvegardées, catégories, assignation, statut, historique de traitement).</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F-SUP-02</w:t>
            </w:r>
          </w:p>
        </w:tc>
        <w:tc>
          <w:tcPr>
            <w:tcW w:w="2340" w:type="dxa"/>
            <w:vAlign w:val="center"/>
          </w:tcPr>
          <w:p>
            <w:pPr>
              <w:spacing w:before="20" w:after="20"/>
            </w:pPr>
            <w:r>
              <w:rPr>
                <w:sz w:val="18"/>
              </w:rPr>
              <w:t xml:space="preserve">Superviser le statut système (services, latences, stations, jobs, incidents).</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F-SUP-03</w:t>
            </w:r>
          </w:p>
        </w:tc>
        <w:tc>
          <w:tcPr>
            <w:tcW w:w="2340" w:type="dxa"/>
            <w:vAlign w:val="center"/>
          </w:tcPr>
          <w:p>
            <w:pPr>
              <w:spacing w:before="20" w:after="20"/>
            </w:pPr>
            <w:r>
              <w:rPr>
                <w:sz w:val="18"/>
              </w:rPr>
              <w:t xml:space="preserve">Tenir un journal d'audit horodaté (acteur, action, ressource, IP).</w:t>
            </w:r>
          </w:p>
        </w:tc>
        <w:tc>
          <w:tcPr>
            <w:tcW w:w="2340" w:type="dxa"/>
            <w:vAlign w:val="center"/>
          </w:tcPr>
          <w:p>
            <w:pPr>
              <w:spacing w:before="20" w:after="20"/>
            </w:pPr>
            <w:r>
              <w:rPr>
                <w:sz w:val="18"/>
              </w:rPr>
              <w:t xml:space="preserve">M</w:t>
            </w:r>
          </w:p>
        </w:tc>
        <w:tc>
          <w:tcPr>
            <w:tcW w:w="2340" w:type="dxa"/>
            <w:vAlign w:val="center"/>
          </w:tcPr>
          <w:p>
            <w:pPr>
              <w:spacing w:before="20" w:after="20"/>
            </w:pPr>
            <w:r>
              <w:rPr>
                <w:sz w:val="18"/>
              </w:rPr>
              <w:t xml:space="preserve">MVP</w:t>
            </w:r>
          </w:p>
        </w:tc>
      </w:tr>
      <w:tr>
        <w:tc>
          <w:tcPr>
            <w:tcW w:w="2340" w:type="dxa"/>
            <w:vAlign w:val="center"/>
          </w:tcPr>
          <w:p>
            <w:pPr>
              <w:spacing w:before="20" w:after="20"/>
            </w:pPr>
            <w:r>
              <w:rPr>
                <w:sz w:val="18"/>
              </w:rPr>
              <w:t xml:space="preserve">F-SUP-04</w:t>
            </w:r>
          </w:p>
        </w:tc>
        <w:tc>
          <w:tcPr>
            <w:tcW w:w="2340" w:type="dxa"/>
            <w:vAlign w:val="center"/>
          </w:tcPr>
          <w:p>
            <w:pPr>
              <w:spacing w:before="20" w:after="20"/>
            </w:pPr>
            <w:r>
              <w:rPr>
                <w:sz w:val="18"/>
              </w:rPr>
              <w:t xml:space="preserve">Générer et planifier des exports / rapports.</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bl>
    <w:p/>
    <w:p>
      <w:pPr>
        <w:spacing w:before="0" w:after="80"/>
      </w:pPr>
      <w:r>
        <w:rPr>
          <w:b/>
        </w:rPr>
        <w:t xml:space="preserve">ANL — Analytics, taps &amp; IA</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F-ANL-01</w:t>
            </w:r>
          </w:p>
        </w:tc>
        <w:tc>
          <w:tcPr>
            <w:tcW w:w="2340" w:type="dxa"/>
            <w:vAlign w:val="center"/>
          </w:tcPr>
          <w:p>
            <w:pPr>
              <w:spacing w:before="20" w:after="20"/>
            </w:pPr>
            <w:r>
              <w:rPr>
                <w:sz w:val="18"/>
              </w:rPr>
              <w:t xml:space="preserve">Présenter les analytics globaux de la plateforme.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F-ANL-02</w:t>
            </w:r>
          </w:p>
        </w:tc>
        <w:tc>
          <w:tcPr>
            <w:tcW w:w="2340" w:type="dxa"/>
            <w:vAlign w:val="center"/>
          </w:tcPr>
          <w:p>
            <w:pPr>
              <w:spacing w:before="20" w:after="20"/>
            </w:pPr>
            <w:r>
              <w:rPr>
                <w:sz w:val="18"/>
              </w:rPr>
              <w:t xml:space="preserve">Analyser les taps avec les signaux propres au NFC (taux de repli QR, OS, conversion, usure).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F-ANL-03</w:t>
            </w:r>
          </w:p>
        </w:tc>
        <w:tc>
          <w:tcPr>
            <w:tcW w:w="2340" w:type="dxa"/>
            <w:vAlign w:val="center"/>
          </w:tcPr>
          <w:p>
            <w:pPr>
              <w:spacing w:before="20" w:after="20"/>
            </w:pPr>
            <w:r>
              <w:rPr>
                <w:sz w:val="18"/>
              </w:rPr>
              <w:t xml:space="preserve">Prédire la fin de vie des tags par croisement usure / repli QR / mortalité du lot.</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F-ANL-04</w:t>
            </w:r>
          </w:p>
        </w:tc>
        <w:tc>
          <w:tcPr>
            <w:tcW w:w="2340" w:type="dxa"/>
            <w:vAlign w:val="center"/>
          </w:tcPr>
          <w:p>
            <w:pPr>
              <w:spacing w:before="20" w:after="20"/>
            </w:pPr>
            <w:r>
              <w:rPr>
                <w:sz w:val="18"/>
              </w:rPr>
              <w:t xml:space="preserve">Détecter les anomalies comportementales sur les taps (chute, pic, dérive, géographie).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F-ANL-05</w:t>
            </w:r>
          </w:p>
        </w:tc>
        <w:tc>
          <w:tcPr>
            <w:tcW w:w="2340" w:type="dxa"/>
            <w:vAlign w:val="center"/>
          </w:tcPr>
          <w:p>
            <w:pPr>
              <w:spacing w:before="20" w:after="20"/>
            </w:pPr>
            <w:r>
              <w:rPr>
                <w:sz w:val="18"/>
              </w:rPr>
              <w:t xml:space="preserve">Prédire le churn des restaurants à partir des signaux NFC.</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bl>
    <w:p/>
    <w:p>
      <w:pPr>
        <w:spacing w:before="0" w:after="80"/>
      </w:pPr>
      <w:r>
        <w:rPr>
          <w:b/>
        </w:rPr>
        <w:t xml:space="preserve">COM — Avis, campagnes &amp; versions</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F-COM-01</w:t>
            </w:r>
          </w:p>
        </w:tc>
        <w:tc>
          <w:tcPr>
            <w:tcW w:w="2340" w:type="dxa"/>
            <w:vAlign w:val="center"/>
          </w:tcPr>
          <w:p>
            <w:pPr>
              <w:spacing w:before="20" w:after="20"/>
            </w:pPr>
            <w:r>
              <w:rPr>
                <w:sz w:val="18"/>
              </w:rPr>
              <w:t xml:space="preserve">Suivre et modérer les avis convives déposés via tap (source NFC/QR, réponse).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P2</w:t>
            </w:r>
          </w:p>
        </w:tc>
      </w:tr>
      <w:tr>
        <w:tc>
          <w:tcPr>
            <w:tcW w:w="2340" w:type="dxa"/>
            <w:vAlign w:val="center"/>
          </w:tcPr>
          <w:p>
            <w:pPr>
              <w:spacing w:before="20" w:after="20"/>
            </w:pPr>
            <w:r>
              <w:rPr>
                <w:sz w:val="18"/>
              </w:rPr>
              <w:t xml:space="preserve">F-COM-02</w:t>
            </w:r>
          </w:p>
        </w:tc>
        <w:tc>
          <w:tcPr>
            <w:tcW w:w="2340" w:type="dxa"/>
            <w:vAlign w:val="center"/>
          </w:tcPr>
          <w:p>
            <w:pPr>
              <w:spacing w:before="20" w:after="20"/>
            </w:pPr>
            <w:r>
              <w:rPr>
                <w:sz w:val="18"/>
              </w:rPr>
              <w:t xml:space="preserve">Gérer des campagnes de communication aux restaurants (e-mail, bannière, in-app).</w:t>
            </w:r>
          </w:p>
        </w:tc>
        <w:tc>
          <w:tcPr>
            <w:tcW w:w="2340" w:type="dxa"/>
            <w:vAlign w:val="center"/>
          </w:tcPr>
          <w:p>
            <w:pPr>
              <w:spacing w:before="20" w:after="20"/>
            </w:pPr>
            <w:r>
              <w:rPr>
                <w:sz w:val="18"/>
              </w:rPr>
              <w:t xml:space="preserve">C</w:t>
            </w:r>
          </w:p>
        </w:tc>
        <w:tc>
          <w:tcPr>
            <w:tcW w:w="2340" w:type="dxa"/>
            <w:vAlign w:val="center"/>
          </w:tcPr>
          <w:p>
            <w:pPr>
              <w:spacing w:before="20" w:after="20"/>
            </w:pPr>
            <w:r>
              <w:rPr>
                <w:sz w:val="18"/>
              </w:rPr>
              <w:t xml:space="preserve">P3</w:t>
            </w:r>
          </w:p>
        </w:tc>
      </w:tr>
      <w:tr>
        <w:tc>
          <w:tcPr>
            <w:tcW w:w="2340" w:type="dxa"/>
            <w:vAlign w:val="center"/>
          </w:tcPr>
          <w:p>
            <w:pPr>
              <w:spacing w:before="20" w:after="20"/>
            </w:pPr>
            <w:r>
              <w:rPr>
                <w:sz w:val="18"/>
              </w:rPr>
              <w:t xml:space="preserve">F-COM-03</w:t>
            </w:r>
          </w:p>
        </w:tc>
        <w:tc>
          <w:tcPr>
            <w:tcW w:w="2340" w:type="dxa"/>
            <w:vAlign w:val="center"/>
          </w:tcPr>
          <w:p>
            <w:pPr>
              <w:spacing w:before="20" w:after="20"/>
            </w:pPr>
            <w:r>
              <w:rPr>
                <w:sz w:val="18"/>
              </w:rPr>
              <w:t xml:space="preserve">Tenir un changelog de versions notifiable aux restaurants.</w:t>
            </w:r>
          </w:p>
        </w:tc>
        <w:tc>
          <w:tcPr>
            <w:tcW w:w="2340" w:type="dxa"/>
            <w:vAlign w:val="center"/>
          </w:tcPr>
          <w:p>
            <w:pPr>
              <w:spacing w:before="20" w:after="20"/>
            </w:pPr>
            <w:r>
              <w:rPr>
                <w:sz w:val="18"/>
              </w:rPr>
              <w:t xml:space="preserve">C</w:t>
            </w:r>
          </w:p>
        </w:tc>
        <w:tc>
          <w:tcPr>
            <w:tcW w:w="2340" w:type="dxa"/>
            <w:vAlign w:val="center"/>
          </w:tcPr>
          <w:p>
            <w:pPr>
              <w:spacing w:before="20" w:after="20"/>
            </w:pPr>
            <w:r>
              <w:rPr>
                <w:sz w:val="18"/>
              </w:rPr>
              <w:t xml:space="preserve">P3</w:t>
            </w:r>
          </w:p>
        </w:tc>
      </w:tr>
    </w:tbl>
    <w:p/>
    <w:p>
      <w:pPr>
        <w:spacing w:before="0" w:after="80"/>
      </w:pPr>
      <w:r>
        <w:rPr>
          <w:b/>
        </w:rPr>
        <w:t xml:space="preserve">ORG — Organisation &amp; plateforme</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2340"/>
        <w:gridCol w:w="2340"/>
        <w:gridCol w:w="2340"/>
        <w:gridCol w:w="2340"/>
      </w:tblGrid>
      <w:tr>
        <w:trPr>
          <w:tblHeader/>
        </w:trPr>
        <w:tc>
          <w:tcPr>
            <w:tcW w:w="2340" w:type="dxa"/>
            <w:shd w:val="clear" w:fill="1C1A17"/>
            <w:vAlign w:val="center"/>
          </w:tcPr>
          <w:p>
            <w:pPr>
              <w:spacing w:before="20" w:after="20"/>
              <w:shd w:val="clear" w:fill="1C1A17"/>
            </w:pPr>
            <w:r>
              <w:rPr>
                <w:b/>
                <w:color w:val="FAF7F2"/>
                <w:sz w:val="18"/>
              </w:rPr>
              <w:t xml:space="preserve">Réf</w:t>
            </w:r>
          </w:p>
        </w:tc>
        <w:tc>
          <w:tcPr>
            <w:tcW w:w="2340" w:type="dxa"/>
            <w:shd w:val="clear" w:fill="1C1A17"/>
            <w:vAlign w:val="center"/>
          </w:tcPr>
          <w:p>
            <w:pPr>
              <w:spacing w:before="20" w:after="20"/>
              <w:shd w:val="clear" w:fill="1C1A17"/>
            </w:pPr>
            <w:r>
              <w:rPr>
                <w:b/>
                <w:color w:val="FAF7F2"/>
                <w:sz w:val="18"/>
              </w:rPr>
              <w:t xml:space="preserve">Exigence</w:t>
            </w:r>
          </w:p>
        </w:tc>
        <w:tc>
          <w:tcPr>
            <w:tcW w:w="2340" w:type="dxa"/>
            <w:shd w:val="clear" w:fill="1C1A17"/>
            <w:vAlign w:val="center"/>
          </w:tcPr>
          <w:p>
            <w:pPr>
              <w:spacing w:before="20" w:after="20"/>
              <w:shd w:val="clear" w:fill="1C1A17"/>
            </w:pPr>
            <w:r>
              <w:rPr>
                <w:b/>
                <w:color w:val="FAF7F2"/>
                <w:sz w:val="18"/>
              </w:rPr>
              <w:t xml:space="preserve">Prio</w:t>
            </w:r>
          </w:p>
        </w:tc>
        <w:tc>
          <w:tcPr>
            <w:tcW w:w="2340" w:type="dxa"/>
            <w:shd w:val="clear" w:fill="1C1A17"/>
            <w:vAlign w:val="center"/>
          </w:tcPr>
          <w:p>
            <w:pPr>
              <w:spacing w:before="20" w:after="20"/>
              <w:shd w:val="clear" w:fill="1C1A17"/>
            </w:pPr>
            <w:r>
              <w:rPr>
                <w:b/>
                <w:color w:val="FAF7F2"/>
                <w:sz w:val="18"/>
              </w:rPr>
              <w:t xml:space="preserve">Phase</w:t>
            </w:r>
          </w:p>
        </w:tc>
      </w:tr>
      <w:tr>
        <w:tc>
          <w:tcPr>
            <w:tcW w:w="2340" w:type="dxa"/>
            <w:vAlign w:val="center"/>
          </w:tcPr>
          <w:p>
            <w:pPr>
              <w:spacing w:before="20" w:after="20"/>
            </w:pPr>
            <w:r>
              <w:rPr>
                <w:sz w:val="18"/>
              </w:rPr>
              <w:t xml:space="preserve">F-ORG-01</w:t>
            </w:r>
          </w:p>
        </w:tc>
        <w:tc>
          <w:tcPr>
            <w:tcW w:w="2340" w:type="dxa"/>
            <w:vAlign w:val="center"/>
          </w:tcPr>
          <w:p>
            <w:pPr>
              <w:spacing w:before="20" w:after="20"/>
            </w:pPr>
            <w:r>
              <w:rPr>
                <w:sz w:val="18"/>
              </w:rPr>
              <w:t xml:space="preserve">Gérer l'équipe Lamiba et la matrice de rôles &amp; permissions par module.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r>
        <w:tc>
          <w:tcPr>
            <w:tcW w:w="2340" w:type="dxa"/>
            <w:vAlign w:val="center"/>
          </w:tcPr>
          <w:p>
            <w:pPr>
              <w:spacing w:before="20" w:after="20"/>
            </w:pPr>
            <w:r>
              <w:rPr>
                <w:sz w:val="18"/>
              </w:rPr>
              <w:t xml:space="preserve">F-ORG-02</w:t>
            </w:r>
          </w:p>
        </w:tc>
        <w:tc>
          <w:tcPr>
            <w:tcW w:w="2340" w:type="dxa"/>
            <w:vAlign w:val="center"/>
          </w:tcPr>
          <w:p>
            <w:pPr>
              <w:spacing w:before="20" w:after="20"/>
            </w:pPr>
            <w:r>
              <w:rPr>
                <w:sz w:val="18"/>
              </w:rPr>
              <w:t xml:space="preserve">Détailler une fiche membre (comptes gérés, activité, permissions, journal d'actions).</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r>
        <w:tc>
          <w:tcPr>
            <w:tcW w:w="2340" w:type="dxa"/>
            <w:vAlign w:val="center"/>
          </w:tcPr>
          <w:p>
            <w:pPr>
              <w:spacing w:before="20" w:after="20"/>
            </w:pPr>
            <w:r>
              <w:rPr>
                <w:sz w:val="18"/>
              </w:rPr>
              <w:t xml:space="preserve">F-ORG-03</w:t>
            </w:r>
          </w:p>
        </w:tc>
        <w:tc>
          <w:tcPr>
            <w:tcW w:w="2340" w:type="dxa"/>
            <w:vAlign w:val="center"/>
          </w:tcPr>
          <w:p>
            <w:pPr>
              <w:spacing w:before="20" w:after="20"/>
            </w:pPr>
            <w:r>
              <w:rPr>
                <w:sz w:val="18"/>
              </w:rPr>
              <w:t xml:space="preserve">Gérer les intégrations, clés API et webhooks.</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r>
        <w:tc>
          <w:tcPr>
            <w:tcW w:w="2340" w:type="dxa"/>
            <w:vAlign w:val="center"/>
          </w:tcPr>
          <w:p>
            <w:pPr>
              <w:spacing w:before="20" w:after="20"/>
            </w:pPr>
            <w:r>
              <w:rPr>
                <w:sz w:val="18"/>
              </w:rPr>
              <w:t xml:space="preserve">F-ORG-04</w:t>
            </w:r>
          </w:p>
        </w:tc>
        <w:tc>
          <w:tcPr>
            <w:tcW w:w="2340" w:type="dxa"/>
            <w:vAlign w:val="center"/>
          </w:tcPr>
          <w:p>
            <w:pPr>
              <w:spacing w:before="20" w:after="20"/>
            </w:pPr>
            <w:r>
              <w:rPr>
                <w:sz w:val="18"/>
              </w:rPr>
              <w:t xml:space="preserve">Traiter la conformité RGPD (demandes, registre des traitements).</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r>
        <w:tc>
          <w:tcPr>
            <w:tcW w:w="2340" w:type="dxa"/>
            <w:vAlign w:val="center"/>
          </w:tcPr>
          <w:p>
            <w:pPr>
              <w:spacing w:before="20" w:after="20"/>
            </w:pPr>
            <w:r>
              <w:rPr>
                <w:sz w:val="18"/>
              </w:rPr>
              <w:t xml:space="preserve">F-ORG-05</w:t>
            </w:r>
          </w:p>
        </w:tc>
        <w:tc>
          <w:tcPr>
            <w:tcW w:w="2340" w:type="dxa"/>
            <w:vAlign w:val="center"/>
          </w:tcPr>
          <w:p>
            <w:pPr>
              <w:spacing w:before="20" w:after="20"/>
            </w:pPr>
            <w:r>
              <w:rPr>
                <w:sz w:val="18"/>
              </w:rPr>
              <w:t xml:space="preserve">Offrir réglages, profil/compte (2FA, sessions, préférences) et centre d'aide.</w:t>
            </w:r>
          </w:p>
        </w:tc>
        <w:tc>
          <w:tcPr>
            <w:tcW w:w="2340" w:type="dxa"/>
            <w:vAlign w:val="center"/>
          </w:tcPr>
          <w:p>
            <w:pPr>
              <w:spacing w:before="20" w:after="20"/>
            </w:pPr>
            <w:r>
              <w:rPr>
                <w:sz w:val="18"/>
              </w:rPr>
              <w:t xml:space="preserve">S</w:t>
            </w:r>
          </w:p>
        </w:tc>
        <w:tc>
          <w:tcPr>
            <w:tcW w:w="2340" w:type="dxa"/>
            <w:vAlign w:val="center"/>
          </w:tcPr>
          <w:p>
            <w:pPr>
              <w:spacing w:before="20" w:after="20"/>
            </w:pPr>
            <w:r>
              <w:rPr>
                <w:sz w:val="18"/>
              </w:rPr>
              <w:t xml:space="preserve">P3</w:t>
            </w:r>
          </w:p>
        </w:tc>
      </w:tr>
    </w:tbl>
    <w:p/>
    <w:p>
      <w:pPr>
        <w:pStyle w:val="Heading2"/>
        <w:spacing w:before="160" w:after="40"/>
      </w:pPr>
      <w:r>
        <w:rPr/>
        <w:t xml:space="preserve">6.4 Spécifications approfondies des fonctions cœur</w:t>
      </w:r>
    </w:p>
    <w:p>
      <w:pPr>
        <w:spacing w:before="0" w:after="80"/>
      </w:pPr>
      <w:r>
        <w:rPr>
          <w:b/>
        </w:rPr>
        <w:t xml:space="preserve">F-NFC-01 — Inventaire du parc NFC.</w:t>
      </w:r>
      <w:r>
        <w:rPr/>
        <w:t xml:space="preserve"> L'écran le plus dense et le plus fonctionnel, où l'opérationnel passe le plus de temps. Une table dense (rangées 40–44px) liste chaque tag avec short UID (mono), UID complet, type de puce, lot cliquable, restaurant, table, </w:t>
      </w:r>
      <w:r>
        <w:rPr>
          <w:b/>
        </w:rPr>
        <w:t xml:space="preserve">statut</w:t>
      </w:r>
      <w:r>
        <w:rPr/>
        <w:t xml:space="preserve"> (status pill), </w:t>
      </w:r>
      <w:r>
        <w:rPr>
          <w:b/>
        </w:rPr>
        <w:t xml:space="preserve">cycles de lavage</w:t>
      </w:r>
      <w:r>
        <w:rPr/>
        <w:t xml:space="preserve"> (barre olive &lt; 70 %, amber 70–90 %, terracotta &gt; 90 %), dernière activité et menu d'actions. Une rangée de filtres complexes (recherche UID, statut multi-select avec compteurs, type, lot, restaurant, cycles) précède la table. La sélection multiple fait apparaître une barre d'actions de masse ; la pagination agit réellement sur les données.</w:t>
      </w:r>
    </w:p>
    <w:p>
      <w:pPr>
        <w:spacing w:before="0" w:after="80"/>
      </w:pPr>
      <w:r>
        <w:rPr/>
        <w:t xml:space="preserve">*Critère d'acceptation : un screenshot d'une table dense est indiscernable d'un outil de classe Linear/Attio, sans surcharge visuelle.*</w:t>
      </w:r>
    </w:p>
    <w:p>
      <w:pPr>
        <w:spacing w:before="0" w:after="80"/>
      </w:pPr>
      <w:r>
        <w:rPr>
          <w:b/>
        </w:rPr>
        <w:t xml:space="preserve">F-DSH-01 — Cockpit d'accueil.</w:t>
      </w:r>
      <w:r>
        <w:rPr/>
        <w:t xml:space="preserve"> Écran ouvert à la connexion, donnant une vue immédiate de l'état du business : ligne de bienvenue, statut système (point coloré + « tous services opérationnels » cliquable), 6 KPI (restaurants équipés, tags actifs, activations 7j, MRR, tags à remplacer, churn 30j), carte de couverture, alertes priorisées, courbes MRR / restaurants.</w:t>
      </w:r>
    </w:p>
    <w:p>
      <w:pPr>
        <w:spacing w:before="0" w:after="80"/>
      </w:pPr>
      <w:r>
        <w:rPr/>
        <w:t xml:space="preserve">*Critère d'acceptation : l'état du parc et du business est lisible d'un coup d'œil, sans navigation.*</w:t>
      </w:r>
    </w:p>
    <w:p>
      <w:pPr>
        <w:spacing w:before="0" w:after="80"/>
      </w:pPr>
      <w:r>
        <w:rPr>
          <w:b/>
        </w:rPr>
        <w:t xml:space="preserve">F-FIN-02 — Détail d'une facture.</w:t>
      </w:r>
      <w:r>
        <w:rPr/>
        <w:t xml:space="preserve"> Visualisation en route dédiée : à gauche le détail (lignes, récapitulatif HT/TVA/TTC, échéancier &amp; relances en timeline adaptative au statut, avoirs) ; à droite l'aperçu PDF sticky (en-tête société, facturé à, lignes, total, mentions légales). Boucle la triade de pages de détail lot / tag / restaurant / facture.</w:t>
      </w:r>
    </w:p>
    <w:p>
      <w:pPr>
        <w:spacing w:before="0" w:after="80"/>
      </w:pPr>
      <w:r>
        <w:rPr/>
        <w:t xml:space="preserve">*Critère d'acceptation : le total TTC, la TVA et l'échéancier sont exacts et cohérents avec le statut de paiement.*</w:t>
      </w:r>
    </w:p>
    <w:p>
      <w:pPr>
        <w:spacing w:before="0" w:after="80"/>
      </w:pPr>
      <w:r>
        <w:rPr>
          <w:b/>
        </w:rPr>
        <w:t xml:space="preserve">F-NAV-04 — Mode sombre.</w:t>
      </w:r>
      <w:r>
        <w:rPr/>
        <w:t xml:space="preserve"> La bascule clair/sombre repose sur des variables CSS (`:root` et `[data-theme="dark"]`) ; aucune couleur n'est codée en dur. Le choix est persisté et survit au rechargement.</w:t>
      </w:r>
    </w:p>
    <w:p>
      <w:pPr>
        <w:spacing w:before="0" w:after="80"/>
      </w:pPr>
      <w:r>
        <w:rPr/>
        <w:t xml:space="preserve">*Critère d'acceptation : tout écran reste impeccable en mode sombre, sans contraste cassé ni couleur perdue.*</w:t>
      </w:r>
    </w:p>
    <w:p>
      <w:pPr>
        <w:pBdr>
          <w:bottom w:val="single" w:sz="6" w:space="1" w:color="D6D0C2"/>
        </w:pBdr>
      </w:pPr>
    </w:p>
    <w:p>
      <w:pPr>
        <w:pStyle w:val="Heading1"/>
        <w:spacing w:before="240" w:after="80"/>
      </w:pPr>
      <w:r>
        <w:rPr/>
        <w:t xml:space="preserve">7. Exigences techniques</w:t>
      </w:r>
    </w:p>
    <w:p>
      <w:pPr>
        <w:pStyle w:val="Heading2"/>
        <w:spacing w:before="160" w:after="40"/>
      </w:pPr>
      <w:r>
        <w:rPr/>
        <w:t xml:space="preserve">7.1 Architecture générale</w:t>
      </w:r>
    </w:p>
    <w:p>
      <w:pPr>
        <w:numPr>
          <w:ilvl w:val="0"/>
          <w:numId w:val="1"/>
        </w:numPr>
        <w:spacing w:before="20" w:after="20"/>
      </w:pPr>
      <w:r>
        <w:rPr/>
        <w:t xml:space="preserve">Application web </w:t>
      </w:r>
      <w:r>
        <w:rPr>
          <w:b/>
        </w:rPr>
        <w:t xml:space="preserve">desktop-first</w:t>
      </w:r>
      <w:r>
        <w:rPr/>
        <w:t xml:space="preserve"> (cible 1440px), largeur de contenu max 1400px.</w:t>
      </w:r>
    </w:p>
    <w:p>
      <w:pPr>
        <w:numPr>
          <w:ilvl w:val="0"/>
          <w:numId w:val="1"/>
        </w:numPr>
        <w:spacing w:before="20" w:after="20"/>
      </w:pPr>
      <w:r>
        <w:rPr/>
        <w:t xml:space="preserve">Front </w:t>
      </w:r>
      <w:r>
        <w:rPr>
          <w:b/>
        </w:rPr>
        <w:t xml:space="preserve">React + TypeScript</w:t>
      </w:r>
      <w:r>
        <w:rPr/>
        <w:t xml:space="preserve"> ; routing réel pour les pages de détail (URLs partageables tag / lot / facture / membre).</w:t>
      </w:r>
    </w:p>
    <w:p>
      <w:pPr>
        <w:numPr>
          <w:ilvl w:val="0"/>
          <w:numId w:val="1"/>
        </w:numPr>
        <w:spacing w:before="20" w:after="20"/>
      </w:pPr>
      <w:r>
        <w:rPr>
          <w:b/>
        </w:rPr>
        <w:t xml:space="preserve">Design system partagé</w:t>
      </w:r>
      <w:r>
        <w:rPr/>
        <w:t xml:space="preserve"> entre les trois apps Tabla (tokens + primitives Pill, KPI, HealthScore, Avatar) extrait dans un package commun.</w:t>
      </w:r>
    </w:p>
    <w:p>
      <w:pPr>
        <w:numPr>
          <w:ilvl w:val="0"/>
          <w:numId w:val="1"/>
        </w:numPr>
        <w:spacing w:before="20" w:after="20"/>
      </w:pPr>
      <w:r>
        <w:rPr/>
        <w:t xml:space="preserve">Données servies par le backend multi-tenant existant ; le front consomme des API (les schémas d'entités sont documentés dans les fichiers de données du prototype).</w:t>
      </w:r>
    </w:p>
    <w:p>
      <w:pPr>
        <w:pStyle w:val="Heading2"/>
        <w:spacing w:before="160" w:after="40"/>
      </w:pPr>
      <w:r>
        <w:rPr/>
        <w:t xml:space="preserve">7.2 Densité &amp; design system — exigence centrale</w:t>
      </w:r>
    </w:p>
    <w:p>
      <w:pPr>
        <w:spacing w:before="0" w:after="80"/>
      </w:pPr>
      <w:r>
        <w:rPr/>
        <w:t xml:space="preserve">C'est la brique différenciante. Tokens de couleur stricts, typographie à trois familles (Fraunces display parcimonieux, Inter interface, JetBrains Mono pour les identifiants techniques), tables denses sans zebra-striping, status pills à point coloré + texte UPPERCASE, ombres extrêmement subtiles. La qualité visuelle des data tables fait 70 % de la perception de l'outil.</w:t>
      </w:r>
    </w:p>
    <w:p>
      <w:pPr>
        <w:pStyle w:val="Heading2"/>
        <w:spacing w:before="160" w:after="40"/>
      </w:pPr>
      <w:r>
        <w:rPr/>
        <w:t xml:space="preserve">7.3 Mode sombre</w:t>
      </w:r>
    </w:p>
    <w:p>
      <w:pPr>
        <w:spacing w:before="0" w:after="80"/>
      </w:pPr>
      <w:r>
        <w:rPr/>
        <w:t xml:space="preserve">Bascule sur attribut `data-theme`, persistance locale, toutes les couleurs en variables CSS. Le dark mode est de premier rang, pas un thème secondaire.</w:t>
      </w:r>
    </w:p>
    <w:p>
      <w:pPr>
        <w:pStyle w:val="Heading2"/>
        <w:spacing w:before="160" w:after="40"/>
      </w:pPr>
      <w:r>
        <w:rPr/>
        <w:t xml:space="preserve">7.4 Performance &amp; robustesse</w:t>
      </w:r>
    </w:p>
    <w:p>
      <w:pPr>
        <w:spacing w:before="0" w:after="80"/>
      </w:pPr>
      <w:r>
        <w:rPr/>
        <w:t xml:space="preserve">Transitions douces (120–300ms) mais aucune animation gratuite. Tables denses fluides à plusieurs milliers de lignes (pagination, filtrage côté données). Ouverture rapide, navigation instantanée entre écrans.</w:t>
      </w:r>
    </w:p>
    <w:p>
      <w:pPr>
        <w:pStyle w:val="Heading2"/>
        <w:spacing w:before="160" w:after="40"/>
      </w:pPr>
      <w:r>
        <w:rPr/>
        <w:t xml:space="preserve">7.5 Sécurité et données</w:t>
      </w:r>
    </w:p>
    <w:p>
      <w:pPr>
        <w:numPr>
          <w:ilvl w:val="0"/>
          <w:numId w:val="1"/>
        </w:numPr>
        <w:spacing w:before="20" w:after="20"/>
      </w:pPr>
      <w:r>
        <w:rPr/>
        <w:t xml:space="preserve">Isolation stricte multi-tenant côté backend.</w:t>
      </w:r>
    </w:p>
    <w:p>
      <w:pPr>
        <w:numPr>
          <w:ilvl w:val="0"/>
          <w:numId w:val="1"/>
        </w:numPr>
        <w:spacing w:before="20" w:after="20"/>
      </w:pPr>
      <w:r>
        <w:rPr/>
        <w:t xml:space="preserve">Données financières et clés cryptographiques NFC (AES-128) protégées ; clés stockées en HSM, jamais exposées en clair.</w:t>
      </w:r>
    </w:p>
    <w:p>
      <w:pPr>
        <w:numPr>
          <w:ilvl w:val="0"/>
          <w:numId w:val="1"/>
        </w:numPr>
        <w:spacing w:before="20" w:after="20"/>
      </w:pPr>
      <w:r>
        <w:rPr/>
        <w:t xml:space="preserve">Conformité RGPD (registre des traitements, demandes d'accès/suppression).</w:t>
      </w:r>
    </w:p>
    <w:p>
      <w:pPr>
        <w:numPr>
          <w:ilvl w:val="0"/>
          <w:numId w:val="1"/>
        </w:numPr>
        <w:spacing w:before="20" w:after="20"/>
      </w:pPr>
      <w:r>
        <w:rPr/>
        <w:t xml:space="preserve">Permissions par module selon le rôle (Admin, Commercial, Opérations, Finance).</w:t>
      </w:r>
    </w:p>
    <w:p>
      <w:pPr>
        <w:pBdr>
          <w:bottom w:val="single" w:sz="6" w:space="1" w:color="D6D0C2"/>
        </w:pBdr>
      </w:pPr>
    </w:p>
    <w:p>
      <w:pPr>
        <w:pStyle w:val="Heading1"/>
        <w:spacing w:before="240" w:after="80"/>
      </w:pPr>
      <w:r>
        <w:rPr/>
        <w:t xml:space="preserve">8. Exigences non fonctionnelles</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4680"/>
        <w:gridCol w:w="4680"/>
      </w:tblGrid>
      <w:tr>
        <w:trPr>
          <w:tblHeader/>
        </w:trPr>
        <w:tc>
          <w:tcPr>
            <w:tcW w:w="4680" w:type="dxa"/>
            <w:shd w:val="clear" w:fill="1C1A17"/>
            <w:vAlign w:val="center"/>
          </w:tcPr>
          <w:p>
            <w:pPr>
              <w:spacing w:before="20" w:after="20"/>
              <w:shd w:val="clear" w:fill="1C1A17"/>
            </w:pPr>
            <w:r>
              <w:rPr>
                <w:b/>
                <w:color w:val="FAF7F2"/>
                <w:sz w:val="18"/>
              </w:rPr>
              <w:t xml:space="preserve">Catégorie</w:t>
            </w:r>
          </w:p>
        </w:tc>
        <w:tc>
          <w:tcPr>
            <w:tcW w:w="4680" w:type="dxa"/>
            <w:shd w:val="clear" w:fill="1C1A17"/>
            <w:vAlign w:val="center"/>
          </w:tcPr>
          <w:p>
            <w:pPr>
              <w:spacing w:before="20" w:after="20"/>
              <w:shd w:val="clear" w:fill="1C1A17"/>
            </w:pPr>
            <w:r>
              <w:rPr>
                <w:b/>
                <w:color w:val="FAF7F2"/>
                <w:sz w:val="18"/>
              </w:rPr>
              <w:t xml:space="preserve">Exigence</w:t>
            </w:r>
          </w:p>
        </w:tc>
      </w:tr>
      <w:tr>
        <w:tc>
          <w:tcPr>
            <w:tcW w:w="4680" w:type="dxa"/>
            <w:vAlign w:val="center"/>
          </w:tcPr>
          <w:p>
            <w:pPr>
              <w:spacing w:before="20" w:after="20"/>
            </w:pPr>
            <w:r>
              <w:rPr>
                <w:sz w:val="18"/>
              </w:rPr>
              <w:t xml:space="preserve">Performance</w:t>
            </w:r>
          </w:p>
        </w:tc>
        <w:tc>
          <w:tcPr>
            <w:tcW w:w="4680" w:type="dxa"/>
            <w:vAlign w:val="center"/>
          </w:tcPr>
          <w:p>
            <w:pPr>
              <w:spacing w:before="20" w:after="20"/>
            </w:pPr>
            <w:r>
              <w:rPr>
                <w:sz w:val="18"/>
              </w:rPr>
              <w:t xml:space="preserve">Navigation perçue comme instantanée ; tables denses fluides ; ouverture &lt; 3 s.</w:t>
            </w:r>
          </w:p>
        </w:tc>
      </w:tr>
      <w:tr>
        <w:tc>
          <w:tcPr>
            <w:tcW w:w="4680" w:type="dxa"/>
            <w:vAlign w:val="center"/>
          </w:tcPr>
          <w:p>
            <w:pPr>
              <w:spacing w:before="20" w:after="20"/>
            </w:pPr>
            <w:r>
              <w:rPr>
                <w:sz w:val="18"/>
              </w:rPr>
              <w:t xml:space="preserve">Densité</w:t>
            </w:r>
          </w:p>
        </w:tc>
        <w:tc>
          <w:tcPr>
            <w:tcW w:w="4680" w:type="dxa"/>
            <w:vAlign w:val="center"/>
          </w:tcPr>
          <w:p>
            <w:pPr>
              <w:spacing w:before="20" w:after="20"/>
            </w:pPr>
            <w:r>
              <w:rPr>
                <w:sz w:val="18"/>
              </w:rPr>
              <w:t xml:space="preserve">Affichage très dense soutenable sans surcharge, type cockpit Linear/Attio.</w:t>
            </w:r>
          </w:p>
        </w:tc>
      </w:tr>
      <w:tr>
        <w:tc>
          <w:tcPr>
            <w:tcW w:w="4680" w:type="dxa"/>
            <w:vAlign w:val="center"/>
          </w:tcPr>
          <w:p>
            <w:pPr>
              <w:spacing w:before="20" w:after="20"/>
            </w:pPr>
            <w:r>
              <w:rPr>
                <w:sz w:val="18"/>
              </w:rPr>
              <w:t xml:space="preserve">Mode sombre</w:t>
            </w:r>
          </w:p>
        </w:tc>
        <w:tc>
          <w:tcPr>
            <w:tcW w:w="4680" w:type="dxa"/>
            <w:vAlign w:val="center"/>
          </w:tcPr>
          <w:p>
            <w:pPr>
              <w:spacing w:before="20" w:after="20"/>
            </w:pPr>
            <w:r>
              <w:rPr>
                <w:sz w:val="18"/>
              </w:rPr>
              <w:t xml:space="preserve">Impeccable et de premier rang, utilisable une journée entière.</w:t>
            </w:r>
          </w:p>
        </w:tc>
      </w:tr>
      <w:tr>
        <w:tc>
          <w:tcPr>
            <w:tcW w:w="4680" w:type="dxa"/>
            <w:vAlign w:val="center"/>
          </w:tcPr>
          <w:p>
            <w:pPr>
              <w:spacing w:before="20" w:after="20"/>
            </w:pPr>
            <w:r>
              <w:rPr>
                <w:sz w:val="18"/>
              </w:rPr>
              <w:t xml:space="preserve">Cohérence</w:t>
            </w:r>
          </w:p>
        </w:tc>
        <w:tc>
          <w:tcPr>
            <w:tcW w:w="4680" w:type="dxa"/>
            <w:vAlign w:val="center"/>
          </w:tcPr>
          <w:p>
            <w:pPr>
              <w:spacing w:before="20" w:after="20"/>
            </w:pPr>
            <w:r>
              <w:rPr>
                <w:sz w:val="18"/>
              </w:rPr>
              <w:t xml:space="preserve">Même ADN visuel que la PWA Convive et le back-office restaurateur.</w:t>
            </w:r>
          </w:p>
        </w:tc>
      </w:tr>
      <w:tr>
        <w:tc>
          <w:tcPr>
            <w:tcW w:w="4680" w:type="dxa"/>
            <w:vAlign w:val="center"/>
          </w:tcPr>
          <w:p>
            <w:pPr>
              <w:spacing w:before="20" w:after="20"/>
            </w:pPr>
            <w:r>
              <w:rPr>
                <w:sz w:val="18"/>
              </w:rPr>
              <w:t xml:space="preserve">Lisibilité technique</w:t>
            </w:r>
          </w:p>
        </w:tc>
        <w:tc>
          <w:tcPr>
            <w:tcW w:w="4680" w:type="dxa"/>
            <w:vAlign w:val="center"/>
          </w:tcPr>
          <w:p>
            <w:pPr>
              <w:spacing w:before="20" w:after="20"/>
            </w:pPr>
            <w:r>
              <w:rPr>
                <w:sz w:val="18"/>
              </w:rPr>
              <w:t xml:space="preserve">Identifiants, timestamps et montants techniques en mono.</w:t>
            </w:r>
          </w:p>
        </w:tc>
      </w:tr>
      <w:tr>
        <w:tc>
          <w:tcPr>
            <w:tcW w:w="4680" w:type="dxa"/>
            <w:vAlign w:val="center"/>
          </w:tcPr>
          <w:p>
            <w:pPr>
              <w:spacing w:before="20" w:after="20"/>
            </w:pPr>
            <w:r>
              <w:rPr>
                <w:sz w:val="18"/>
              </w:rPr>
              <w:t xml:space="preserve">Accessibilité</w:t>
            </w:r>
          </w:p>
        </w:tc>
        <w:tc>
          <w:tcPr>
            <w:tcW w:w="4680" w:type="dxa"/>
            <w:vAlign w:val="center"/>
          </w:tcPr>
          <w:p>
            <w:pPr>
              <w:spacing w:before="20" w:after="20"/>
            </w:pPr>
            <w:r>
              <w:rPr>
                <w:sz w:val="18"/>
              </w:rPr>
              <w:t xml:space="preserve">Cibles tactiles ≥ 44px ; jamais d'information codée par la seule couleur (toujours couleur + icône).</w:t>
            </w:r>
          </w:p>
        </w:tc>
      </w:tr>
      <w:tr>
        <w:tc>
          <w:tcPr>
            <w:tcW w:w="4680" w:type="dxa"/>
            <w:vAlign w:val="center"/>
          </w:tcPr>
          <w:p>
            <w:pPr>
              <w:spacing w:before="20" w:after="20"/>
            </w:pPr>
            <w:r>
              <w:rPr>
                <w:sz w:val="18"/>
              </w:rPr>
              <w:t xml:space="preserve">Échelle</w:t>
            </w:r>
          </w:p>
        </w:tc>
        <w:tc>
          <w:tcPr>
            <w:tcW w:w="4680" w:type="dxa"/>
            <w:vAlign w:val="center"/>
          </w:tcPr>
          <w:p>
            <w:pPr>
              <w:spacing w:before="20" w:after="20"/>
            </w:pPr>
            <w:r>
              <w:rPr>
                <w:sz w:val="18"/>
              </w:rPr>
              <w:t xml:space="preserve">Texte ≥ 24px sur les chiffres clés ; jamais sous 12px.</w:t>
            </w:r>
          </w:p>
        </w:tc>
      </w:tr>
      <w:tr>
        <w:tc>
          <w:tcPr>
            <w:tcW w:w="4680" w:type="dxa"/>
            <w:vAlign w:val="center"/>
          </w:tcPr>
          <w:p>
            <w:pPr>
              <w:spacing w:before="20" w:after="20"/>
            </w:pPr>
            <w:r>
              <w:rPr>
                <w:sz w:val="18"/>
              </w:rPr>
              <w:t xml:space="preserve">Maintenabilité</w:t>
            </w:r>
          </w:p>
        </w:tc>
        <w:tc>
          <w:tcPr>
            <w:tcW w:w="4680" w:type="dxa"/>
            <w:vAlign w:val="center"/>
          </w:tcPr>
          <w:p>
            <w:pPr>
              <w:spacing w:before="20" w:after="20"/>
            </w:pPr>
            <w:r>
              <w:rPr>
                <w:sz w:val="18"/>
              </w:rPr>
              <w:t xml:space="preserve">Design tokens centralisés ; un fichier par écran ; primitives partagées.</w:t>
            </w:r>
          </w:p>
        </w:tc>
      </w:tr>
      <w:tr>
        <w:tc>
          <w:tcPr>
            <w:tcW w:w="4680" w:type="dxa"/>
            <w:vAlign w:val="center"/>
          </w:tcPr>
          <w:p>
            <w:pPr>
              <w:spacing w:before="20" w:after="20"/>
            </w:pPr>
            <w:r>
              <w:rPr>
                <w:sz w:val="18"/>
              </w:rPr>
              <w:t xml:space="preserve">Scalabilité</w:t>
            </w:r>
          </w:p>
        </w:tc>
        <w:tc>
          <w:tcPr>
            <w:tcW w:w="4680" w:type="dxa"/>
            <w:vAlign w:val="center"/>
          </w:tcPr>
          <w:p>
            <w:pPr>
              <w:spacing w:before="20" w:after="20"/>
            </w:pPr>
            <w:r>
              <w:rPr>
                <w:sz w:val="18"/>
              </w:rPr>
              <w:t xml:space="preserve">Architecture supportant la croissance du parc et du nombre de restaurants.</w:t>
            </w:r>
          </w:p>
        </w:tc>
      </w:tr>
    </w:tbl>
    <w:p/>
    <w:p>
      <w:pPr>
        <w:pBdr>
          <w:bottom w:val="single" w:sz="6" w:space="1" w:color="D6D0C2"/>
        </w:pBdr>
      </w:pPr>
    </w:p>
    <w:p>
      <w:pPr>
        <w:pStyle w:val="Heading1"/>
        <w:spacing w:before="240" w:after="80"/>
      </w:pPr>
      <w:r>
        <w:rPr/>
        <w:t xml:space="preserve">9. Modèle économique</w:t>
      </w:r>
    </w:p>
    <w:p>
      <w:pPr>
        <w:spacing w:before="0" w:after="80"/>
      </w:pPr>
      <w:r>
        <w:rPr/>
        <w:t xml:space="preserve">Tabla Admin est un </w:t>
      </w:r>
      <w:r>
        <w:rPr>
          <w:b/>
        </w:rPr>
        <w:t xml:space="preserve">outil interne</w:t>
      </w:r>
      <w:r>
        <w:rPr/>
        <w:t xml:space="preserve"> : il ne se vend pas directement, mais conditionne la rentabilité de toute la plateforme Tabla. Sa valeur se mesure en coûts évités et en marge protégée.</w:t>
      </w:r>
    </w:p>
    <w:p>
      <w:pPr>
        <w:pStyle w:val="Heading2"/>
        <w:spacing w:before="160" w:after="40"/>
      </w:pPr>
      <w:r>
        <w:rPr/>
        <w:t xml:space="preserve">9.1 Réduction des pertes opérationnelles (gain le plus immédiat)</w:t>
      </w:r>
    </w:p>
    <w:p>
      <w:pPr>
        <w:spacing w:before="0" w:after="80"/>
      </w:pPr>
      <w:r>
        <w:rPr/>
        <w:t xml:space="preserve">La détection précoce des tags morts, fins de vie et lots à risque limite le capital immobilisé et les remplacements en urgence ; le suivi des impayés et du churn protège le MRR. L'outil paie son coût par les pertes qu'il évite.</w:t>
      </w:r>
    </w:p>
    <w:p>
      <w:pPr>
        <w:pStyle w:val="Heading2"/>
        <w:spacing w:before="160" w:after="40"/>
      </w:pPr>
      <w:r>
        <w:rPr/>
        <w:t xml:space="preserve">9.2 Industrialisation &amp; montée en charge (potentiel le plus fort)</w:t>
      </w:r>
    </w:p>
    <w:p>
      <w:pPr>
        <w:spacing w:before="0" w:after="80"/>
      </w:pPr>
      <w:r>
        <w:rPr/>
        <w:t xml:space="preserve">En rendant l'opération traçable et reproductible, le back-office permet d'équiper plus de restaurants sans grossir l'équipe proportionnellement. C'est le levier qui transforme une opération artisanale en plateforme.</w:t>
      </w:r>
    </w:p>
    <w:p>
      <w:pPr>
        <w:pStyle w:val="Heading2"/>
        <w:spacing w:before="160" w:after="40"/>
      </w:pPr>
      <w:r>
        <w:rPr/>
        <w:t xml:space="preserve">9.3 Exploitation de la donnée NFC (arrière-plan)</w:t>
      </w:r>
    </w:p>
    <w:p>
      <w:pPr>
        <w:spacing w:before="0" w:after="80"/>
      </w:pPr>
      <w:r>
        <w:rPr/>
        <w:t xml:space="preserve">Taux de repli QR, mortalité par lot et qualité fournisseur deviennent des leviers d'arbitrage (achats, prédiction de fin de vie, anticipation du churn) — à encadrer côté consentement pour tout usage agrégé.</w:t>
      </w:r>
    </w:p>
    <w:p>
      <w:pPr>
        <w:pBdr>
          <w:bottom w:val="single" w:sz="6" w:space="1" w:color="D6D0C2"/>
        </w:pBdr>
      </w:pPr>
    </w:p>
    <w:p>
      <w:pPr>
        <w:pStyle w:val="Heading1"/>
        <w:spacing w:before="240" w:after="80"/>
      </w:pPr>
      <w:r>
        <w:rPr/>
        <w:t xml:space="preserve">10. Risques et mitigation</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3120"/>
        <w:gridCol w:w="3120"/>
        <w:gridCol w:w="3120"/>
      </w:tblGrid>
      <w:tr>
        <w:trPr>
          <w:tblHeader/>
        </w:trPr>
        <w:tc>
          <w:tcPr>
            <w:tcW w:w="3120" w:type="dxa"/>
            <w:shd w:val="clear" w:fill="1C1A17"/>
            <w:vAlign w:val="center"/>
          </w:tcPr>
          <w:p>
            <w:pPr>
              <w:spacing w:before="20" w:after="20"/>
              <w:shd w:val="clear" w:fill="1C1A17"/>
            </w:pPr>
            <w:r>
              <w:rPr>
                <w:b/>
                <w:color w:val="FAF7F2"/>
                <w:sz w:val="18"/>
              </w:rPr>
              <w:t xml:space="preserve">Risque</w:t>
            </w:r>
          </w:p>
        </w:tc>
        <w:tc>
          <w:tcPr>
            <w:tcW w:w="3120" w:type="dxa"/>
            <w:shd w:val="clear" w:fill="1C1A17"/>
            <w:vAlign w:val="center"/>
          </w:tcPr>
          <w:p>
            <w:pPr>
              <w:spacing w:before="20" w:after="20"/>
              <w:shd w:val="clear" w:fill="1C1A17"/>
            </w:pPr>
            <w:r>
              <w:rPr>
                <w:b/>
                <w:color w:val="FAF7F2"/>
                <w:sz w:val="18"/>
              </w:rPr>
              <w:t xml:space="preserve">Gravité</w:t>
            </w:r>
          </w:p>
        </w:tc>
        <w:tc>
          <w:tcPr>
            <w:tcW w:w="3120" w:type="dxa"/>
            <w:shd w:val="clear" w:fill="1C1A17"/>
            <w:vAlign w:val="center"/>
          </w:tcPr>
          <w:p>
            <w:pPr>
              <w:spacing w:before="20" w:after="20"/>
              <w:shd w:val="clear" w:fill="1C1A17"/>
            </w:pPr>
            <w:r>
              <w:rPr>
                <w:b/>
                <w:color w:val="FAF7F2"/>
                <w:sz w:val="18"/>
              </w:rPr>
              <w:t xml:space="preserve">Mitigation</w:t>
            </w:r>
          </w:p>
        </w:tc>
      </w:tr>
      <w:tr>
        <w:tc>
          <w:tcPr>
            <w:tcW w:w="3120" w:type="dxa"/>
            <w:vAlign w:val="center"/>
          </w:tcPr>
          <w:p>
            <w:pPr>
              <w:spacing w:before="20" w:after="20"/>
            </w:pPr>
            <w:r>
              <w:rPr>
                <w:sz w:val="18"/>
              </w:rPr>
              <w:t xml:space="preserve">Outil « joli mais inutilisable » (forme sur fond)</w:t>
            </w:r>
          </w:p>
        </w:tc>
        <w:tc>
          <w:tcPr>
            <w:tcW w:w="3120" w:type="dxa"/>
            <w:vAlign w:val="center"/>
          </w:tcPr>
          <w:p>
            <w:pPr>
              <w:spacing w:before="20" w:after="20"/>
            </w:pPr>
            <w:r>
              <w:rPr>
                <w:sz w:val="18"/>
              </w:rPr>
              <w:t xml:space="preserve">Critique</w:t>
            </w:r>
          </w:p>
        </w:tc>
        <w:tc>
          <w:tcPr>
            <w:tcW w:w="3120" w:type="dxa"/>
            <w:vAlign w:val="center"/>
          </w:tcPr>
          <w:p>
            <w:pPr>
              <w:spacing w:before="20" w:after="20"/>
            </w:pPr>
            <w:r>
              <w:rPr>
                <w:sz w:val="18"/>
              </w:rPr>
              <w:t xml:space="preserve">Densité et fonction d'abord ; bench permanent vs Linear/Attio ; tables comme pièce maîtresse</w:t>
            </w:r>
          </w:p>
        </w:tc>
      </w:tr>
      <w:tr>
        <w:tc>
          <w:tcPr>
            <w:tcW w:w="3120" w:type="dxa"/>
            <w:vAlign w:val="center"/>
          </w:tcPr>
          <w:p>
            <w:pPr>
              <w:spacing w:before="20" w:after="20"/>
            </w:pPr>
            <w:r>
              <w:rPr>
                <w:sz w:val="18"/>
              </w:rPr>
              <w:t xml:space="preserve">Surcharge visuelle sur écrans denses</w:t>
            </w:r>
          </w:p>
        </w:tc>
        <w:tc>
          <w:tcPr>
            <w:tcW w:w="3120" w:type="dxa"/>
            <w:vAlign w:val="center"/>
          </w:tcPr>
          <w:p>
            <w:pPr>
              <w:spacing w:before="20" w:after="20"/>
            </w:pPr>
            <w:r>
              <w:rPr>
                <w:sz w:val="18"/>
              </w:rPr>
              <w:t xml:space="preserve">Élevée</w:t>
            </w:r>
          </w:p>
        </w:tc>
        <w:tc>
          <w:tcPr>
            <w:tcW w:w="3120" w:type="dxa"/>
            <w:vAlign w:val="center"/>
          </w:tcPr>
          <w:p>
            <w:pPr>
              <w:spacing w:before="20" w:after="20"/>
            </w:pPr>
            <w:r>
              <w:rPr>
                <w:sz w:val="18"/>
              </w:rPr>
              <w:t xml:space="preserve">Rigueur d'alignement, ombres subtiles, codes couleur stricts, pas d'animation gratuite</w:t>
            </w:r>
          </w:p>
        </w:tc>
      </w:tr>
      <w:tr>
        <w:tc>
          <w:tcPr>
            <w:tcW w:w="3120" w:type="dxa"/>
            <w:vAlign w:val="center"/>
          </w:tcPr>
          <w:p>
            <w:pPr>
              <w:spacing w:before="20" w:after="20"/>
            </w:pPr>
            <w:r>
              <w:rPr>
                <w:sz w:val="18"/>
              </w:rPr>
              <w:t xml:space="preserve">Incohérence avec les deux autres apps Tabla</w:t>
            </w:r>
          </w:p>
        </w:tc>
        <w:tc>
          <w:tcPr>
            <w:tcW w:w="3120" w:type="dxa"/>
            <w:vAlign w:val="center"/>
          </w:tcPr>
          <w:p>
            <w:pPr>
              <w:spacing w:before="20" w:after="20"/>
            </w:pPr>
            <w:r>
              <w:rPr>
                <w:sz w:val="18"/>
              </w:rPr>
              <w:t xml:space="preserve">Élevée</w:t>
            </w:r>
          </w:p>
        </w:tc>
        <w:tc>
          <w:tcPr>
            <w:tcW w:w="3120" w:type="dxa"/>
            <w:vAlign w:val="center"/>
          </w:tcPr>
          <w:p>
            <w:pPr>
              <w:spacing w:before="20" w:after="20"/>
            </w:pPr>
            <w:r>
              <w:rPr>
                <w:sz w:val="18"/>
              </w:rPr>
              <w:t xml:space="preserve">Design tokens et primitives partagés extraits dans un package commun</w:t>
            </w:r>
          </w:p>
        </w:tc>
      </w:tr>
      <w:tr>
        <w:tc>
          <w:tcPr>
            <w:tcW w:w="3120" w:type="dxa"/>
            <w:vAlign w:val="center"/>
          </w:tcPr>
          <w:p>
            <w:pPr>
              <w:spacing w:before="20" w:after="20"/>
            </w:pPr>
            <w:r>
              <w:rPr>
                <w:sz w:val="18"/>
              </w:rPr>
              <w:t xml:space="preserve">Mode sombre négligé</w:t>
            </w:r>
          </w:p>
        </w:tc>
        <w:tc>
          <w:tcPr>
            <w:tcW w:w="3120" w:type="dxa"/>
            <w:vAlign w:val="center"/>
          </w:tcPr>
          <w:p>
            <w:pPr>
              <w:spacing w:before="20" w:after="20"/>
            </w:pPr>
            <w:r>
              <w:rPr>
                <w:sz w:val="18"/>
              </w:rPr>
              <w:t xml:space="preserve">Élevée</w:t>
            </w:r>
          </w:p>
        </w:tc>
        <w:tc>
          <w:tcPr>
            <w:tcW w:w="3120" w:type="dxa"/>
            <w:vAlign w:val="center"/>
          </w:tcPr>
          <w:p>
            <w:pPr>
              <w:spacing w:before="20" w:after="20"/>
            </w:pPr>
            <w:r>
              <w:rPr>
                <w:sz w:val="18"/>
              </w:rPr>
              <w:t xml:space="preserve">Couleurs en variables CSS dès le départ ; dark mode traité de premier rang</w:t>
            </w:r>
          </w:p>
        </w:tc>
      </w:tr>
      <w:tr>
        <w:tc>
          <w:tcPr>
            <w:tcW w:w="3120" w:type="dxa"/>
            <w:vAlign w:val="center"/>
          </w:tcPr>
          <w:p>
            <w:pPr>
              <w:spacing w:before="20" w:after="20"/>
            </w:pPr>
            <w:r>
              <w:rPr>
                <w:sz w:val="18"/>
              </w:rPr>
              <w:t xml:space="preserve">Dérive de périmètre (trop d'écrans)</w:t>
            </w:r>
          </w:p>
        </w:tc>
        <w:tc>
          <w:tcPr>
            <w:tcW w:w="3120" w:type="dxa"/>
            <w:vAlign w:val="center"/>
          </w:tcPr>
          <w:p>
            <w:pPr>
              <w:spacing w:before="20" w:after="20"/>
            </w:pPr>
            <w:r>
              <w:rPr>
                <w:sz w:val="18"/>
              </w:rPr>
              <w:t xml:space="preserve">Moyenne</w:t>
            </w:r>
          </w:p>
        </w:tc>
        <w:tc>
          <w:tcPr>
            <w:tcW w:w="3120" w:type="dxa"/>
            <w:vAlign w:val="center"/>
          </w:tcPr>
          <w:p>
            <w:pPr>
              <w:spacing w:before="20" w:after="20"/>
            </w:pPr>
            <w:r>
              <w:rPr>
                <w:sz w:val="18"/>
              </w:rPr>
              <w:t xml:space="preserve">Lotissement strict MVP → P2 → P3 ; chaque ajout franchit une barre de justification</w:t>
            </w:r>
          </w:p>
        </w:tc>
      </w:tr>
      <w:tr>
        <w:tc>
          <w:tcPr>
            <w:tcW w:w="3120" w:type="dxa"/>
            <w:vAlign w:val="center"/>
          </w:tcPr>
          <w:p>
            <w:pPr>
              <w:spacing w:before="20" w:after="20"/>
            </w:pPr>
            <w:r>
              <w:rPr>
                <w:sz w:val="18"/>
              </w:rPr>
              <w:t xml:space="preserve">Données mockées éloignées du réel</w:t>
            </w:r>
          </w:p>
        </w:tc>
        <w:tc>
          <w:tcPr>
            <w:tcW w:w="3120" w:type="dxa"/>
            <w:vAlign w:val="center"/>
          </w:tcPr>
          <w:p>
            <w:pPr>
              <w:spacing w:before="20" w:after="20"/>
            </w:pPr>
            <w:r>
              <w:rPr>
                <w:sz w:val="18"/>
              </w:rPr>
              <w:t xml:space="preserve">Moyenne</w:t>
            </w:r>
          </w:p>
        </w:tc>
        <w:tc>
          <w:tcPr>
            <w:tcW w:w="3120" w:type="dxa"/>
            <w:vAlign w:val="center"/>
          </w:tcPr>
          <w:p>
            <w:pPr>
              <w:spacing w:before="20" w:after="20"/>
            </w:pPr>
            <w:r>
              <w:rPr>
                <w:sz w:val="18"/>
              </w:rPr>
              <w:t xml:space="preserve">Schémas d'entités documentés ; branchement API explicite au handoff</w:t>
            </w:r>
          </w:p>
        </w:tc>
      </w:tr>
      <w:tr>
        <w:tc>
          <w:tcPr>
            <w:tcW w:w="3120" w:type="dxa"/>
            <w:vAlign w:val="center"/>
          </w:tcPr>
          <w:p>
            <w:pPr>
              <w:spacing w:before="20" w:after="20"/>
            </w:pPr>
            <w:r>
              <w:rPr>
                <w:sz w:val="18"/>
              </w:rPr>
              <w:t xml:space="preserve">Permissions insuffisantes (rôles mêlés)</w:t>
            </w:r>
          </w:p>
        </w:tc>
        <w:tc>
          <w:tcPr>
            <w:tcW w:w="3120" w:type="dxa"/>
            <w:vAlign w:val="center"/>
          </w:tcPr>
          <w:p>
            <w:pPr>
              <w:spacing w:before="20" w:after="20"/>
            </w:pPr>
            <w:r>
              <w:rPr>
                <w:sz w:val="18"/>
              </w:rPr>
              <w:t xml:space="preserve">Moyenne</w:t>
            </w:r>
          </w:p>
        </w:tc>
        <w:tc>
          <w:tcPr>
            <w:tcW w:w="3120" w:type="dxa"/>
            <w:vAlign w:val="center"/>
          </w:tcPr>
          <w:p>
            <w:pPr>
              <w:spacing w:before="20" w:after="20"/>
            </w:pPr>
            <w:r>
              <w:rPr>
                <w:sz w:val="18"/>
              </w:rPr>
              <w:t xml:space="preserve">Matrice de permissions par module dès l'introduction du multi-utilisateur</w:t>
            </w:r>
          </w:p>
        </w:tc>
      </w:tr>
    </w:tbl>
    <w:p/>
    <w:p>
      <w:pPr>
        <w:pBdr>
          <w:bottom w:val="single" w:sz="6" w:space="1" w:color="D6D0C2"/>
        </w:pBdr>
      </w:pPr>
    </w:p>
    <w:p>
      <w:pPr>
        <w:pStyle w:val="Heading1"/>
        <w:spacing w:before="240" w:after="80"/>
      </w:pPr>
      <w:r>
        <w:rPr/>
        <w:t xml:space="preserve">11. Démarche et lotissement</w:t>
      </w:r>
    </w:p>
    <w:p>
      <w:pPr>
        <w:pStyle w:val="Heading2"/>
        <w:spacing w:before="160" w:after="40"/>
      </w:pPr>
      <w:r>
        <w:rPr/>
        <w:t xml:space="preserve">11.1 Phase MVP — Noyau de pilotage</w:t>
      </w:r>
    </w:p>
    <w:p>
      <w:pPr>
        <w:numPr>
          <w:ilvl w:val="0"/>
          <w:numId w:val="1"/>
        </w:numPr>
        <w:spacing w:before="20" w:after="20"/>
      </w:pPr>
      <w:r>
        <w:rPr>
          <w:b/>
        </w:rPr>
        <w:t xml:space="preserve">Lot 1</w:t>
      </w:r>
      <w:r>
        <w:rPr/>
        <w:t xml:space="preserve"> : socle (navigation, ⌘K, thème sombre, audit) + cockpit (F-NAV-*, F-DSH-01/04/05).</w:t>
      </w:r>
    </w:p>
    <w:p>
      <w:pPr>
        <w:numPr>
          <w:ilvl w:val="0"/>
          <w:numId w:val="1"/>
        </w:numPr>
        <w:spacing w:before="20" w:after="20"/>
      </w:pPr>
      <w:r>
        <w:rPr>
          <w:b/>
        </w:rPr>
        <w:t xml:space="preserve">Lot 2</w:t>
      </w:r>
      <w:r>
        <w:rPr/>
        <w:t xml:space="preserve"> : parc NFC (inventaire, détail tag, détail lot, affectation) + provisionnement (F-NFC-*, F-PRV-01).</w:t>
      </w:r>
    </w:p>
    <w:p>
      <w:pPr>
        <w:numPr>
          <w:ilvl w:val="0"/>
          <w:numId w:val="1"/>
        </w:numPr>
        <w:spacing w:before="20" w:after="20"/>
      </w:pPr>
      <w:r>
        <w:rPr>
          <w:b/>
        </w:rPr>
        <w:t xml:space="preserve">Lot 3</w:t>
      </w:r>
      <w:r>
        <w:rPr/>
        <w:t xml:space="preserve"> : CRM restaurants + facturation (factures, impayés, détail facture) (F-CRM-*, F-FIN-01/02).</w:t>
      </w:r>
    </w:p>
    <w:p>
      <w:pPr>
        <w:numPr>
          <w:ilvl w:val="0"/>
          <w:numId w:val="1"/>
        </w:numPr>
        <w:spacing w:before="20" w:after="20"/>
      </w:pPr>
      <w:r>
        <w:rPr>
          <w:b/>
        </w:rPr>
        <w:t xml:space="preserve">Lot 4</w:t>
      </w:r>
      <w:r>
        <w:rPr/>
        <w:t xml:space="preserve"> : supervision (centre d'alertes, statut système) + durcissement densité/dark mode + pilote interne (F-SUP-01/02/03).</w:t>
      </w:r>
    </w:p>
    <w:p>
      <w:pPr>
        <w:pStyle w:val="Heading2"/>
        <w:spacing w:before="160" w:after="40"/>
      </w:pPr>
      <w:r>
        <w:rPr/>
        <w:t xml:space="preserve">11.2 Phase 2 — Supervision avancée &amp; chaîne d'appro</w:t>
      </w:r>
    </w:p>
    <w:p>
      <w:pPr>
        <w:spacing w:before="0" w:after="80"/>
      </w:pPr>
      <w:r>
        <w:rPr/>
        <w:t xml:space="preserve">Prédictions IA, sécurité NFC (clés, SDM, diagnostic), santé du parc, SAV, qualité fournisseur, stock &amp; commandes fournisseurs, contenu encodé, analytics &amp; taps.</w:t>
      </w:r>
    </w:p>
    <w:p>
      <w:pPr>
        <w:pStyle w:val="Heading2"/>
        <w:spacing w:before="160" w:after="40"/>
      </w:pPr>
      <w:r>
        <w:rPr/>
        <w:t xml:space="preserve">11.3 Phase 3 — Plateforme, commerce &amp; conformité</w:t>
      </w:r>
    </w:p>
    <w:p>
      <w:pPr>
        <w:spacing w:before="0" w:after="80"/>
      </w:pPr>
      <w:r>
        <w:rPr/>
        <w:t xml:space="preserve">Pipeline &amp; onboarding, équipe &amp; permissions, catalogue &amp; coupons, campagnes, webhooks &amp; API, RGPD, changelog.</w:t>
      </w:r>
    </w:p>
    <w:p>
      <w:pPr>
        <w:pBdr>
          <w:bottom w:val="single" w:sz="6" w:space="1" w:color="D6D0C2"/>
        </w:pBdr>
      </w:pPr>
    </w:p>
    <w:p>
      <w:pPr>
        <w:pStyle w:val="Heading1"/>
        <w:spacing w:before="240" w:after="80"/>
      </w:pPr>
      <w:r>
        <w:rPr/>
        <w:t xml:space="preserve">12. Critères d'acceptation globaux</w:t>
      </w:r>
    </w:p>
    <w:p>
      <w:pPr>
        <w:numPr>
          <w:ilvl w:val="0"/>
          <w:numId w:val="1"/>
        </w:numPr>
        <w:spacing w:before="20" w:after="20"/>
      </w:pPr>
      <w:r>
        <w:rPr/>
        <w:t xml:space="preserve">Un opérationnel, en ouvrant l'outil pour la première fois, ressent « c'est sérieux, c'est précis, je peux faire mon métier ici ».</w:t>
      </w:r>
    </w:p>
    <w:p>
      <w:pPr>
        <w:numPr>
          <w:ilvl w:val="0"/>
          <w:numId w:val="1"/>
        </w:numPr>
        <w:spacing w:before="20" w:after="20"/>
      </w:pPr>
      <w:r>
        <w:rPr/>
        <w:t xml:space="preserve">Un screenshot d'une table dense ressemble à du Linear ou du Attio, jamais à un panel admin générique.</w:t>
      </w:r>
    </w:p>
    <w:p>
      <w:pPr>
        <w:numPr>
          <w:ilvl w:val="0"/>
          <w:numId w:val="1"/>
        </w:numPr>
        <w:spacing w:before="20" w:after="20"/>
      </w:pPr>
      <w:r>
        <w:rPr/>
        <w:t xml:space="preserve">Le mode sombre est impeccable et utilisable une journée entière sans fatigue ni contraste cassé.</w:t>
      </w:r>
    </w:p>
    <w:p>
      <w:pPr>
        <w:numPr>
          <w:ilvl w:val="0"/>
          <w:numId w:val="1"/>
        </w:numPr>
        <w:spacing w:before="20" w:after="20"/>
      </w:pPr>
      <w:r>
        <w:rPr/>
        <w:t xml:space="preserve">Toutes les pages de détail (tag, lot, facture, restaurant, membre) sont des routes dédiées cohérentes.</w:t>
      </w:r>
    </w:p>
    <w:p>
      <w:pPr>
        <w:numPr>
          <w:ilvl w:val="0"/>
          <w:numId w:val="1"/>
        </w:numPr>
        <w:spacing w:before="20" w:after="20"/>
      </w:pPr>
      <w:r>
        <w:rPr/>
        <w:t xml:space="preserve">L'ADN visuel (palette, typo, composants) est partagé avec la PWA Convive et le back-office restaurateur.</w:t>
      </w:r>
    </w:p>
    <w:p>
      <w:pPr>
        <w:numPr>
          <w:ilvl w:val="0"/>
          <w:numId w:val="1"/>
        </w:numPr>
        <w:spacing w:before="20" w:after="20"/>
      </w:pPr>
      <w:r>
        <w:rPr/>
        <w:t xml:space="preserve">Le périmètre MVP reste centré sur le noyau de pilotage ; chaque ajout au-delà est justifié et phasé.</w:t>
      </w:r>
    </w:p>
    <w:p>
      <w:pPr>
        <w:pBdr>
          <w:bottom w:val="single" w:sz="6" w:space="1" w:color="D6D0C2"/>
        </w:pBdr>
      </w:pPr>
    </w:p>
    <w:p>
      <w:pPr>
        <w:pStyle w:val="Heading1"/>
        <w:spacing w:before="240" w:after="80"/>
      </w:pPr>
      <w:r>
        <w:rPr/>
        <w:t xml:space="preserve">13. Annexes</w:t>
      </w:r>
    </w:p>
    <w:p>
      <w:pPr>
        <w:pStyle w:val="Heading2"/>
        <w:spacing w:before="160" w:after="40"/>
      </w:pPr>
      <w:r>
        <w:rPr/>
        <w:t xml:space="preserve">13.1 Glossaire</w:t>
      </w:r>
    </w:p>
    <w:tbl>
      <w:tblPr>
        <w:tblW w:w="5000" w:type="pct"/>
        <w:tblBorders>
          <w:top w:val="single" w:sz="4" w:space="0" w:color="D6D0C2"/>
          <w:left w:val="single" w:sz="4" w:space="0" w:color="D6D0C2"/>
          <w:bottom w:val="single" w:sz="4" w:space="0" w:color="D6D0C2"/>
          <w:right w:val="single" w:sz="4" w:space="0" w:color="D6D0C2"/>
          <w:insideH w:val="single" w:sz="4" w:space="0" w:color="D6D0C2"/>
          <w:insideV w:val="single" w:sz="4" w:space="0" w:color="D6D0C2"/>
        </w:tblBorders>
        <w:tblLayout w:type="fixed"/>
      </w:tblPr>
      <w:tblGrid>
        <w:gridCol w:w="4680"/>
        <w:gridCol w:w="4680"/>
      </w:tblGrid>
      <w:tr>
        <w:trPr>
          <w:tblHeader/>
        </w:trPr>
        <w:tc>
          <w:tcPr>
            <w:tcW w:w="4680" w:type="dxa"/>
            <w:shd w:val="clear" w:fill="1C1A17"/>
            <w:vAlign w:val="center"/>
          </w:tcPr>
          <w:p>
            <w:pPr>
              <w:spacing w:before="20" w:after="20"/>
              <w:shd w:val="clear" w:fill="1C1A17"/>
            </w:pPr>
            <w:r>
              <w:rPr>
                <w:b/>
                <w:color w:val="FAF7F2"/>
                <w:sz w:val="18"/>
              </w:rPr>
              <w:t xml:space="preserve">Terme</w:t>
            </w:r>
          </w:p>
        </w:tc>
        <w:tc>
          <w:tcPr>
            <w:tcW w:w="4680" w:type="dxa"/>
            <w:shd w:val="clear" w:fill="1C1A17"/>
            <w:vAlign w:val="center"/>
          </w:tcPr>
          <w:p>
            <w:pPr>
              <w:spacing w:before="20" w:after="20"/>
              <w:shd w:val="clear" w:fill="1C1A17"/>
            </w:pPr>
            <w:r>
              <w:rPr>
                <w:b/>
                <w:color w:val="FAF7F2"/>
                <w:sz w:val="18"/>
              </w:rPr>
              <w:t xml:space="preserve">Définition</w:t>
            </w:r>
          </w:p>
        </w:tc>
      </w:tr>
      <w:tr>
        <w:tc>
          <w:tcPr>
            <w:tcW w:w="4680" w:type="dxa"/>
            <w:vAlign w:val="center"/>
          </w:tcPr>
          <w:p>
            <w:pPr>
              <w:spacing w:before="20" w:after="20"/>
            </w:pPr>
            <w:r>
              <w:rPr>
                <w:sz w:val="18"/>
              </w:rPr>
              <w:t xml:space="preserve">NFC</w:t>
            </w:r>
          </w:p>
        </w:tc>
        <w:tc>
          <w:tcPr>
            <w:tcW w:w="4680" w:type="dxa"/>
            <w:vAlign w:val="center"/>
          </w:tcPr>
          <w:p>
            <w:pPr>
              <w:spacing w:before="20" w:after="20"/>
            </w:pPr>
            <w:r>
              <w:rPr>
                <w:sz w:val="18"/>
              </w:rPr>
              <w:t xml:space="preserve">Near Field Communication — communication en champ proche ; le convive approche son téléphone de l'étiquette.</w:t>
            </w:r>
          </w:p>
        </w:tc>
      </w:tr>
      <w:tr>
        <w:tc>
          <w:tcPr>
            <w:tcW w:w="4680" w:type="dxa"/>
            <w:vAlign w:val="center"/>
          </w:tcPr>
          <w:p>
            <w:pPr>
              <w:spacing w:before="20" w:after="20"/>
            </w:pPr>
            <w:r>
              <w:rPr>
                <w:sz w:val="18"/>
              </w:rPr>
              <w:t xml:space="preserve">NTAG 213 / 424 DNA</w:t>
            </w:r>
          </w:p>
        </w:tc>
        <w:tc>
          <w:tcPr>
            <w:tcW w:w="4680" w:type="dxa"/>
            <w:vAlign w:val="center"/>
          </w:tcPr>
          <w:p>
            <w:pPr>
              <w:spacing w:before="20" w:after="20"/>
            </w:pPr>
            <w:r>
              <w:rPr>
                <w:sz w:val="18"/>
              </w:rPr>
              <w:t xml:space="preserve">Puces NFC ; le 424 DNA est sécurisé (SUN/CMAC, anti-clonage), le 213 est statique.</w:t>
            </w:r>
          </w:p>
        </w:tc>
      </w:tr>
      <w:tr>
        <w:tc>
          <w:tcPr>
            <w:tcW w:w="4680" w:type="dxa"/>
            <w:vAlign w:val="center"/>
          </w:tcPr>
          <w:p>
            <w:pPr>
              <w:spacing w:before="20" w:after="20"/>
            </w:pPr>
            <w:r>
              <w:rPr>
                <w:sz w:val="18"/>
              </w:rPr>
              <w:t xml:space="preserve">SUN / SDM</w:t>
            </w:r>
          </w:p>
        </w:tc>
        <w:tc>
          <w:tcPr>
            <w:tcW w:w="4680" w:type="dxa"/>
            <w:vAlign w:val="center"/>
          </w:tcPr>
          <w:p>
            <w:pPr>
              <w:spacing w:before="20" w:after="20"/>
            </w:pPr>
            <w:r>
              <w:rPr>
                <w:sz w:val="18"/>
              </w:rPr>
              <w:t xml:space="preserve">Secure Unique NFC / Secure Dynamic Messaging — l'URL change et est signée à chaque lecture.</w:t>
            </w:r>
          </w:p>
        </w:tc>
      </w:tr>
      <w:tr>
        <w:tc>
          <w:tcPr>
            <w:tcW w:w="4680" w:type="dxa"/>
            <w:vAlign w:val="center"/>
          </w:tcPr>
          <w:p>
            <w:pPr>
              <w:spacing w:before="20" w:after="20"/>
            </w:pPr>
            <w:r>
              <w:rPr>
                <w:sz w:val="18"/>
              </w:rPr>
              <w:t xml:space="preserve">CMAC</w:t>
            </w:r>
          </w:p>
        </w:tc>
        <w:tc>
          <w:tcPr>
            <w:tcW w:w="4680" w:type="dxa"/>
            <w:vAlign w:val="center"/>
          </w:tcPr>
          <w:p>
            <w:pPr>
              <w:spacing w:before="20" w:after="20"/>
            </w:pPr>
            <w:r>
              <w:rPr>
                <w:sz w:val="18"/>
              </w:rPr>
              <w:t xml:space="preserve">Signature cryptographique (AES-128) validant l'authenticité du tag et empêchant le clonage.</w:t>
            </w:r>
          </w:p>
        </w:tc>
      </w:tr>
      <w:tr>
        <w:tc>
          <w:tcPr>
            <w:tcW w:w="4680" w:type="dxa"/>
            <w:vAlign w:val="center"/>
          </w:tcPr>
          <w:p>
            <w:pPr>
              <w:spacing w:before="20" w:after="20"/>
            </w:pPr>
            <w:r>
              <w:rPr>
                <w:sz w:val="18"/>
              </w:rPr>
              <w:t xml:space="preserve">short_uid</w:t>
            </w:r>
          </w:p>
        </w:tc>
        <w:tc>
          <w:tcPr>
            <w:tcW w:w="4680" w:type="dxa"/>
            <w:vAlign w:val="center"/>
          </w:tcPr>
          <w:p>
            <w:pPr>
              <w:spacing w:before="20" w:after="20"/>
            </w:pPr>
            <w:r>
              <w:rPr>
                <w:sz w:val="18"/>
              </w:rPr>
              <w:t xml:space="preserve">Identifiant court et lisible d'un tag (ex. T1A2B3), distinct de l'UID NFC hexadécimal complet.</w:t>
            </w:r>
          </w:p>
        </w:tc>
      </w:tr>
      <w:tr>
        <w:tc>
          <w:tcPr>
            <w:tcW w:w="4680" w:type="dxa"/>
            <w:vAlign w:val="center"/>
          </w:tcPr>
          <w:p>
            <w:pPr>
              <w:spacing w:before="20" w:after="20"/>
            </w:pPr>
            <w:r>
              <w:rPr>
                <w:sz w:val="18"/>
              </w:rPr>
              <w:t xml:space="preserve">Lot (LV-AAAA-MM-JJ)</w:t>
            </w:r>
          </w:p>
        </w:tc>
        <w:tc>
          <w:tcPr>
            <w:tcW w:w="4680" w:type="dxa"/>
            <w:vAlign w:val="center"/>
          </w:tcPr>
          <w:p>
            <w:pPr>
              <w:spacing w:before="20" w:after="20"/>
            </w:pPr>
            <w:r>
              <w:rPr>
                <w:sz w:val="18"/>
              </w:rPr>
              <w:t xml:space="preserve">Ensemble de tags encodés ensemble, unité de suivi de mortalité et de qualité fournisseur.</w:t>
            </w:r>
          </w:p>
        </w:tc>
      </w:tr>
      <w:tr>
        <w:tc>
          <w:tcPr>
            <w:tcW w:w="4680" w:type="dxa"/>
            <w:vAlign w:val="center"/>
          </w:tcPr>
          <w:p>
            <w:pPr>
              <w:spacing w:before="20" w:after="20"/>
            </w:pPr>
            <w:r>
              <w:rPr>
                <w:sz w:val="18"/>
              </w:rPr>
              <w:t xml:space="preserve">Cycles de lavage</w:t>
            </w:r>
          </w:p>
        </w:tc>
        <w:tc>
          <w:tcPr>
            <w:tcW w:w="4680" w:type="dxa"/>
            <w:vAlign w:val="center"/>
          </w:tcPr>
          <w:p>
            <w:pPr>
              <w:spacing w:before="20" w:after="20"/>
            </w:pPr>
            <w:r>
              <w:rPr>
                <w:sz w:val="18"/>
              </w:rPr>
              <w:t xml:space="preserve">Nombre de passages en lavage d'un tag réutilisable ; principal facteur d'usure et de fin de vie.</w:t>
            </w:r>
          </w:p>
        </w:tc>
      </w:tr>
      <w:tr>
        <w:tc>
          <w:tcPr>
            <w:tcW w:w="4680" w:type="dxa"/>
            <w:vAlign w:val="center"/>
          </w:tcPr>
          <w:p>
            <w:pPr>
              <w:spacing w:before="20" w:after="20"/>
            </w:pPr>
            <w:r>
              <w:rPr>
                <w:sz w:val="18"/>
              </w:rPr>
              <w:t xml:space="preserve">Taux de repli QR</w:t>
            </w:r>
          </w:p>
        </w:tc>
        <w:tc>
          <w:tcPr>
            <w:tcW w:w="4680" w:type="dxa"/>
            <w:vAlign w:val="center"/>
          </w:tcPr>
          <w:p>
            <w:pPr>
              <w:spacing w:before="20" w:after="20"/>
            </w:pPr>
            <w:r>
              <w:rPr>
                <w:sz w:val="18"/>
              </w:rPr>
              <w:t xml:space="preserve">Part des accès passant par le QR plutôt que le NFC ; signal de fiabilité réelle des puces.</w:t>
            </w:r>
          </w:p>
        </w:tc>
      </w:tr>
      <w:tr>
        <w:tc>
          <w:tcPr>
            <w:tcW w:w="4680" w:type="dxa"/>
            <w:vAlign w:val="center"/>
          </w:tcPr>
          <w:p>
            <w:pPr>
              <w:spacing w:before="20" w:after="20"/>
            </w:pPr>
            <w:r>
              <w:rPr>
                <w:sz w:val="18"/>
              </w:rPr>
              <w:t xml:space="preserve">MRR / ARR</w:t>
            </w:r>
          </w:p>
        </w:tc>
        <w:tc>
          <w:tcPr>
            <w:tcW w:w="4680" w:type="dxa"/>
            <w:vAlign w:val="center"/>
          </w:tcPr>
          <w:p>
            <w:pPr>
              <w:spacing w:before="20" w:after="20"/>
            </w:pPr>
            <w:r>
              <w:rPr>
                <w:sz w:val="18"/>
              </w:rPr>
              <w:t xml:space="preserve">Monthly / Annual Recurring Revenue — revenu récurrent mensuel / annuel.</w:t>
            </w:r>
          </w:p>
        </w:tc>
      </w:tr>
      <w:tr>
        <w:tc>
          <w:tcPr>
            <w:tcW w:w="4680" w:type="dxa"/>
            <w:vAlign w:val="center"/>
          </w:tcPr>
          <w:p>
            <w:pPr>
              <w:spacing w:before="20" w:after="20"/>
            </w:pPr>
            <w:r>
              <w:rPr>
                <w:sz w:val="18"/>
              </w:rPr>
              <w:t xml:space="preserve">Health score</w:t>
            </w:r>
          </w:p>
        </w:tc>
        <w:tc>
          <w:tcPr>
            <w:tcW w:w="4680" w:type="dxa"/>
            <w:vAlign w:val="center"/>
          </w:tcPr>
          <w:p>
            <w:pPr>
              <w:spacing w:before="20" w:after="20"/>
            </w:pPr>
            <w:r>
              <w:rPr>
                <w:sz w:val="18"/>
              </w:rPr>
              <w:t xml:space="preserve">Score de santé d'un compte restaurant (0–100), codé par couleur.</w:t>
            </w:r>
          </w:p>
        </w:tc>
      </w:tr>
      <w:tr>
        <w:tc>
          <w:tcPr>
            <w:tcW w:w="4680" w:type="dxa"/>
            <w:vAlign w:val="center"/>
          </w:tcPr>
          <w:p>
            <w:pPr>
              <w:spacing w:before="20" w:after="20"/>
            </w:pPr>
            <w:r>
              <w:rPr>
                <w:sz w:val="18"/>
              </w:rPr>
              <w:t xml:space="preserve">Multi-tenant</w:t>
            </w:r>
          </w:p>
        </w:tc>
        <w:tc>
          <w:tcPr>
            <w:tcW w:w="4680" w:type="dxa"/>
            <w:vAlign w:val="center"/>
          </w:tcPr>
          <w:p>
            <w:pPr>
              <w:spacing w:before="20" w:after="20"/>
            </w:pPr>
            <w:r>
              <w:rPr>
                <w:sz w:val="18"/>
              </w:rPr>
              <w:t xml:space="preserve">Infrastructure isolant les données de chaque locataire sur une plateforme partagée.</w:t>
            </w:r>
          </w:p>
        </w:tc>
      </w:tr>
    </w:tbl>
    <w:p/>
    <w:p>
      <w:pPr>
        <w:pStyle w:val="Heading2"/>
        <w:spacing w:before="160" w:after="40"/>
      </w:pPr>
      <w:r>
        <w:rPr/>
        <w:t xml:space="preserve">13.2 Les trois produits Tabla</w:t>
      </w:r>
    </w:p>
    <w:p>
      <w:pPr>
        <w:numPr>
          <w:ilvl w:val="0"/>
          <w:numId w:val="1"/>
        </w:numPr>
        <w:spacing w:before="20" w:after="20"/>
      </w:pPr>
      <w:r>
        <w:rPr>
          <w:b/>
        </w:rPr>
        <w:t xml:space="preserve">PWA Convive</w:t>
      </w:r>
      <w:r>
        <w:rPr/>
        <w:t xml:space="preserve"> — ce que le client final obtient au tap (menu, commande).</w:t>
      </w:r>
    </w:p>
    <w:p>
      <w:pPr>
        <w:numPr>
          <w:ilvl w:val="0"/>
          <w:numId w:val="1"/>
        </w:numPr>
        <w:spacing w:before="20" w:after="20"/>
      </w:pPr>
      <w:r>
        <w:rPr>
          <w:b/>
        </w:rPr>
        <w:t xml:space="preserve">Web app Restaurant</w:t>
      </w:r>
      <w:r>
        <w:rPr/>
        <w:t xml:space="preserve"> — le back-office du restaurateur.</w:t>
      </w:r>
    </w:p>
    <w:p>
      <w:pPr>
        <w:numPr>
          <w:ilvl w:val="0"/>
          <w:numId w:val="1"/>
        </w:numPr>
        <w:spacing w:before="20" w:after="20"/>
      </w:pPr>
      <w:r>
        <w:rPr>
          <w:b/>
        </w:rPr>
        <w:t xml:space="preserve">Tabla Admin</w:t>
      </w:r>
      <w:r>
        <w:rPr/>
        <w:t xml:space="preserve"> *(ce document)* — le cockpit interne des équipes Lamiba.</w:t>
      </w:r>
    </w:p>
    <w:p>
      <w:pPr>
        <w:spacing w:before="0" w:after="80"/>
      </w:pPr>
      <w:r>
        <w:rPr/>
        <w:t xml:space="preserve">Les trois partagent palette, typographie et langage de composants ; Tabla Admin s'en distingue par la densité et l'usage intensif du mono.</w:t>
      </w:r>
    </w:p>
    <w:p>
      <w:pPr>
        <w:pStyle w:val="Heading2"/>
        <w:spacing w:before="160" w:after="40"/>
      </w:pPr>
      <w:r>
        <w:rPr/>
        <w:t xml:space="preserve">13.3 Hypothèses et questions ouvertes</w:t>
      </w:r>
    </w:p>
    <w:p>
      <w:pPr>
        <w:numPr>
          <w:ilvl w:val="0"/>
          <w:numId w:val="1"/>
        </w:numPr>
        <w:spacing w:before="20" w:after="20"/>
      </w:pPr>
      <w:r>
        <w:rPr/>
        <w:t xml:space="preserve">Périmètre géographique initial : France, avec extension Italie / Espagne / Belgique / Suisse déjà amorcée.</w:t>
      </w:r>
    </w:p>
    <w:p>
      <w:pPr>
        <w:numPr>
          <w:ilvl w:val="0"/>
          <w:numId w:val="1"/>
        </w:numPr>
        <w:spacing w:before="20" w:after="20"/>
      </w:pPr>
      <w:r>
        <w:rPr/>
        <w:t xml:space="preserve">Stack front cible (React + TypeScript) à confirmer ; monorepo des trois apps à arbitrer.</w:t>
      </w:r>
    </w:p>
    <w:p>
      <w:pPr>
        <w:numPr>
          <w:ilvl w:val="0"/>
          <w:numId w:val="1"/>
        </w:numPr>
        <w:spacing w:before="20" w:after="20"/>
      </w:pPr>
      <w:r>
        <w:rPr/>
        <w:t xml:space="preserve">Modalité exacte du branchement API (REST existant) et du temps réel (provisionnement, statut système) à préciser.</w:t>
      </w:r>
    </w:p>
    <w:p>
      <w:pPr>
        <w:numPr>
          <w:ilvl w:val="0"/>
          <w:numId w:val="1"/>
        </w:numPr>
        <w:spacing w:before="20" w:after="20"/>
      </w:pPr>
      <w:r>
        <w:rPr/>
        <w:t xml:space="preserve">Profondeur des permissions par rôle à cadrer avec l'équipe ops.</w:t>
      </w:r>
    </w:p>
    <w:p>
      <w:pPr>
        <w:numPr>
          <w:ilvl w:val="0"/>
          <w:numId w:val="1"/>
        </w:numPr>
        <w:spacing w:before="20" w:after="20"/>
      </w:pPr>
      <w:r>
        <w:rPr/>
        <w:t xml:space="preserve">Budget, équipe et calendrier chiffrés à définir après validation du MVP.</w:t>
      </w:r>
    </w:p>
    <w:sectPr>
      <w:pgSz w:w="11906" w:h="16838"/>
      <w:pgMar w:top="1134" w:right="1134" w:bottom="1134" w:left="1134"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color w:val="8B3A2F"/>
      </w:rPr>
    </w:lvl>
  </w:abstractNum>
  <w:num w:numId="1">
    <w:abstractNumId w:val="0"/>
  </w:num>
</w:numbering>
</file>

<file path=word/styles.xml><?xml version="1.0" encoding="utf-8"?>
<w:styles xmlns:w="http://schemas.openxmlformats.org/wordprocessingml/2006/main">
  <w:docDefaults>
    <w:rPrDefault>
      <w:rPr>
        <w:rFonts w:ascii="Calibri" w:hAnsi="Calibri"/>
        <w:color w:val="1C1A17"/>
        <w:sz w:val="20"/>
      </w:rPr>
    </w:rPrDefault>
  </w:docDefaults>
  <w:style w:type="paragraph" w:default="1" w:styleId="Normal">
    <w:name w:val="Normal"/>
    <w:pPr>
      <w:spacing w:after="80" w:line="264" w:lineRule="auto"/>
    </w:pPr>
    <w:rPr>
      <w:sz w:val="20"/>
    </w:rPr>
  </w:style>
  <w:style w:type="paragraph" w:styleId="Title">
    <w:name w:val="Title"/>
    <w:pPr>
      <w:spacing w:after="80"/>
    </w:pPr>
    <w:rPr>
      <w:rFonts w:ascii="Georgia" w:hAnsi="Georgia"/>
      <w:b/>
      <w:color w:val="8B3A2F"/>
      <w:sz w:val="44"/>
    </w:rPr>
  </w:style>
  <w:style w:type="paragraph" w:styleId="Heading1">
    <w:name w:val="heading 1"/>
    <w:basedOn w:val="Normal"/>
    <w:next w:val="Normal"/>
    <w:pPr>
      <w:spacing w:before="240" w:after="80"/>
      <w:outlineLvl w:val="0"/>
    </w:pPr>
    <w:rPr>
      <w:rFonts w:ascii="Georgia" w:hAnsi="Georgia"/>
      <w:b/>
      <w:color w:val="1C1A17"/>
      <w:sz w:val="30"/>
    </w:rPr>
  </w:style>
  <w:style w:type="paragraph" w:styleId="Heading2">
    <w:name w:val="heading 2"/>
    <w:basedOn w:val="Normal"/>
    <w:next w:val="Normal"/>
    <w:pPr>
      <w:spacing w:before="160" w:after="40"/>
      <w:outlineLvl w:val="1"/>
    </w:pPr>
    <w:rPr>
      <w:b/>
      <w:color w:val="8B3A2F"/>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