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80"/>
      </w:pPr>
      <w:r>
        <w:rPr/>
        <w:t xml:space="preserve">SPÉCIFICATIONS FONCTIONNELLES DÉTAILLÉES</w:t>
      </w:r>
    </w:p>
    <w:p>
      <w:pPr>
        <w:pStyle w:val="Heading1"/>
        <w:spacing w:before="240" w:after="80"/>
      </w:pPr>
      <w:r>
        <w:rPr/>
        <w:t xml:space="preserve">Tabla Admin</w:t>
      </w:r>
    </w:p>
    <w:p>
      <w:pPr>
        <w:spacing w:before="0" w:after="80"/>
      </w:pPr>
      <w:r>
        <w:rPr/>
        <w:t xml:space="preserve">Back-office d'administration interne de la plateforme Tabla</w:t>
      </w:r>
    </w:p>
    <w:p>
      <w:pPr>
        <w:spacing w:before="0" w:after="80"/>
      </w:pPr>
      <w:r>
        <w:rPr/>
        <w:t xml:space="preserve">Détail des fonctionnalités — complément du cahier des charges</w:t>
      </w:r>
    </w:p>
    <w:p>
      <w:pPr>
        <w:spacing w:before="0" w:after="80"/>
      </w:pPr>
      <w:r>
        <w:rPr/>
        <w:t xml:space="preserve">13 modules fonctionnels</w:t>
      </w:r>
    </w:p>
    <w:p>
      <w:pPr>
        <w:spacing w:before="0" w:after="80"/>
      </w:pPr>
      <w:r>
        <w:rPr>
          <w:b/>
        </w:rPr>
        <w:t xml:space="preserve">Version 1.0 · Juin 2026</w:t>
      </w:r>
    </w:p>
    <w:p>
      <w:pPr>
        <w:spacing w:before="0" w:after="80"/>
      </w:pPr>
      <w:r>
        <w:rPr>
          <w:b/>
        </w:rPr>
        <w:t xml:space="preserve">Document de travail — diffusion restreinte</w:t>
      </w:r>
    </w:p>
    <w:p>
      <w:pPr>
        <w:pBdr>
          <w:bottom w:val="single" w:sz="6" w:space="1" w:color="D6D0C2"/>
        </w:pBdr>
      </w:pPr>
    </w:p>
    <w:p>
      <w:pPr>
        <w:pStyle w:val="Heading1"/>
        <w:spacing w:before="240" w:after="80"/>
      </w:pPr>
      <w:r>
        <w:rPr/>
        <w:t xml:space="preserve">Sommaire</w:t>
      </w:r>
    </w:p>
    <w:p>
      <w:pPr>
        <w:numPr>
          <w:ilvl w:val="0"/>
          <w:numId w:val="1"/>
        </w:numPr>
        <w:spacing w:before="20" w:after="20"/>
      </w:pPr>
      <w:r>
        <w:rPr/>
        <w:t xml:space="preserve">Introduction</w:t>
      </w:r>
    </w:p>
    <w:p>
      <w:pPr>
        <w:numPr>
          <w:ilvl w:val="0"/>
          <w:numId w:val="1"/>
        </w:numPr>
        <w:spacing w:before="20" w:after="20"/>
      </w:pPr>
      <w:r>
        <w:rPr/>
        <w:t xml:space="preserve">NAV — Socle, navigation &amp; recherche</w:t>
      </w:r>
    </w:p>
    <w:p>
      <w:pPr>
        <w:numPr>
          <w:ilvl w:val="0"/>
          <w:numId w:val="1"/>
        </w:numPr>
        <w:spacing w:before="20" w:after="20"/>
      </w:pPr>
      <w:r>
        <w:rPr/>
        <w:t xml:space="preserve">DSH — Cockpit &amp; pilotage</w:t>
      </w:r>
    </w:p>
    <w:p>
      <w:pPr>
        <w:numPr>
          <w:ilvl w:val="0"/>
          <w:numId w:val="1"/>
        </w:numPr>
        <w:spacing w:before="20" w:after="20"/>
      </w:pPr>
      <w:r>
        <w:rPr/>
        <w:t xml:space="preserve">CRM — Restaurants clients</w:t>
      </w:r>
    </w:p>
    <w:p>
      <w:pPr>
        <w:numPr>
          <w:ilvl w:val="0"/>
          <w:numId w:val="1"/>
        </w:numPr>
        <w:spacing w:before="20" w:after="20"/>
      </w:pPr>
      <w:r>
        <w:rPr/>
        <w:t xml:space="preserve">PIP — Commercial &amp; onboarding</w:t>
      </w:r>
    </w:p>
    <w:p>
      <w:pPr>
        <w:numPr>
          <w:ilvl w:val="0"/>
          <w:numId w:val="1"/>
        </w:numPr>
        <w:spacing w:before="20" w:after="20"/>
      </w:pPr>
      <w:r>
        <w:rPr/>
        <w:t xml:space="preserve">NFC — Parc d'étiquettes NFC</w:t>
      </w:r>
    </w:p>
    <w:p>
      <w:pPr>
        <w:numPr>
          <w:ilvl w:val="0"/>
          <w:numId w:val="1"/>
        </w:numPr>
        <w:spacing w:before="20" w:after="20"/>
      </w:pPr>
      <w:r>
        <w:rPr/>
        <w:t xml:space="preserve">PRV — Provisionnement &amp; approvisionnement</w:t>
      </w:r>
    </w:p>
    <w:p>
      <w:pPr>
        <w:numPr>
          <w:ilvl w:val="0"/>
          <w:numId w:val="1"/>
        </w:numPr>
        <w:spacing w:before="20" w:after="20"/>
      </w:pPr>
      <w:r>
        <w:rPr/>
        <w:t xml:space="preserve">SEC — Sécurité &amp; authentification NFC</w:t>
      </w:r>
    </w:p>
    <w:p>
      <w:pPr>
        <w:numPr>
          <w:ilvl w:val="0"/>
          <w:numId w:val="1"/>
        </w:numPr>
        <w:spacing w:before="20" w:after="20"/>
      </w:pPr>
      <w:r>
        <w:rPr/>
        <w:t xml:space="preserve">FLT — Santé du parc &amp; qualité</w:t>
      </w:r>
    </w:p>
    <w:p>
      <w:pPr>
        <w:numPr>
          <w:ilvl w:val="0"/>
          <w:numId w:val="1"/>
        </w:numPr>
        <w:spacing w:before="20" w:after="20"/>
      </w:pPr>
      <w:r>
        <w:rPr/>
        <w:t xml:space="preserve">FIN — Abonnements &amp; facturation</w:t>
      </w:r>
    </w:p>
    <w:p>
      <w:pPr>
        <w:numPr>
          <w:ilvl w:val="0"/>
          <w:numId w:val="1"/>
        </w:numPr>
        <w:spacing w:before="20" w:after="20"/>
      </w:pPr>
      <w:r>
        <w:rPr/>
        <w:t xml:space="preserve">SUP — Supervision, alertes &amp; audit</w:t>
      </w:r>
    </w:p>
    <w:p>
      <w:pPr>
        <w:numPr>
          <w:ilvl w:val="0"/>
          <w:numId w:val="1"/>
        </w:numPr>
        <w:spacing w:before="20" w:after="20"/>
      </w:pPr>
      <w:r>
        <w:rPr/>
        <w:t xml:space="preserve">ANL — Analytics, taps &amp; IA</w:t>
      </w:r>
    </w:p>
    <w:p>
      <w:pPr>
        <w:numPr>
          <w:ilvl w:val="0"/>
          <w:numId w:val="1"/>
        </w:numPr>
        <w:spacing w:before="20" w:after="20"/>
      </w:pPr>
      <w:r>
        <w:rPr/>
        <w:t xml:space="preserve">COM — Avis, campagnes &amp; versions</w:t>
      </w:r>
    </w:p>
    <w:p>
      <w:pPr>
        <w:numPr>
          <w:ilvl w:val="0"/>
          <w:numId w:val="1"/>
        </w:numPr>
        <w:spacing w:before="20" w:after="20"/>
      </w:pPr>
      <w:r>
        <w:rPr/>
        <w:t xml:space="preserve">ORG — Organisation &amp; plateforme</w:t>
      </w:r>
    </w:p>
    <w:p>
      <w:pPr>
        <w:pBdr>
          <w:bottom w:val="single" w:sz="6" w:space="1" w:color="D6D0C2"/>
        </w:pBdr>
      </w:pPr>
    </w:p>
    <w:p>
      <w:pPr>
        <w:pStyle w:val="Heading1"/>
        <w:spacing w:before="240" w:after="80"/>
      </w:pPr>
      <w:r>
        <w:rPr/>
        <w:t xml:space="preserve">1. Introduction</w:t>
      </w:r>
    </w:p>
    <w:p>
      <w:pPr>
        <w:pStyle w:val="Heading2"/>
        <w:spacing w:before="160" w:after="40"/>
      </w:pPr>
      <w:r>
        <w:rPr/>
        <w:t xml:space="preserve">1.1 Objet du document</w:t>
      </w:r>
    </w:p>
    <w:p>
      <w:pPr>
        <w:spacing w:before="0" w:after="80"/>
      </w:pPr>
      <w:r>
        <w:rPr/>
        <w:t xml:space="preserve">Ce document détaille les fonctionnalités de Tabla Admin, fonctionnalité par fonctionnalité. Il sert de référence à la conception, au développement et à la recette.</w:t>
      </w:r>
    </w:p>
    <w:p>
      <w:pPr>
        <w:pStyle w:val="Heading2"/>
        <w:spacing w:before="160" w:after="40"/>
      </w:pPr>
      <w:r>
        <w:rPr/>
        <w:t xml:space="preserve">1.2 Relation avec le cahier des charges</w:t>
      </w:r>
    </w:p>
    <w:p>
      <w:pPr>
        <w:spacing w:before="0" w:after="80"/>
      </w:pPr>
      <w:r>
        <w:rPr/>
        <w:t xml:space="preserve">Le cahier des charges (CDC) définit le périmètre, les contraintes et le lotissement, et liste les fonctionnalités sous forme de catalogue. Le présent document en est le complément opérationnel : il reprend les mêmes identifiants `F-[MODULE]-NN` et en donne le détail. Le CDC reste le document de cadrage stable ; ces spécifications évoluent plus vite, au rythme de la mise en œuvre.</w:t>
      </w:r>
    </w:p>
    <w:p>
      <w:pPr>
        <w:pStyle w:val="Heading2"/>
        <w:spacing w:before="160" w:after="40"/>
      </w:pPr>
      <w:r>
        <w:rPr/>
        <w:t xml:space="preserve">1.3 Structure d'une fiche</w:t>
      </w:r>
    </w:p>
    <w:p>
      <w:pPr>
        <w:spacing w:before="0" w:after="80"/>
      </w:pPr>
      <w:r>
        <w:rPr/>
        <w:t xml:space="preserve">Chaque fonctionnalité est décrite par :</w:t>
      </w:r>
    </w:p>
    <w:p>
      <w:pPr>
        <w:numPr>
          <w:ilvl w:val="0"/>
          <w:numId w:val="1"/>
        </w:numPr>
        <w:spacing w:before="20" w:after="20"/>
      </w:pPr>
      <w:r>
        <w:rPr>
          <w:b/>
        </w:rPr>
        <w:t xml:space="preserve">Objectif</w:t>
      </w:r>
      <w:r>
        <w:rPr/>
        <w:t xml:space="preserve"> — le pourquoi, le besoin servi.</w:t>
      </w:r>
    </w:p>
    <w:p>
      <w:pPr>
        <w:numPr>
          <w:ilvl w:val="0"/>
          <w:numId w:val="1"/>
        </w:numPr>
        <w:spacing w:before="20" w:after="20"/>
      </w:pPr>
      <w:r>
        <w:rPr>
          <w:b/>
        </w:rPr>
        <w:t xml:space="preserve">Règles</w:t>
      </w:r>
      <w:r>
        <w:rPr/>
        <w:t xml:space="preserve"> — le quoi et le comment, règles métier et comportement attendu.</w:t>
      </w:r>
    </w:p>
    <w:p>
      <w:pPr>
        <w:numPr>
          <w:ilvl w:val="0"/>
          <w:numId w:val="1"/>
        </w:numPr>
        <w:spacing w:before="20" w:after="20"/>
      </w:pPr>
      <w:r>
        <w:rPr>
          <w:b/>
        </w:rPr>
        <w:t xml:space="preserve">Critères d'acceptation</w:t>
      </w:r>
      <w:r>
        <w:rPr/>
        <w:t xml:space="preserve"> — conditions vérifiables en recette.</w:t>
      </w:r>
    </w:p>
    <w:p>
      <w:pPr>
        <w:numPr>
          <w:ilvl w:val="0"/>
          <w:numId w:val="1"/>
        </w:numPr>
        <w:spacing w:before="20" w:after="20"/>
      </w:pPr>
      <w:r>
        <w:rPr>
          <w:b/>
        </w:rPr>
        <w:t xml:space="preserve">Dépendances</w:t>
      </w:r>
      <w:r>
        <w:rPr/>
        <w:t xml:space="preserve"> — autres exigences nécessaires (« — » si aucune).</w:t>
      </w:r>
    </w:p>
    <w:p>
      <w:pPr>
        <w:spacing w:before="0" w:after="80"/>
      </w:pPr>
      <w:r>
        <w:rPr/>
        <w:t xml:space="preserve">La priorité et la phase sont rappelées en tête de chaque fiche. La profondeur est proportionnelle à la complexité : une fonction triviale tient en quelques lignes, une fonction structurante est davantage détaillée.</w:t>
      </w:r>
    </w:p>
    <w:p>
      <w:pPr>
        <w:pStyle w:val="Heading2"/>
        <w:spacing w:before="160" w:after="40"/>
      </w:pPr>
      <w:r>
        <w:rPr/>
        <w:t xml:space="preserve">1.4 Conventions</w:t>
      </w:r>
    </w:p>
    <w:p>
      <w:pPr>
        <w:numPr>
          <w:ilvl w:val="0"/>
          <w:numId w:val="1"/>
        </w:numPr>
        <w:spacing w:before="20" w:after="20"/>
      </w:pPr>
      <w:r>
        <w:rPr>
          <w:b/>
        </w:rPr>
        <w:t xml:space="preserve">Priorité (MoSCoW)</w:t>
      </w:r>
      <w:r>
        <w:rPr/>
        <w:t xml:space="preserve"> : M = indispensable · S = important · C = souhaitable.</w:t>
      </w:r>
    </w:p>
    <w:p>
      <w:pPr>
        <w:numPr>
          <w:ilvl w:val="0"/>
          <w:numId w:val="1"/>
        </w:numPr>
        <w:spacing w:before="20" w:after="20"/>
      </w:pPr>
      <w:r>
        <w:rPr>
          <w:b/>
        </w:rPr>
        <w:t xml:space="preserve">Phase</w:t>
      </w:r>
      <w:r>
        <w:rPr/>
        <w:t xml:space="preserve"> : MVP · P2 · P3 · Toutes = transverse.</w:t>
      </w:r>
    </w:p>
    <w:p>
      <w:pPr>
        <w:pStyle w:val="Heading2"/>
        <w:spacing w:before="160" w:after="40"/>
      </w:pPr>
      <w:r>
        <w:rPr/>
        <w:t xml:space="preserve">1.5 Récapitulatif des modules</w:t>
      </w:r>
    </w:p>
    <w:tbl>
      <w:tblPr>
        <w:tblW w:w="5000" w:type="pct"/>
        <w:tblBorders>
          <w:top w:val="single" w:sz="4" w:space="0" w:color="D6D0C2"/>
          <w:left w:val="single" w:sz="4" w:space="0" w:color="D6D0C2"/>
          <w:bottom w:val="single" w:sz="4" w:space="0" w:color="D6D0C2"/>
          <w:right w:val="single" w:sz="4" w:space="0" w:color="D6D0C2"/>
          <w:insideH w:val="single" w:sz="4" w:space="0" w:color="D6D0C2"/>
          <w:insideV w:val="single" w:sz="4" w:space="0" w:color="D6D0C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1C1A17"/>
            <w:vAlign w:val="center"/>
          </w:tcPr>
          <w:p>
            <w:pPr>
              <w:spacing w:before="20" w:after="20"/>
              <w:shd w:val="clear" w:fill="1C1A17"/>
            </w:pPr>
            <w:r>
              <w:rPr>
                <w:b/>
                <w:color w:val="FAF7F2"/>
                <w:sz w:val="18"/>
              </w:rPr>
              <w:t xml:space="preserve">Code</w:t>
            </w:r>
          </w:p>
        </w:tc>
        <w:tc>
          <w:tcPr>
            <w:tcW w:w="3120" w:type="dxa"/>
            <w:shd w:val="clear" w:fill="1C1A17"/>
            <w:vAlign w:val="center"/>
          </w:tcPr>
          <w:p>
            <w:pPr>
              <w:spacing w:before="20" w:after="20"/>
              <w:shd w:val="clear" w:fill="1C1A17"/>
            </w:pPr>
            <w:r>
              <w:rPr>
                <w:b/>
                <w:color w:val="FAF7F2"/>
                <w:sz w:val="18"/>
              </w:rPr>
              <w:t xml:space="preserve">Module</w:t>
            </w:r>
          </w:p>
        </w:tc>
        <w:tc>
          <w:tcPr>
            <w:tcW w:w="3120" w:type="dxa"/>
            <w:shd w:val="clear" w:fill="1C1A17"/>
            <w:vAlign w:val="center"/>
          </w:tcPr>
          <w:p>
            <w:pPr>
              <w:spacing w:before="20" w:after="20"/>
              <w:shd w:val="clear" w:fill="1C1A17"/>
            </w:pPr>
            <w:r>
              <w:rPr>
                <w:b/>
                <w:color w:val="FAF7F2"/>
                <w:sz w:val="18"/>
              </w:rPr>
              <w:t xml:space="preserve">Nb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NAV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Socle, navigation &amp; recherche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DSH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Cockpit &amp; pilotage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CRM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Restaurants clients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PIP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Commercial &amp; onboarding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NFC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Parc d'étiquettes NFC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PRV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Provisionnement &amp; approvisionnement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SEC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Sécurité &amp; authentification NFC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FLT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Santé du parc &amp; qualité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FIN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Abonnements &amp; facturation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SUP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Supervision, alertes &amp; audit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ANL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Analytics, taps &amp; IA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COM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Avis, campagnes &amp; versions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ORG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Organisation &amp; plateforme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5</w:t>
            </w:r>
          </w:p>
        </w:tc>
      </w:tr>
    </w:tbl>
    <w:p/>
    <w:p>
      <w:pPr>
        <w:pBdr>
          <w:bottom w:val="single" w:sz="6" w:space="1" w:color="D6D0C2"/>
        </w:pBdr>
      </w:pPr>
    </w:p>
    <w:p>
      <w:pPr>
        <w:pStyle w:val="Heading1"/>
        <w:spacing w:before="240" w:after="80"/>
      </w:pPr>
      <w:r>
        <w:rPr/>
        <w:t xml:space="preserve">2. NAV — Socle, navigation &amp; recherche</w:t>
      </w:r>
    </w:p>
    <w:p>
      <w:pPr>
        <w:spacing w:before="0" w:after="80"/>
      </w:pPr>
      <w:r>
        <w:rPr/>
        <w:t xml:space="preserve">Le socle structure tout l'outil : une navigation dense mais lisible, une recherche transverse, et un mode sombre de premier rang.</w:t>
      </w:r>
    </w:p>
    <w:p>
      <w:pPr>
        <w:pStyle w:val="Heading2"/>
        <w:spacing w:before="160" w:after="40"/>
      </w:pPr>
      <w:r>
        <w:rPr/>
        <w:t xml:space="preserve">F-NAV-01 — Sidebar groupée</w:t>
      </w:r>
    </w:p>
    <w:p>
      <w:pPr>
        <w:spacing w:before="0" w:after="80"/>
      </w:pPr>
      <w:r>
        <w:rPr>
          <w:b/>
        </w:rPr>
        <w:t xml:space="preserve">Priorité : M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Donner accès à une trentaine d'écrans sans noyer l'opérationnel.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Sidebar fixe de 220px, fond crème, logo « Tabla » + sous-titre « Administration ». Navigation groupée en quatre familles (Pilotage, Opérations, Supervision, Organisation). État actif = trait terracotta 2px à gauche + texte renforcé. Compteurs discrets en mono sur certains items (parc, alertes). Pied de sidebar : avatar utilisateur (→ Mon compte) + bascule de thème.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Les écrans sont regroupés par famille et l'item actif est immédiatement identifiable.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Les compteurs reflètent les volumes réels (parc, alertes ouvertes).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F-NAV-04</w:t>
      </w:r>
    </w:p>
    <w:p>
      <w:pPr>
        <w:pStyle w:val="Heading2"/>
        <w:spacing w:before="160" w:after="40"/>
      </w:pPr>
      <w:r>
        <w:rPr/>
        <w:t xml:space="preserve">F-NAV-02 — Topbar &amp; breadcrumb contextuel</w:t>
      </w:r>
    </w:p>
    <w:p>
      <w:pPr>
        <w:spacing w:before="0" w:after="80"/>
      </w:pPr>
      <w:r>
        <w:rPr>
          <w:b/>
        </w:rPr>
        <w:t xml:space="preserve">Priorité : M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Situer l'utilisateur à tout instant, y compris dans les pages de détail.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Topbar de 52px : breadcrumb à gauche, recherche globale au centre, notifications + aide à droite. Le breadcrumb s'adapte aux routes de détail (ex. « Tabla / Parc NFC / T1A2B3 », « Tabla / Facturation / INV-2026-10404 »).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Le breadcrumb reflète la route courante, détails inclus.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F-NAV-06</w:t>
      </w:r>
    </w:p>
    <w:p>
      <w:pPr>
        <w:pStyle w:val="Heading2"/>
        <w:spacing w:before="160" w:after="40"/>
      </w:pPr>
      <w:r>
        <w:rPr/>
        <w:t xml:space="preserve">F-NAV-03 — Palette de commandes ⌘K</w:t>
      </w:r>
    </w:p>
    <w:p>
      <w:pPr>
        <w:spacing w:before="0" w:after="80"/>
      </w:pPr>
      <w:r>
        <w:rPr>
          <w:b/>
        </w:rPr>
        <w:t xml:space="preserve">Priorité : M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Naviguer et atteindre une entité en quelques touches, façon outil « tooling » moderne.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Ouverte par `⌘/Ctrl+K` ou clic sur la barre de recherche. Recherche transverse : actions/navigation, restaurants, tags NFC, lots, factures, membres d'équipe. Résultats groupés ; navigation clavier complète (↑↓ pour naviguer, ↵ pour ouvrir, Échap pour fermer). Sélectionner une entité ouvre sa fiche de détail.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Un tag, un restaurant ou une facture est atteignable sans quitter le clavier.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La fermeture se fait par Échap ou clic extérieur.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F-NAV-06</w:t>
      </w:r>
    </w:p>
    <w:p>
      <w:pPr>
        <w:pStyle w:val="Heading2"/>
        <w:spacing w:before="160" w:after="40"/>
      </w:pPr>
      <w:r>
        <w:rPr/>
        <w:t xml:space="preserve">F-NAV-04 — Thème clair / sombre</w:t>
      </w:r>
    </w:p>
    <w:p>
      <w:pPr>
        <w:spacing w:before="0" w:after="80"/>
      </w:pPr>
      <w:r>
        <w:rPr>
          <w:b/>
        </w:rPr>
        <w:t xml:space="preserve">Priorité : M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Permettre un usage confortable toute la journée, le sombre étant de premier rang.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Toutes les couleurs sont des variables CSS (`:root` et `[data-theme="dark"]`) ; aucune n'est codée en dur. La bascule se fait depuis le pied de sidebar ou les préférences, et persiste (rechargement sans perte du choix).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Tout écran reste impeccable en mode sombre, sans contraste cassé.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Le choix de thème survit au rechargement.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—</w:t>
      </w:r>
    </w:p>
    <w:p>
      <w:pPr>
        <w:pStyle w:val="Heading2"/>
        <w:spacing w:before="160" w:after="40"/>
      </w:pPr>
      <w:r>
        <w:rPr/>
        <w:t xml:space="preserve">F-NAV-05 — Inbox de notifications personnel</w:t>
      </w:r>
    </w:p>
    <w:p>
      <w:pPr>
        <w:spacing w:before="0" w:after="80"/>
      </w:pPr>
      <w:r>
        <w:rPr>
          <w:b/>
        </w:rPr>
        <w:t xml:space="preserve">Priorité : S · Phase : P2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Distinguer « ce qui me concerne » du flux global d'alertes.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Panneau ancré à la cloche de la topbar, distinct du Centre d'alertes. Regroupe alertes assignées, mentions dans les notes, tâches d'onboarding, paiements échoués. Filtres Tout / Non lu / Mentions ; regroupement Nouveau / Plus tôt ; « Tout marquer lu ». Un clic marque lu et navigue vers l'écran concerné. Badge sur la cloche tant qu'il reste des non-lues.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Un clic sur une notification ouvre l'écran concerné et la marque lue.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Le panneau se ferme au clic extérieur ou par Échap.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F-SUP-01</w:t>
      </w:r>
    </w:p>
    <w:p>
      <w:pPr>
        <w:pStyle w:val="Heading2"/>
        <w:spacing w:before="160" w:after="40"/>
      </w:pPr>
      <w:r>
        <w:rPr/>
        <w:t xml:space="preserve">F-NAV-06 — Routage des pages de détail</w:t>
      </w:r>
    </w:p>
    <w:p>
      <w:pPr>
        <w:spacing w:before="0" w:after="80"/>
      </w:pPr>
      <w:r>
        <w:rPr>
          <w:b/>
        </w:rPr>
        <w:t xml:space="preserve">Priorité : M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Faire des fiches de détail de vraies routes partageables, pas des modales.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Les détails tag, lot, facture, membre (et la carte de déploiement) sont des routes dédiées recevant des paramètres (ex. `nav("tag", { id })`). Le breadcrumb et l'item de sidebar actif se synchronisent.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Chaque page de détail a sa route et conserve l'item de sidebar parent actif.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—</w:t>
      </w:r>
    </w:p>
    <w:p>
      <w:pPr>
        <w:pBdr>
          <w:bottom w:val="single" w:sz="6" w:space="1" w:color="D6D0C2"/>
        </w:pBdr>
      </w:pPr>
    </w:p>
    <w:p>
      <w:pPr>
        <w:pStyle w:val="Heading1"/>
        <w:spacing w:before="240" w:after="80"/>
      </w:pPr>
      <w:r>
        <w:rPr/>
        <w:t xml:space="preserve">3. DSH — Cockpit &amp; pilotage</w:t>
      </w:r>
    </w:p>
    <w:p>
      <w:pPr>
        <w:spacing w:before="0" w:after="80"/>
      </w:pPr>
      <w:r>
        <w:rPr/>
        <w:t xml:space="preserve">Le cockpit répond à la première question de l'opérationnel — « où en est le business, là, maintenant ? » — dès la connexion.</w:t>
      </w:r>
    </w:p>
    <w:p>
      <w:pPr>
        <w:pStyle w:val="Heading2"/>
        <w:spacing w:before="160" w:after="40"/>
      </w:pPr>
      <w:r>
        <w:rPr/>
        <w:t xml:space="preserve">F-DSH-01 — Cockpit d'accueil</w:t>
      </w:r>
    </w:p>
    <w:p>
      <w:pPr>
        <w:spacing w:before="0" w:after="80"/>
      </w:pPr>
      <w:r>
        <w:rPr>
          <w:b/>
        </w:rPr>
        <w:t xml:space="preserve">Priorité : M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Donner une vue immédiate de l'état du business à l'ouverture.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Ligne de bienvenue (« Bonsoir, Cissé. ») + statut système (point coloré + « tous services opérationnels » cliquable vers le statut). Une rangée de 6 KPI : restaurants équipés, tags actifs en service, activations 7 jours, MRR, tags à remplacer, taux de churn 30j. Chiffres en grands caractères, variation 7j en olive/terracotta.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L'état du parc et du business est lisible d'un coup d'œil, sans navigation.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F-DSH-05, F-SUP-02</w:t>
      </w:r>
    </w:p>
    <w:p>
      <w:pPr>
        <w:pStyle w:val="Heading2"/>
        <w:spacing w:before="160" w:after="40"/>
      </w:pPr>
      <w:r>
        <w:rPr/>
        <w:t xml:space="preserve">F-DSH-02 — KPI cliquables</w:t>
      </w:r>
    </w:p>
    <w:p>
      <w:pPr>
        <w:spacing w:before="0" w:after="80"/>
      </w:pPr>
      <w:r>
        <w:rPr>
          <w:b/>
        </w:rPr>
        <w:t xml:space="preserve">Priorité : S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Transformer chaque indicateur en point d'entrée vers l'action.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Chaque KPI est cliquable vers l'écran filtré correspondant (tags à remplacer → parc NFC filtré, churn → restaurants à risque, MRR → facturation…). Une flèche apparaît au survol.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Cliquer un KPI ouvre l'écran cible avec le filtre déjà appliqué.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F-NFC-01, F-CRM-02</w:t>
      </w:r>
    </w:p>
    <w:p>
      <w:pPr>
        <w:pStyle w:val="Heading2"/>
        <w:spacing w:before="160" w:after="40"/>
      </w:pPr>
      <w:r>
        <w:rPr/>
        <w:t xml:space="preserve">F-DSH-03 — Carte de couverture</w:t>
      </w:r>
    </w:p>
    <w:p>
      <w:pPr>
        <w:spacing w:before="0" w:after="80"/>
      </w:pPr>
      <w:r>
        <w:rPr>
          <w:b/>
        </w:rPr>
        <w:t xml:space="preserve">Priorité : S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Visualiser le déploiement géographique du parc.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Carte d'Europe (SVG) : chaque ville équipée en cercle dimensionné au nombre de restaurants, tooltip au survol (ville, compteur, MRR), légende. Bouton « Carte détaillée » vers la vue plein écran.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Les villes équipées sont positionnées et dimensionnées correctement.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F-DSH-06</w:t>
      </w:r>
    </w:p>
    <w:p>
      <w:pPr>
        <w:pStyle w:val="Heading2"/>
        <w:spacing w:before="160" w:after="40"/>
      </w:pPr>
      <w:r>
        <w:rPr/>
        <w:t xml:space="preserve">F-DSH-04 — Alertes en tête</w:t>
      </w:r>
    </w:p>
    <w:p>
      <w:pPr>
        <w:spacing w:before="0" w:after="80"/>
      </w:pPr>
      <w:r>
        <w:rPr>
          <w:b/>
        </w:rPr>
        <w:t xml:space="preserve">Priorité : M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Mettre les incidents prioritaires sous les yeux dès l'accueil.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Liste de 5–8 alertes priorisées : icône colorée selon sévérité, texte court, restaurant concerné, horodatage relatif, bouton « Traiter » menant au Centre d'alertes. « Tout voir » ouvre le centre complet.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Les alertes critiques apparaissent en tête et « Traiter » ouvre le centre.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F-SUP-01</w:t>
      </w:r>
    </w:p>
    <w:p>
      <w:pPr>
        <w:pStyle w:val="Heading2"/>
        <w:spacing w:before="160" w:after="40"/>
      </w:pPr>
      <w:r>
        <w:rPr/>
        <w:t xml:space="preserve">F-DSH-05 — Courbes business &amp; périodes</w:t>
      </w:r>
    </w:p>
    <w:p>
      <w:pPr>
        <w:spacing w:before="0" w:after="80"/>
      </w:pPr>
      <w:r>
        <w:rPr>
          <w:b/>
        </w:rPr>
        <w:t xml:space="preserve">Priorité : M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Suivre l'évolution du MRR et du parc équipé.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Deux graphiques côte à côte : MRR (barres) et restaurants équipés (courbe). Sélecteurs de période </w:t>
      </w:r>
      <w:r>
        <w:rPr>
          <w:b/>
        </w:rPr>
        <w:t xml:space="preserve">fonctionnels</w:t>
      </w:r>
      <w:r>
        <w:rPr/>
        <w:t xml:space="preserve"> (12 mois / 90j / 30j) : chaque bouton change réellement le jeu de données, le titre et le pourcentage de croissance, indépendamment par graphique.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Changer la période met à jour données, titre et variation pour le graphique concerné.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—</w:t>
      </w:r>
    </w:p>
    <w:p>
      <w:pPr>
        <w:pStyle w:val="Heading2"/>
        <w:spacing w:before="160" w:after="40"/>
      </w:pPr>
      <w:r>
        <w:rPr/>
        <w:t xml:space="preserve">F-DSH-06 — Carte de déploiement plein écran</w:t>
      </w:r>
    </w:p>
    <w:p>
      <w:pPr>
        <w:spacing w:before="0" w:after="80"/>
      </w:pPr>
      <w:r>
        <w:rPr>
          <w:b/>
        </w:rPr>
        <w:t xml:space="preserve">Priorité : C · Phase : P2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Explorer le parc géographiquement avec filtres.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Vue carte plein écran : filtres (forfait, paiement, santé), colorisation au choix (densité / santé / MRR), bulles par ville + pastille sur comptes à risque, panneau ville au clic (santé moyenne, à risque, MRR, restaurants cliquables).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Les filtres et la colorisation recalculent l'affichage en direct ; le panneau ville liste les restaurants.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F-DSH-03</w:t>
      </w:r>
    </w:p>
    <w:p>
      <w:pPr>
        <w:pBdr>
          <w:bottom w:val="single" w:sz="6" w:space="1" w:color="D6D0C2"/>
        </w:pBdr>
      </w:pPr>
    </w:p>
    <w:p>
      <w:pPr>
        <w:pStyle w:val="Heading1"/>
        <w:spacing w:before="240" w:after="80"/>
      </w:pPr>
      <w:r>
        <w:rPr/>
        <w:t xml:space="preserve">4. CRM — Restaurants clients</w:t>
      </w:r>
    </w:p>
    <w:p>
      <w:pPr>
        <w:spacing w:before="0" w:after="80"/>
      </w:pPr>
      <w:r>
        <w:rPr/>
        <w:t xml:space="preserve">Le CRM gère les comptes restaurants, plus dense et plus orienté commercial que le back-office restaurateur.</w:t>
      </w:r>
    </w:p>
    <w:p>
      <w:pPr>
        <w:pStyle w:val="Heading2"/>
        <w:spacing w:before="160" w:after="40"/>
      </w:pPr>
      <w:r>
        <w:rPr/>
        <w:t xml:space="preserve">F-CRM-01 — Table des restaurants</w:t>
      </w:r>
    </w:p>
    <w:p>
      <w:pPr>
        <w:spacing w:before="0" w:after="80"/>
      </w:pPr>
      <w:r>
        <w:rPr>
          <w:b/>
        </w:rPr>
        <w:t xml:space="preserve">Priorité : M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Présenter le portefeuille de comptes en une table dense exploitable.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Colonnes : nom + avatar généré, ville/pays, forfait (badge teinté, Enterprise en gold), tags actifs, activations 30j (sparkline), note moyenne (étoiles gold), </w:t>
      </w:r>
      <w:r>
        <w:rPr>
          <w:b/>
        </w:rPr>
        <w:t xml:space="preserve">health score</w:t>
      </w:r>
      <w:r>
        <w:rPr/>
        <w:t xml:space="preserve">, MRR, statut paiement (pill), dernière activité gérant, actions.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Chaque restaurant est lisible en une ligne dense sans surcharge.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F-CRM-05</w:t>
      </w:r>
    </w:p>
    <w:p>
      <w:pPr>
        <w:pStyle w:val="Heading2"/>
        <w:spacing w:before="160" w:after="40"/>
      </w:pPr>
      <w:r>
        <w:rPr/>
        <w:t xml:space="preserve">F-CRM-02 — Filtres CRM</w:t>
      </w:r>
    </w:p>
    <w:p>
      <w:pPr>
        <w:spacing w:before="0" w:after="80"/>
      </w:pPr>
      <w:r>
        <w:rPr>
          <w:b/>
        </w:rPr>
        <w:t xml:space="preserve">Priorité : M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Retrouver un sous-ensemble de comptes rapidement.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Filtres par forfait, statut de paiement et health score. Recalcul des agrégats en direct. Les filtres sont adressables depuis un KPI du cockpit (ex. churn → comptes à risque).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Un filtre actif restreint la table et peut être pré-appliqué par navigation.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—</w:t>
      </w:r>
    </w:p>
    <w:p>
      <w:pPr>
        <w:pStyle w:val="Heading2"/>
        <w:spacing w:before="160" w:after="40"/>
      </w:pPr>
      <w:r>
        <w:rPr/>
        <w:t xml:space="preserve">F-CRM-03 — Fiche restaurant détaillée</w:t>
      </w:r>
    </w:p>
    <w:p>
      <w:pPr>
        <w:spacing w:before="0" w:after="80"/>
      </w:pPr>
      <w:r>
        <w:rPr>
          <w:b/>
        </w:rPr>
        <w:t xml:space="preserve">Priorité : M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Offrir une vue 360° d'un compte en route dédiée.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Fiche plein écran (pas un panneau) avec onglets : </w:t>
      </w:r>
      <w:r>
        <w:rPr>
          <w:b/>
        </w:rPr>
        <w:t xml:space="preserve">Vue d'ensemble</w:t>
      </w:r>
      <w:r>
        <w:rPr/>
        <w:t xml:space="preserve"> (KPI + coordonnées + facturation), </w:t>
      </w:r>
      <w:r>
        <w:rPr>
          <w:b/>
        </w:rPr>
        <w:t xml:space="preserve">Tags</w:t>
      </w:r>
      <w:r>
        <w:rPr/>
        <w:t xml:space="preserve"> (étiquettes du compte, lot cliquable), </w:t>
      </w:r>
      <w:r>
        <w:rPr>
          <w:b/>
        </w:rPr>
        <w:t xml:space="preserve">Activité convives</w:t>
      </w:r>
      <w:r>
        <w:rPr/>
        <w:t xml:space="preserve"> (taps 14j, répartition horaire, flux, avis), </w:t>
      </w:r>
      <w:r>
        <w:rPr>
          <w:b/>
        </w:rPr>
        <w:t xml:space="preserve">Facturation</w:t>
      </w:r>
      <w:r>
        <w:rPr/>
        <w:t xml:space="preserve"> (KPI + historique des factures), </w:t>
      </w:r>
      <w:r>
        <w:rPr>
          <w:b/>
        </w:rPr>
        <w:t xml:space="preserve">Notes commerciales</w:t>
      </w:r>
      <w:r>
        <w:rPr/>
        <w:t xml:space="preserve"> (fil + ajout, opportunité d'upsell), </w:t>
      </w:r>
      <w:r>
        <w:rPr>
          <w:b/>
        </w:rPr>
        <w:t xml:space="preserve">Historique</w:t>
      </w:r>
      <w:r>
        <w:rPr/>
        <w:t xml:space="preserve"> (timeline du compte).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Chaque onglet affiche des données réelles du compte, sans onglet vide.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L'onglet Tags renvoie au parc NFC ; Facturation renvoie à la facturation.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F-NFC-01, F-FIN-01</w:t>
      </w:r>
    </w:p>
    <w:p>
      <w:pPr>
        <w:pStyle w:val="Heading2"/>
        <w:spacing w:before="160" w:after="40"/>
      </w:pPr>
      <w:r>
        <w:rPr/>
        <w:t xml:space="preserve">F-CRM-04 — Création d'un restaurant</w:t>
      </w:r>
    </w:p>
    <w:p>
      <w:pPr>
        <w:spacing w:before="0" w:after="80"/>
      </w:pPr>
      <w:r>
        <w:rPr>
          <w:b/>
        </w:rPr>
        <w:t xml:space="preserve">Priorité : S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Ajouter un compte au portefeuille.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Formulaire de création (nom, ville, forfait, commercial responsable…).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Un nouveau restaurant créé apparaît dans la table.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F-CRM-01</w:t>
      </w:r>
    </w:p>
    <w:p>
      <w:pPr>
        <w:pStyle w:val="Heading2"/>
        <w:spacing w:before="160" w:after="40"/>
      </w:pPr>
      <w:r>
        <w:rPr/>
        <w:t xml:space="preserve">F-CRM-05 — Health score visuel</w:t>
      </w:r>
    </w:p>
    <w:p>
      <w:pPr>
        <w:spacing w:before="0" w:after="80"/>
      </w:pPr>
      <w:r>
        <w:rPr>
          <w:b/>
        </w:rPr>
        <w:t xml:space="preserve">Priorité : M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Faire comprendre d'un regard la santé d'un compte.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Score 0–100 codé par couleur </w:t>
      </w:r>
      <w:r>
        <w:rPr>
          <w:b/>
        </w:rPr>
        <w:t xml:space="preserve">et</w:t>
      </w:r>
      <w:r>
        <w:rPr/>
        <w:t xml:space="preserve"> valeur : olive &gt; 75, amber 50–75, terracotta &lt; 50. Jamais la couleur seule.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Le score est compréhensible sans dépendre uniquement de la couleur.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—</w:t>
      </w:r>
    </w:p>
    <w:p>
      <w:pPr>
        <w:pBdr>
          <w:bottom w:val="single" w:sz="6" w:space="1" w:color="D6D0C2"/>
        </w:pBdr>
      </w:pPr>
    </w:p>
    <w:p>
      <w:pPr>
        <w:pStyle w:val="Heading1"/>
        <w:spacing w:before="240" w:after="80"/>
      </w:pPr>
      <w:r>
        <w:rPr/>
        <w:t xml:space="preserve">5. PIP — Commercial &amp; onboarding</w:t>
      </w:r>
    </w:p>
    <w:p>
      <w:pPr>
        <w:spacing w:before="0" w:after="80"/>
      </w:pPr>
      <w:r>
        <w:rPr/>
        <w:t xml:space="preserve">Le pipeline couvre l'amont commercial (prospects, opportunités) et l'intégration des comptes signés.</w:t>
      </w:r>
    </w:p>
    <w:p>
      <w:pPr>
        <w:pStyle w:val="Heading2"/>
        <w:spacing w:before="160" w:after="40"/>
      </w:pPr>
      <w:r>
        <w:rPr/>
        <w:t xml:space="preserve">F-PIP-01 — Pipeline Kanban</w:t>
      </w:r>
    </w:p>
    <w:p>
      <w:pPr>
        <w:spacing w:before="0" w:after="80"/>
      </w:pPr>
      <w:r>
        <w:rPr>
          <w:b/>
        </w:rPr>
        <w:t xml:space="preserve">Priorité : S · Phase : P3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Piloter les opportunités par étape de vente.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Kanban par étape (Contact → Démo → Devis envoyé → Négociation → Signé), valeur et probabilité par colonne, cartes (établissement, ville, type/forfait ou upsell, ARR, commercial). Filtre par commercial.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Chaque opportunité apparaît dans la colonne de son étape ; le filtre commercial restreint le tableau.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F-PIP-03</w:t>
      </w:r>
    </w:p>
    <w:p>
      <w:pPr>
        <w:pStyle w:val="Heading2"/>
        <w:spacing w:before="160" w:after="40"/>
      </w:pPr>
      <w:r>
        <w:rPr/>
        <w:t xml:space="preserve">F-PIP-02 — Vues liste &amp; prévision</w:t>
      </w:r>
    </w:p>
    <w:p>
      <w:pPr>
        <w:spacing w:before="0" w:after="80"/>
      </w:pPr>
      <w:r>
        <w:rPr>
          <w:b/>
        </w:rPr>
        <w:t xml:space="preserve">Priorité : S · Phase : P3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Compléter le Kanban d'une lecture analytique.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Vue liste (avec deals perdus) et vue prévision : revenu pondéré sur 3 mois, synthèse (pipeline total, pondéré, signé, taux de signature, cycle moyen), répartition par commercial.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La prévision pondère chaque deal par sa probabilité d'étape.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F-PIP-01</w:t>
      </w:r>
    </w:p>
    <w:p>
      <w:pPr>
        <w:pStyle w:val="Heading2"/>
        <w:spacing w:before="160" w:after="40"/>
      </w:pPr>
      <w:r>
        <w:rPr/>
        <w:t xml:space="preserve">F-PIP-03 — Détail d'une opportunité</w:t>
      </w:r>
    </w:p>
    <w:p>
      <w:pPr>
        <w:spacing w:before="0" w:after="80"/>
      </w:pPr>
      <w:r>
        <w:rPr>
          <w:b/>
        </w:rPr>
        <w:t xml:space="preserve">Priorité : S · Phase : P3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Suivre une opportunité dans le détail.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Drawer : barre de progression des étapes, valeurs (ARR/MRR/probabilité/pondéré), source, forfait visé, prochaine action, historique, actions (avancer / marquer signé / lancer l'onboarding).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Marquer « signé » bascule l'opportunité et propose l'onboarding.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F-PIP-04</w:t>
      </w:r>
    </w:p>
    <w:p>
      <w:pPr>
        <w:pStyle w:val="Heading2"/>
        <w:spacing w:before="160" w:after="40"/>
      </w:pPr>
      <w:r>
        <w:rPr/>
        <w:t xml:space="preserve">F-PIP-04 — Pipeline d'onboarding</w:t>
      </w:r>
    </w:p>
    <w:p>
      <w:pPr>
        <w:spacing w:before="0" w:after="80"/>
      </w:pPr>
      <w:r>
        <w:rPr>
          <w:b/>
        </w:rPr>
        <w:t xml:space="preserve">Priorité : S · Phase : P3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Suivre l'intégration des restaurants signés.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Étapes contrat → provisionnement → installation → première activation, avec responsable et blocages.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Un compte signé apparaît dans l'onboarding à l'étape contrat.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F-PRV-01, F-NFC-06</w:t>
      </w:r>
    </w:p>
    <w:p>
      <w:pPr>
        <w:pBdr>
          <w:bottom w:val="single" w:sz="6" w:space="1" w:color="D6D0C2"/>
        </w:pBdr>
      </w:pPr>
    </w:p>
    <w:p>
      <w:pPr>
        <w:pStyle w:val="Heading1"/>
        <w:spacing w:before="240" w:after="80"/>
      </w:pPr>
      <w:r>
        <w:rPr/>
        <w:t xml:space="preserve">6. NFC — Parc d'étiquettes NFC</w:t>
      </w:r>
    </w:p>
    <w:p>
      <w:pPr>
        <w:spacing w:before="0" w:after="80"/>
      </w:pPr>
      <w:r>
        <w:rPr/>
        <w:t xml:space="preserve">Module le plus dense et le plus utilisé : c'est ici que l'opérationnel passe le plus de temps, et la qualité de ses tables fait 70 % de la perception de l'outil.</w:t>
      </w:r>
    </w:p>
    <w:p>
      <w:pPr>
        <w:pStyle w:val="Heading2"/>
        <w:spacing w:before="160" w:after="40"/>
      </w:pPr>
      <w:r>
        <w:rPr/>
        <w:t xml:space="preserve">F-NFC-01 — Inventaire dense</w:t>
      </w:r>
    </w:p>
    <w:p>
      <w:pPr>
        <w:spacing w:before="0" w:after="80"/>
      </w:pPr>
      <w:r>
        <w:rPr>
          <w:b/>
        </w:rPr>
        <w:t xml:space="preserve">Priorité : M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Piloter l'ensemble du parc depuis une table dense, filtrable et actionnable.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Table (rangées 40–44px) : checkbox, short UID (mono, 500), UID complet (mono, mute), type (badge), lot (mono, cliquable → détail lot), restaurant (lien), table (mono), </w:t>
      </w:r>
      <w:r>
        <w:rPr>
          <w:b/>
        </w:rPr>
        <w:t xml:space="preserve">statut</w:t>
      </w:r>
      <w:r>
        <w:rPr/>
        <w:t xml:space="preserve"> (pill), </w:t>
      </w:r>
      <w:r>
        <w:rPr>
          <w:b/>
        </w:rPr>
        <w:t xml:space="preserve">cycles de lavage</w:t>
      </w:r>
      <w:r>
        <w:rPr/>
        <w:t xml:space="preserve"> (barre + compteur), dernière activité, menu d'actions. Une rangée de filtres complexes précède la table : recherche par UID/short_uid (input mono), statut multi-select avec compteurs, type de puce, lot, restaurant, plage de cycles. Pagination 50/100/200 réelle.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Un screenshot d'une table dense est indiscernable d'un outil de classe Linear/Attio, sans surcharge.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Les filtres et la pagination agissent réellement sur les données.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F-NFC-02, F-NFC-03</w:t>
      </w:r>
    </w:p>
    <w:p>
      <w:pPr>
        <w:pStyle w:val="Heading2"/>
        <w:spacing w:before="160" w:after="40"/>
      </w:pPr>
      <w:r>
        <w:rPr/>
        <w:t xml:space="preserve">F-NFC-02 — Status pills strictes</w:t>
      </w:r>
    </w:p>
    <w:p>
      <w:pPr>
        <w:spacing w:before="0" w:after="80"/>
      </w:pPr>
      <w:r>
        <w:rPr>
          <w:b/>
        </w:rPr>
        <w:t xml:space="preserve">Priorité : M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Coder l'état d'un tag de façon univoque et cohérente.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Chaque pill = point coloré 6px + texte court UPPERCASE 10px. Codes stricts : Encodée/Stockée (neutre), En service (olive), En lavage/En transit (gold), Fin de vie proche (amber), À remplacer/Suspendu (terracotta), Réformée/Inactif (mute). Jamais d'information par la seule couleur.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Le statut est identifiable sans dépendre uniquement de la couleur.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—</w:t>
      </w:r>
    </w:p>
    <w:p>
      <w:pPr>
        <w:pStyle w:val="Heading2"/>
        <w:spacing w:before="160" w:after="40"/>
      </w:pPr>
      <w:r>
        <w:rPr/>
        <w:t xml:space="preserve">F-NFC-03 — Cycles de lavage</w:t>
      </w:r>
    </w:p>
    <w:p>
      <w:pPr>
        <w:spacing w:before="0" w:after="80"/>
      </w:pPr>
      <w:r>
        <w:rPr>
          <w:b/>
        </w:rPr>
        <w:t xml:space="preserve">Priorité : M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Visualiser l'usure d'un tag réutilisable.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Mini-barre de progression colorée par seuil : olive &lt; 70 %, amber 70–90 %, terracotta &gt; 90 %, avec compteur (ex. 245/300).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La couleur de la barre reflète le seuil d'usure du tag.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—</w:t>
      </w:r>
    </w:p>
    <w:p>
      <w:pPr>
        <w:pStyle w:val="Heading2"/>
        <w:spacing w:before="160" w:after="40"/>
      </w:pPr>
      <w:r>
        <w:rPr/>
        <w:t xml:space="preserve">F-NFC-04 — Détail tag (panneau + route)</w:t>
      </w:r>
    </w:p>
    <w:p>
      <w:pPr>
        <w:spacing w:before="0" w:after="80"/>
      </w:pPr>
      <w:r>
        <w:rPr>
          <w:b/>
        </w:rPr>
        <w:t xml:space="preserve">Priorité : M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Inspecter un tag, du survol rapide à la page complète.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Le clic ouvre un </w:t>
      </w:r>
      <w:r>
        <w:rPr>
          <w:b/>
        </w:rPr>
        <w:t xml:space="preserve">panneau latéral</w:t>
      </w:r>
      <w:r>
        <w:rPr/>
        <w:t xml:space="preserve"> (timeline du cycle de vie, métadonnées techniques en data list, activité récente, actions) avec un bouton « page complète ». La </w:t>
      </w:r>
      <w:r>
        <w:rPr>
          <w:b/>
        </w:rPr>
        <w:t xml:space="preserve">route de détail</w:t>
      </w:r>
      <w:r>
        <w:rPr/>
        <w:t xml:space="preserve"> ajoute : 5 KPI, taps sur 12 semaines, courbe d'usure, carte horaire des taps, QR de repli, métadonnées étendues, </w:t>
      </w:r>
      <w:r>
        <w:rPr>
          <w:b/>
        </w:rPr>
        <w:t xml:space="preserve">log technique brut</w:t>
      </w:r>
      <w:r>
        <w:rPr/>
        <w:t xml:space="preserve"> (TAP/AUTH/SYNC/WEAR/ERR avec codes colorés).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Le panneau et la page affichent des données cohérentes pour le même tag.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Le champ « Authentification SUN/CMAC » d'un NTAG 424 renvoie à la sécurité NFC.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F-NFC-07, F-SEC-03</w:t>
      </w:r>
    </w:p>
    <w:p>
      <w:pPr>
        <w:pStyle w:val="Heading2"/>
        <w:spacing w:before="160" w:after="40"/>
      </w:pPr>
      <w:r>
        <w:rPr/>
        <w:t xml:space="preserve">F-NFC-05 — Détail lot</w:t>
      </w:r>
    </w:p>
    <w:p>
      <w:pPr>
        <w:spacing w:before="0" w:after="80"/>
      </w:pPr>
      <w:r>
        <w:rPr>
          <w:b/>
        </w:rPr>
        <w:t xml:space="preserve">Priorité : S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Analyser un lot d'encodage de bout en bout.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Route dédiée (clic sur un `LV-…`) : header (réf, statut, type), KPI (quantité, encodés/échec, livrés, activés, morts), </w:t>
      </w:r>
      <w:r>
        <w:rPr>
          <w:b/>
        </w:rPr>
        <w:t xml:space="preserve">courbe de mortalité</w:t>
      </w:r>
      <w:r>
        <w:rPr/>
        <w:t xml:space="preserve"> cumulée avec seuil critique, </w:t>
      </w:r>
      <w:r>
        <w:rPr>
          <w:b/>
        </w:rPr>
        <w:t xml:space="preserve">suivi d'expédition</w:t>
      </w:r>
      <w:r>
        <w:rPr/>
        <w:t xml:space="preserve"> en timeline, </w:t>
      </w:r>
      <w:r>
        <w:rPr>
          <w:b/>
        </w:rPr>
        <w:t xml:space="preserve">répartition par restaurant</w:t>
      </w:r>
      <w:r>
        <w:rPr/>
        <w:t xml:space="preserve">, qualité d'encodage, métadonnées.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La courbe de mortalité et la répartition reflètent les données du lot.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F-NFC-01</w:t>
      </w:r>
    </w:p>
    <w:p>
      <w:pPr>
        <w:pStyle w:val="Heading2"/>
        <w:spacing w:before="160" w:after="40"/>
      </w:pPr>
      <w:r>
        <w:rPr/>
        <w:t xml:space="preserve">F-NFC-06 — Affectation &amp; réaffectation</w:t>
      </w:r>
    </w:p>
    <w:p>
      <w:pPr>
        <w:spacing w:before="0" w:after="80"/>
      </w:pPr>
      <w:r>
        <w:rPr>
          <w:b/>
        </w:rPr>
        <w:t xml:space="preserve">Priorité : M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Rattacher les tags aux restaurants et aux tables.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Affecter un lot de tags à un restaurant ; réaffecter un tag à un autre restaurant ; affecter des tags à des nappes/tables (T-NN). Formulaires dédiés depuis la table et le détail.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Un tag réaffecté change de restaurant et de table dans l'inventaire.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F-NFC-01</w:t>
      </w:r>
    </w:p>
    <w:p>
      <w:pPr>
        <w:pStyle w:val="Heading2"/>
        <w:spacing w:before="160" w:after="40"/>
      </w:pPr>
      <w:r>
        <w:rPr/>
        <w:t xml:space="preserve">F-NFC-07 — QR de repli</w:t>
      </w:r>
    </w:p>
    <w:p>
      <w:pPr>
        <w:spacing w:before="0" w:after="80"/>
      </w:pPr>
      <w:r>
        <w:rPr>
          <w:b/>
        </w:rPr>
        <w:t xml:space="preserve">Priorité : S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Garantir l'accès même sans NFC, via un QR de secours.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Chaque tag dispose d'un QR positionné sur le set de table ou un chevalet, pointant vers </w:t>
      </w:r>
      <w:r>
        <w:rPr>
          <w:b/>
        </w:rPr>
        <w:t xml:space="preserve">la même URL</w:t>
      </w:r>
      <w:r>
        <w:rPr/>
        <w:t xml:space="preserve"> que le NFC associé à la même table, pour une expérience identique. Le QR utilise une </w:t>
      </w:r>
      <w:r>
        <w:rPr>
          <w:b/>
        </w:rPr>
        <w:t xml:space="preserve">correction d'erreur élevée (niveau H)</w:t>
      </w:r>
      <w:r>
        <w:rPr/>
        <w:t xml:space="preserve"> pour résister à la salissure et aux pliures.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Le QR de repli pointe vers la même ressource que le NFC et reste lisible dégradé.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F-PRV-02</w:t>
      </w:r>
    </w:p>
    <w:p>
      <w:pPr>
        <w:pStyle w:val="Heading2"/>
        <w:spacing w:before="160" w:after="40"/>
      </w:pPr>
      <w:r>
        <w:rPr/>
        <w:t xml:space="preserve">F-NFC-08 — Sélection multiple &amp; actions de masse</w:t>
      </w:r>
    </w:p>
    <w:p>
      <w:pPr>
        <w:spacing w:before="0" w:after="80"/>
      </w:pPr>
      <w:r>
        <w:rPr>
          <w:b/>
        </w:rPr>
        <w:t xml:space="preserve">Priorité : S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Agir sur de nombreux tags d'un seul geste.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Cases de sélection ; une barre d'actions de masse apparaît quand la sélection est active (réaffecter, marquer pour réforme, tester en lot), avec compteur « N sur M sélectionnés ».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La barre de masse n'apparaît qu'en sélection active et agit sur tous les tags choisis.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F-NFC-01</w:t>
      </w:r>
    </w:p>
    <w:p>
      <w:pPr>
        <w:pBdr>
          <w:bottom w:val="single" w:sz="6" w:space="1" w:color="D6D0C2"/>
        </w:pBdr>
      </w:pPr>
    </w:p>
    <w:p>
      <w:pPr>
        <w:pStyle w:val="Heading1"/>
        <w:spacing w:before="240" w:after="80"/>
      </w:pPr>
      <w:r>
        <w:rPr/>
        <w:t xml:space="preserve">7. PRV — Provisionnement &amp; approvisionnement</w:t>
      </w:r>
    </w:p>
    <w:p>
      <w:pPr>
        <w:spacing w:before="0" w:after="80"/>
      </w:pPr>
      <w:r>
        <w:rPr/>
        <w:t xml:space="preserve">Du réassort des étiquettes vierges (amont) à l'encodage (transformation) et au contenu écrit sur la puce.</w:t>
      </w:r>
    </w:p>
    <w:p>
      <w:pPr>
        <w:pStyle w:val="Heading2"/>
        <w:spacing w:before="160" w:after="40"/>
      </w:pPr>
      <w:r>
        <w:rPr/>
        <w:t xml:space="preserve">F-PRV-01 — Encodage d'un lot</w:t>
      </w:r>
    </w:p>
    <w:p>
      <w:pPr>
        <w:spacing w:before="0" w:after="80"/>
      </w:pPr>
      <w:r>
        <w:rPr>
          <w:b/>
        </w:rPr>
        <w:t xml:space="preserve">Priorité : M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Encoder un nouveau lot d'étiquettes en temps réel.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Statut de la station (lecteur ACR1252U connecté/déconnecté). Si lot en cours : configuration en lecture seule, </w:t>
      </w:r>
      <w:r>
        <w:rPr>
          <w:b/>
        </w:rPr>
        <w:t xml:space="preserve">compteur principal géant</w:t>
      </w:r>
      <w:r>
        <w:rPr/>
        <w:t xml:space="preserve"> (247 / 500), vitesse, barre de progression, ETA, mini-stats (taux d'échec, à ré-encoder), </w:t>
      </w:r>
      <w:r>
        <w:rPr>
          <w:b/>
        </w:rPr>
        <w:t xml:space="preserve">flux temps réel</w:t>
      </w:r>
      <w:r>
        <w:rPr/>
        <w:t xml:space="preserve"> des derniers tags encodés (timestamp, UID, short_uid, ✓/✗), pause/terminer.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Le compteur, la vitesse et le flux progressent pendant l'encodage.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—</w:t>
      </w:r>
    </w:p>
    <w:p>
      <w:pPr>
        <w:pStyle w:val="Heading2"/>
        <w:spacing w:before="160" w:after="40"/>
      </w:pPr>
      <w:r>
        <w:rPr/>
        <w:t xml:space="preserve">F-PRV-02 — Contenu encodé (templates NDEF)</w:t>
      </w:r>
    </w:p>
    <w:p>
      <w:pPr>
        <w:spacing w:before="0" w:after="80"/>
      </w:pPr>
      <w:r>
        <w:rPr>
          <w:b/>
        </w:rPr>
        <w:t xml:space="preserve">Priorité : S · Phase : P2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Gérer ce qui est réellement écrit sur les puces.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Liste de templates (Menu sécurisé 424, Menu standard 213…), </w:t>
      </w:r>
      <w:r>
        <w:rPr>
          <w:b/>
        </w:rPr>
        <w:t xml:space="preserve">template d'URL</w:t>
      </w:r>
      <w:r>
        <w:rPr/>
        <w:t xml:space="preserve"> avec placeholders colorés (`{short_uid}`, `{counter}`, `{cmac}`), éditable, </w:t>
      </w:r>
      <w:r>
        <w:rPr>
          <w:b/>
        </w:rPr>
        <w:t xml:space="preserve">occupation mémoire</w:t>
      </w:r>
      <w:r>
        <w:rPr/>
        <w:t xml:space="preserve"> rapportée à la capacité de la puce, </w:t>
      </w:r>
      <w:r>
        <w:rPr>
          <w:b/>
        </w:rPr>
        <w:t xml:space="preserve">enregistrements NDEF</w:t>
      </w:r>
      <w:r>
        <w:rPr/>
        <w:t xml:space="preserve">, </w:t>
      </w:r>
      <w:r>
        <w:rPr>
          <w:b/>
        </w:rPr>
        <w:t xml:space="preserve">URL de repli QR</w:t>
      </w:r>
      <w:r>
        <w:rPr/>
        <w:t xml:space="preserve">, table des variables disponibles (compatibilité par puce, marqueur dynamique).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L'occupation mémoire est calculée par rapport à la capacité de la puce.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Les variables dynamiques (compteur, CMAC) ne sont proposées que pour le NTAG 424.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F-NFC-07</w:t>
      </w:r>
    </w:p>
    <w:p>
      <w:pPr>
        <w:pStyle w:val="Heading2"/>
        <w:spacing w:before="160" w:after="40"/>
      </w:pPr>
      <w:r>
        <w:rPr/>
        <w:t xml:space="preserve">F-PRV-03 — Stock d'étiquettes vierges</w:t>
      </w:r>
    </w:p>
    <w:p>
      <w:pPr>
        <w:spacing w:before="0" w:after="80"/>
      </w:pPr>
      <w:r>
        <w:rPr>
          <w:b/>
        </w:rPr>
        <w:t xml:space="preserve">Priorité : S · Phase : P2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Gérer l'amont logistique, distinct de l'encodage.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Inventaire des références vierges (stock, réservé, disponible, </w:t>
      </w:r>
      <w:r>
        <w:rPr>
          <w:b/>
        </w:rPr>
        <w:t xml:space="preserve">barre de niveau + repère de seuil</w:t>
      </w:r>
      <w:r>
        <w:rPr/>
        <w:t xml:space="preserve">, couverture en semaines, statut En stock/Bas/Critique/Rupture). Alerte quand des références passent sous seuil, avec « générer les commandes ».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Une référence sous son seuil déclenche une alerte et propose une commande.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F-PRV-04</w:t>
      </w:r>
    </w:p>
    <w:p>
      <w:pPr>
        <w:pStyle w:val="Heading2"/>
        <w:spacing w:before="160" w:after="40"/>
      </w:pPr>
      <w:r>
        <w:rPr/>
        <w:t xml:space="preserve">F-PRV-04 — Commandes fournisseurs (PO)</w:t>
      </w:r>
    </w:p>
    <w:p>
      <w:pPr>
        <w:spacing w:before="0" w:after="80"/>
      </w:pPr>
      <w:r>
        <w:rPr>
          <w:b/>
        </w:rPr>
        <w:t xml:space="preserve">Priorité : S · Phase : P2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Suivre les commandes passées chez les fournisseurs de puces.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Liste des PO (NXP/Identiv/HID), filtrables : quantité, prix unitaire négocié, total, date de commande, réception/ETA (rouge si en retard), statut (Brouillon → Confirmée → Expédiée → Réceptionnée / En retard). Drawer de commande avec projection du stock après réception.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Une PO expédiée propose une réception ; sa réception met à jour le stock.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F-PRV-03</w:t>
      </w:r>
    </w:p>
    <w:p>
      <w:pPr>
        <w:pBdr>
          <w:bottom w:val="single" w:sz="6" w:space="1" w:color="D6D0C2"/>
        </w:pBdr>
      </w:pPr>
    </w:p>
    <w:p>
      <w:pPr>
        <w:pStyle w:val="Heading1"/>
        <w:spacing w:before="240" w:after="80"/>
      </w:pPr>
      <w:r>
        <w:rPr/>
        <w:t xml:space="preserve">8. SEC — Sécurité &amp; authentification NFC</w:t>
      </w:r>
    </w:p>
    <w:p>
      <w:pPr>
        <w:spacing w:before="0" w:after="80"/>
      </w:pPr>
      <w:r>
        <w:rPr/>
        <w:t xml:space="preserve">Exploite la véritable valeur du NTAG 424 DNA — l'anti-clonage par SUN/CMAC — au-delà du simple name-dropping dans les métadonnées.</w:t>
      </w:r>
    </w:p>
    <w:p>
      <w:pPr>
        <w:pStyle w:val="Heading2"/>
        <w:spacing w:before="160" w:after="40"/>
      </w:pPr>
      <w:r>
        <w:rPr/>
        <w:t xml:space="preserve">F-SEC-01 — Clés maîtresses</w:t>
      </w:r>
    </w:p>
    <w:p>
      <w:pPr>
        <w:spacing w:before="0" w:after="80"/>
      </w:pPr>
      <w:r>
        <w:rPr>
          <w:b/>
        </w:rPr>
        <w:t xml:space="preserve">Priorité : S · Phase : P2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Gérer les clés cryptographiques du parc et leur rotation.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Table des emplacements K0–K4 (AES-128) : usage (App Master, CMAC/signature, chiffrement PICC, réserve, legacy), nombre de tags, dates de rotation, statut (active/non assignée/dépréciée). Note : clés en HSM, jamais exposées en clair ; la rotation ré-encode les tags au prochain passage.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Chaque clé indique son usage, son statut et le nombre de tags concernés.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—</w:t>
      </w:r>
    </w:p>
    <w:p>
      <w:pPr>
        <w:pStyle w:val="Heading2"/>
        <w:spacing w:before="160" w:after="40"/>
      </w:pPr>
      <w:r>
        <w:rPr/>
        <w:t xml:space="preserve">F-SEC-02 — Configuration SDM</w:t>
      </w:r>
    </w:p>
    <w:p>
      <w:pPr>
        <w:spacing w:before="0" w:after="80"/>
      </w:pPr>
      <w:r>
        <w:rPr>
          <w:b/>
        </w:rPr>
        <w:t xml:space="preserve">Priorité : S · Phase : P2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Configurer le Secure Dynamic Messaging du 424.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Template d'URL inscrit (`{uid}?ctr={counter}&amp;cmac={cmac}` mis en évidence), </w:t>
      </w:r>
      <w:r>
        <w:rPr>
          <w:b/>
        </w:rPr>
        <w:t xml:space="preserve">champs miroir</w:t>
      </w:r>
      <w:r>
        <w:rPr/>
        <w:t xml:space="preserve"> (UID, compteur de lecture, CMAC, PICC chiffré) avec toggles, paramètres cryptographiques (SDMMAC tronqué 8 octets, SDMReadCtr), et explication de l'inviolabilité.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L'activation d'un champ miroir se reflète dans le template d'URL.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F-PRV-02</w:t>
      </w:r>
    </w:p>
    <w:p>
      <w:pPr>
        <w:pStyle w:val="Heading2"/>
        <w:spacing w:before="160" w:after="40"/>
      </w:pPr>
      <w:r>
        <w:rPr/>
        <w:t xml:space="preserve">F-SEC-03 — Journal de sécurité</w:t>
      </w:r>
    </w:p>
    <w:p>
      <w:pPr>
        <w:spacing w:before="0" w:after="80"/>
      </w:pPr>
      <w:r>
        <w:rPr>
          <w:b/>
        </w:rPr>
        <w:t xml:space="preserve">Priorité : S · Phase : P2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Tracer les signaux d'anti-clonage.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Événements typés filtrables par sévérité : échec de signature CMAC (clone probable), anomalie de compteur (rejeu), UID inconnu, version de clé obsolète, authentification réussie. Chaque ligne (tag, restaurant, compteur, IP) renvoie au détail du tag.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Un échec CMAC et un rejeu de compteur apparaissent comme critiques.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F-NFC-04</w:t>
      </w:r>
    </w:p>
    <w:p>
      <w:pPr>
        <w:pStyle w:val="Heading2"/>
        <w:spacing w:before="160" w:after="40"/>
      </w:pPr>
      <w:r>
        <w:rPr/>
        <w:t xml:space="preserve">F-SEC-04 — Diagnostic de tag en direct</w:t>
      </w:r>
    </w:p>
    <w:p>
      <w:pPr>
        <w:spacing w:before="0" w:after="80"/>
      </w:pPr>
      <w:r>
        <w:rPr>
          <w:b/>
        </w:rPr>
        <w:t xml:space="preserve">Priorité : S · Phase : P2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Brancher le bouton « Tester » présent partout sur un vrai outil de lecture/écriture.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Modale déclenchable de partout (`window.testTag`). Séquence animée : connexion lecteur → détection → lecture NDEF → vérification compteur → validation CMAC → test d'écriture (dry-run). Verdict </w:t>
      </w:r>
      <w:r>
        <w:rPr>
          <w:b/>
        </w:rPr>
        <w:t xml:space="preserve">contextuel au tag</w:t>
      </w:r>
      <w:r>
        <w:rPr/>
        <w:t xml:space="preserve"> : NTAG 424 sain = authentique ; NTAG 213 = signature non vérifiable (statique) ; tag mort = échec CMAC (cloné/défectueux). Affiche résultats de validation (UID, capacité, compteur, CMAC, écriture) et enregistrements NDEF lus.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Le verdict diffère correctement entre 424 sain, 213 statique et tag mort.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F-SEC-03</w:t>
      </w:r>
    </w:p>
    <w:p>
      <w:pPr>
        <w:pBdr>
          <w:bottom w:val="single" w:sz="6" w:space="1" w:color="D6D0C2"/>
        </w:pBdr>
      </w:pPr>
    </w:p>
    <w:p>
      <w:pPr>
        <w:pStyle w:val="Heading1"/>
        <w:spacing w:before="240" w:after="80"/>
      </w:pPr>
      <w:r>
        <w:rPr/>
        <w:t xml:space="preserve">9. FLT — Santé du parc &amp; qualité</w:t>
      </w:r>
    </w:p>
    <w:p>
      <w:pPr>
        <w:spacing w:before="0" w:after="80"/>
      </w:pPr>
      <w:r>
        <w:rPr/>
        <w:t xml:space="preserve">Supervision technique du parc et de la chaîne de qualité, du tag mort au choix du fournisseur.</w:t>
      </w:r>
    </w:p>
    <w:p>
      <w:pPr>
        <w:pStyle w:val="Heading2"/>
        <w:spacing w:before="160" w:after="40"/>
      </w:pPr>
      <w:r>
        <w:rPr/>
        <w:t xml:space="preserve">F-FLT-01 — Santé du parc</w:t>
      </w:r>
    </w:p>
    <w:p>
      <w:pPr>
        <w:spacing w:before="0" w:after="80"/>
      </w:pPr>
      <w:r>
        <w:rPr>
          <w:b/>
        </w:rPr>
        <w:t xml:space="preserve">Priorité : S · Phase : P2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Superviser la mortalité et l'usure à l'échelle du parc.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Carte de chaleur des tags morts par ville, lots à risque triés par mortalité (cliquables → détail lot), histogramme d'usure des cycles, KPI parc (actifs, morts 30j, fin de vie, à remplacer).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Les lots les plus mortels apparaissent en tête et renvoient à leur détail.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F-NFC-05</w:t>
      </w:r>
    </w:p>
    <w:p>
      <w:pPr>
        <w:pStyle w:val="Heading2"/>
        <w:spacing w:before="160" w:after="40"/>
      </w:pPr>
      <w:r>
        <w:rPr/>
        <w:t xml:space="preserve">F-FLT-02 — Tags jamais activés &amp; fins de vie en masse</w:t>
      </w:r>
    </w:p>
    <w:p>
      <w:pPr>
        <w:spacing w:before="0" w:after="80"/>
      </w:pPr>
      <w:r>
        <w:rPr>
          <w:b/>
        </w:rPr>
        <w:t xml:space="preserve">Priorité : S · Phase : P2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Repérer les installations incomplètes et anticiper les remplacements groupés.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Liste des tags livrés mais sans premier tap (jours sans activation), et regroupement des fins de vie par lot avec nombre de restaurants concernés.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Un tag livré sans tap depuis N jours est identifié et relançable.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F-FLT-01</w:t>
      </w:r>
    </w:p>
    <w:p>
      <w:pPr>
        <w:pStyle w:val="Heading2"/>
        <w:spacing w:before="160" w:after="40"/>
      </w:pPr>
      <w:r>
        <w:rPr/>
        <w:t xml:space="preserve">F-FLT-03 — SAV &amp; retours (RMA)</w:t>
      </w:r>
    </w:p>
    <w:p>
      <w:pPr>
        <w:spacing w:before="0" w:after="80"/>
      </w:pPr>
      <w:r>
        <w:rPr>
          <w:b/>
        </w:rPr>
        <w:t xml:space="preserve">Priorité : S · Phase : P2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Traiter les retours d'étiquettes défectueuses.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</w:t>
      </w:r>
      <w:r>
        <w:rPr>
          <w:b/>
        </w:rPr>
        <w:t xml:space="preserve">Motifs récurrents</w:t>
      </w:r>
      <w:r>
        <w:rPr/>
        <w:t xml:space="preserve"> (délaminage, usure, QR abîmé, tag mort, perte) en barres. Table des RMA filtrable par statut (Ouvert → Diagnostic → Expédié → Résolu), garantie, ancienneté. Drawer : suivi du remplacement en timeline, garantie/coût, lien restaurant &amp; lot, actions Rejeter / Expédier.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Un retour suit son cycle de l'ouverture au remplacement, lié à son lot d'origine.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F-NFC-05</w:t>
      </w:r>
    </w:p>
    <w:p>
      <w:pPr>
        <w:pStyle w:val="Heading2"/>
        <w:spacing w:before="160" w:after="40"/>
      </w:pPr>
      <w:r>
        <w:rPr/>
        <w:t xml:space="preserve">F-FLT-04 — Qualité fournisseur</w:t>
      </w:r>
    </w:p>
    <w:p>
      <w:pPr>
        <w:spacing w:before="0" w:after="80"/>
      </w:pPr>
      <w:r>
        <w:rPr>
          <w:b/>
        </w:rPr>
        <w:t xml:space="preserve">Priorité : S · Phase : P2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Arbitrer les achats sur la qualité réelle des lots.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Comparateur des fournisseurs (NXP/Identiv/HID) : score global, taux d'échec d'encodage, mortalité, durée de vie (cycles), coût unitaire, « Recommandé ». Barres comparatives + table des lots triable.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Le fournisseur au meilleur score est mis en avant ; les lots sont triables par mortalité/échec.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F-NFC-05</w:t>
      </w:r>
    </w:p>
    <w:p>
      <w:pPr>
        <w:pBdr>
          <w:bottom w:val="single" w:sz="6" w:space="1" w:color="D6D0C2"/>
        </w:pBdr>
      </w:pPr>
    </w:p>
    <w:p>
      <w:pPr>
        <w:pStyle w:val="Heading1"/>
        <w:spacing w:before="240" w:after="80"/>
      </w:pPr>
      <w:r>
        <w:rPr/>
        <w:t xml:space="preserve">10. FIN — Abonnements &amp; facturation</w:t>
      </w:r>
    </w:p>
    <w:p>
      <w:pPr>
        <w:spacing w:before="0" w:after="80"/>
      </w:pPr>
      <w:r>
        <w:rPr/>
        <w:t xml:space="preserve">Vue financière, qui doit donner une sensation de propreté comptable.</w:t>
      </w:r>
    </w:p>
    <w:p>
      <w:pPr>
        <w:pStyle w:val="Heading2"/>
        <w:spacing w:before="160" w:after="40"/>
      </w:pPr>
      <w:r>
        <w:rPr/>
        <w:t xml:space="preserve">F-FIN-01 — Tableau de bord facturation</w:t>
      </w:r>
    </w:p>
    <w:p>
      <w:pPr>
        <w:spacing w:before="0" w:after="80"/>
      </w:pPr>
      <w:r>
        <w:rPr>
          <w:b/>
        </w:rPr>
        <w:t xml:space="preserve">Priorité : M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Piloter le revenu récurrent et les impayés.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KPI MRR / ARR / encours impayés / factures du mois. Onglets : Abonnements actifs, Factures, Impayés (jours de retard à couleur dégradée, actions de relance), Coupons. Le clic sur une facture ouvre son détail.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Les impayés affichent les jours de retard et des actions de relance.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F-FIN-02</w:t>
      </w:r>
    </w:p>
    <w:p>
      <w:pPr>
        <w:pStyle w:val="Heading2"/>
        <w:spacing w:before="160" w:after="40"/>
      </w:pPr>
      <w:r>
        <w:rPr/>
        <w:t xml:space="preserve">F-FIN-02 — Détail d'une facture</w:t>
      </w:r>
    </w:p>
    <w:p>
      <w:pPr>
        <w:spacing w:before="0" w:after="80"/>
      </w:pPr>
      <w:r>
        <w:rPr>
          <w:b/>
        </w:rPr>
        <w:t xml:space="preserve">Priorité : M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Visualiser et traiter une facture en route dédiée.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À gauche : lignes, récapitulatif </w:t>
      </w:r>
      <w:r>
        <w:rPr>
          <w:b/>
        </w:rPr>
        <w:t xml:space="preserve">HT / TVA / TTC</w:t>
      </w:r>
      <w:r>
        <w:rPr/>
        <w:t xml:space="preserve">, </w:t>
      </w:r>
      <w:r>
        <w:rPr>
          <w:b/>
        </w:rPr>
        <w:t xml:space="preserve">échéancier &amp; relances</w:t>
      </w:r>
      <w:r>
        <w:rPr/>
        <w:t xml:space="preserve"> en timeline adaptative au statut (payée : prélèvement capturé ; impayée : relances + suspension programmée ; brouillon : à émettre), avoirs. À droite : </w:t>
      </w:r>
      <w:r>
        <w:rPr>
          <w:b/>
        </w:rPr>
        <w:t xml:space="preserve">aperçu PDF</w:t>
      </w:r>
      <w:r>
        <w:rPr/>
        <w:t xml:space="preserve"> sticky (en-tête société, facturé à, lignes, total, mentions légales). Actions contextuelles (Renvoyer, PDF, Relancer, Émettre).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Le total TTC, la TVA et l'échéancier sont exacts et cohérents avec le statut.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F-FIN-01</w:t>
      </w:r>
    </w:p>
    <w:p>
      <w:pPr>
        <w:pStyle w:val="Heading2"/>
        <w:spacing w:before="160" w:after="40"/>
      </w:pPr>
      <w:r>
        <w:rPr/>
        <w:t xml:space="preserve">F-FIN-03 — Coupons &amp; promotions</w:t>
      </w:r>
    </w:p>
    <w:p>
      <w:pPr>
        <w:spacing w:before="0" w:after="80"/>
      </w:pPr>
      <w:r>
        <w:rPr>
          <w:b/>
        </w:rPr>
        <w:t xml:space="preserve">Priorité : S · Phase : P3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Gérer les remises commerciales.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KPI (actifs, usages cumulés, expirant sous 7j, remise moyenne). Table : barre d'usage colorée, statuts (actif/épuisé/expiré), alerte d'expiration. Drawer de création (type %/fixe/gratuit, durée, limites d'usage, date d'expiration).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Un coupon proche de l'expiration est signalé ; un coupon épuisé est marqué.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F-FIN-04</w:t>
      </w:r>
    </w:p>
    <w:p>
      <w:pPr>
        <w:pStyle w:val="Heading2"/>
        <w:spacing w:before="160" w:after="40"/>
      </w:pPr>
      <w:r>
        <w:rPr/>
        <w:t xml:space="preserve">F-FIN-04 — Catalogue &amp; tarifs</w:t>
      </w:r>
    </w:p>
    <w:p>
      <w:pPr>
        <w:spacing w:before="0" w:after="80"/>
      </w:pPr>
      <w:r>
        <w:rPr>
          <w:b/>
        </w:rPr>
        <w:t xml:space="preserve">Priorité : S · Phase : P3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Définir ce qui est facturé partout ailleurs dans l'outil.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Forfaits (Essentiel/Pro/Enterprise : prix, quotas tags, tables, matrice de fonctionnalités), options (add-ons), matériel (NTAG 213/424, chevalet, kit), grille par pays (devise, TVA, indice) avec </w:t>
      </w:r>
      <w:r>
        <w:rPr>
          <w:b/>
        </w:rPr>
        <w:t xml:space="preserve">sélecteur recalculant tous les prix</w:t>
      </w:r>
      <w:r>
        <w:rPr/>
        <w:t xml:space="preserve">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Changer de marché recalcule les prix selon la devise et l'indice.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—</w:t>
      </w:r>
    </w:p>
    <w:p>
      <w:pPr>
        <w:pBdr>
          <w:bottom w:val="single" w:sz="6" w:space="1" w:color="D6D0C2"/>
        </w:pBdr>
      </w:pPr>
    </w:p>
    <w:p>
      <w:pPr>
        <w:pStyle w:val="Heading1"/>
        <w:spacing w:before="240" w:after="80"/>
      </w:pPr>
      <w:r>
        <w:rPr/>
        <w:t xml:space="preserve">11. SUP — Supervision, alertes &amp; audit</w:t>
      </w:r>
    </w:p>
    <w:p>
      <w:pPr>
        <w:spacing w:before="0" w:after="80"/>
      </w:pPr>
      <w:r>
        <w:rPr/>
        <w:t xml:space="preserve">La supervision tient l'outil en confiance : triage des incidents, santé des services, traçabilité.</w:t>
      </w:r>
    </w:p>
    <w:p>
      <w:pPr>
        <w:pStyle w:val="Heading2"/>
        <w:spacing w:before="160" w:after="40"/>
      </w:pPr>
      <w:r>
        <w:rPr/>
        <w:t xml:space="preserve">F-SUP-01 — Centre d'alertes</w:t>
      </w:r>
    </w:p>
    <w:p>
      <w:pPr>
        <w:spacing w:before="0" w:after="80"/>
      </w:pPr>
      <w:r>
        <w:rPr>
          <w:b/>
        </w:rPr>
        <w:t xml:space="preserve">Priorité : M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Centraliser et trier les incidents.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Rail de vues sauvegardées (Toutes / Critiques / Non assignées / Mes alertes / Résolues) + filtre par catégorie, avec compteurs. Liste : sévérité, statut (ouverte/en cours/résolue), assigné (avatar), horodatage. Clic pour déplier : détail, </w:t>
      </w:r>
      <w:r>
        <w:rPr>
          <w:b/>
        </w:rPr>
        <w:t xml:space="preserve">historique de traitement</w:t>
      </w:r>
      <w:r>
        <w:rPr/>
        <w:t xml:space="preserve"> en timeline, actions contextuelles + liens croisés (lot, santé du parc, facturation).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Une alerte peut être assignée, prise en charge puis résolue, avec historique.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—</w:t>
      </w:r>
    </w:p>
    <w:p>
      <w:pPr>
        <w:pStyle w:val="Heading2"/>
        <w:spacing w:before="160" w:after="40"/>
      </w:pPr>
      <w:r>
        <w:rPr/>
        <w:t xml:space="preserve">F-SUP-02 — Statut système</w:t>
      </w:r>
    </w:p>
    <w:p>
      <w:pPr>
        <w:spacing w:before="0" w:after="80"/>
      </w:pPr>
      <w:r>
        <w:rPr>
          <w:b/>
        </w:rPr>
        <w:t xml:space="preserve">Priorité : M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Superviser la santé technique de la plateforme.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Bandeau global ; </w:t>
      </w:r>
      <w:r>
        <w:rPr>
          <w:b/>
        </w:rPr>
        <w:t xml:space="preserve">services</w:t>
      </w:r>
      <w:r>
        <w:rPr/>
        <w:t xml:space="preserve"> (API, ingestion taps, webhooks, BDD, paiements, stations d'encodage, PWA, stockage) avec latence/santé ; </w:t>
      </w:r>
      <w:r>
        <w:rPr>
          <w:b/>
        </w:rPr>
        <w:t xml:space="preserve">stations d'encodage</w:t>
      </w:r>
      <w:r>
        <w:rPr/>
        <w:t xml:space="preserve"> temps réel ; </w:t>
      </w:r>
      <w:r>
        <w:rPr>
          <w:b/>
        </w:rPr>
        <w:t xml:space="preserve">disponibilité 90j</w:t>
      </w:r>
      <w:r>
        <w:rPr/>
        <w:t xml:space="preserve"> (barre journalière) ; </w:t>
      </w:r>
      <w:r>
        <w:rPr>
          <w:b/>
        </w:rPr>
        <w:t xml:space="preserve">jobs planifiés</w:t>
      </w:r>
      <w:r>
        <w:rPr/>
        <w:t xml:space="preserve"> ; </w:t>
      </w:r>
      <w:r>
        <w:rPr>
          <w:b/>
        </w:rPr>
        <w:t xml:space="preserve">historique des incidents</w:t>
      </w:r>
      <w:r>
        <w:rPr/>
        <w:t xml:space="preserve"> (timeline + post-mortems).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Un service dégradé est visible dans le bandeau et la liste des services.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—</w:t>
      </w:r>
    </w:p>
    <w:p>
      <w:pPr>
        <w:pStyle w:val="Heading2"/>
        <w:spacing w:before="160" w:after="40"/>
      </w:pPr>
      <w:r>
        <w:rPr/>
        <w:t xml:space="preserve">F-SUP-03 — Journal d'audit</w:t>
      </w:r>
    </w:p>
    <w:p>
      <w:pPr>
        <w:spacing w:before="0" w:after="80"/>
      </w:pPr>
      <w:r>
        <w:rPr>
          <w:b/>
        </w:rPr>
        <w:t xml:space="preserve">Priorité : M · Phase : MVP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Tracer toutes les actions, pour la conformité et le débogage.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Table chronologique inverse, très dense : timestamp précis (mono), acteur + rôle, action (verbe + ressource), IP masquée, payload. Filtres de sévérité, export CSV.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Chaque action sensible est journalisée avec acteur, ressource et horodatage.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—</w:t>
      </w:r>
    </w:p>
    <w:p>
      <w:pPr>
        <w:pStyle w:val="Heading2"/>
        <w:spacing w:before="160" w:after="40"/>
      </w:pPr>
      <w:r>
        <w:rPr/>
        <w:t xml:space="preserve">F-SUP-04 — Rapports &amp; exports</w:t>
      </w:r>
    </w:p>
    <w:p>
      <w:pPr>
        <w:spacing w:before="0" w:after="80"/>
      </w:pPr>
      <w:r>
        <w:rPr>
          <w:b/>
        </w:rPr>
        <w:t xml:space="preserve">Priorité : S · Phase : P3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Centraliser la génération et la planification des exports.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Modèles (facturation, parc NFC, SAV, santé parc, activité convives, avis, onboarding, audit), planifiés (récurrents, destinataires, prochaine exécution), historique (fichiers générés). Drawer : période, format, planification récurrente.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Un export peut être généré à la demande ou planifié de façon récurrente.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—</w:t>
      </w:r>
    </w:p>
    <w:p>
      <w:pPr>
        <w:pBdr>
          <w:bottom w:val="single" w:sz="6" w:space="1" w:color="D6D0C2"/>
        </w:pBdr>
      </w:pPr>
    </w:p>
    <w:p>
      <w:pPr>
        <w:pStyle w:val="Heading1"/>
        <w:spacing w:before="240" w:after="80"/>
      </w:pPr>
      <w:r>
        <w:rPr/>
        <w:t xml:space="preserve">12. ANL — Analytics, taps &amp; IA</w:t>
      </w:r>
    </w:p>
    <w:p>
      <w:pPr>
        <w:spacing w:before="0" w:after="80"/>
      </w:pPr>
      <w:r>
        <w:rPr/>
        <w:t xml:space="preserve">Au-delà des volumes, on exploite les signaux propres au NFC et la couche prédictive.</w:t>
      </w:r>
    </w:p>
    <w:p>
      <w:pPr>
        <w:pStyle w:val="Heading2"/>
        <w:spacing w:before="160" w:after="40"/>
      </w:pPr>
      <w:r>
        <w:rPr/>
        <w:t xml:space="preserve">F-ANL-01 — Analytics globaux</w:t>
      </w:r>
    </w:p>
    <w:p>
      <w:pPr>
        <w:spacing w:before="0" w:after="80"/>
      </w:pPr>
      <w:r>
        <w:rPr>
          <w:b/>
        </w:rPr>
        <w:t xml:space="preserve">Priorité : S · Phase : P2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Donner une lecture statistique globale de la plateforme.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Indicateurs agrégés, cohortes, tendances.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Les indicateurs globaux sont consultables et cohérents avec le cockpit.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—</w:t>
      </w:r>
    </w:p>
    <w:p>
      <w:pPr>
        <w:pStyle w:val="Heading2"/>
        <w:spacing w:before="160" w:after="40"/>
      </w:pPr>
      <w:r>
        <w:rPr/>
        <w:t xml:space="preserve">F-ANL-02 — Analyse des taps (signaux NFC)</w:t>
      </w:r>
    </w:p>
    <w:p>
      <w:pPr>
        <w:spacing w:before="0" w:after="80"/>
      </w:pPr>
      <w:r>
        <w:rPr>
          <w:b/>
        </w:rPr>
        <w:t xml:space="preserve">Priorité : S · Phase : P2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Lire la fiabilité réelle des puces au-delà des volumes.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KPI (taps cumulés, </w:t>
      </w:r>
      <w:r>
        <w:rPr>
          <w:b/>
        </w:rPr>
        <w:t xml:space="preserve">taux de repli NFC → QR</w:t>
      </w:r>
      <w:r>
        <w:rPr/>
        <w:t xml:space="preserve">, conversion tap→commande, scan unique) ; volume empilé NFC + repli QR ; </w:t>
      </w:r>
      <w:r>
        <w:rPr>
          <w:b/>
        </w:rPr>
        <w:t xml:space="preserve">taux de repli selon l'usure du tag</w:t>
      </w:r>
      <w:r>
        <w:rPr/>
        <w:t xml:space="preserve"> (signal qualité : tags usés = ~10× plus de replis) ; répartition par OS ; tunnel de conversion ; repli QR le plus élevé par restaurant.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Le taux de repli croît avec l'usure du tag, faisant office de prédicteur de remplacement.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F-FLT-01</w:t>
      </w:r>
    </w:p>
    <w:p>
      <w:pPr>
        <w:pStyle w:val="Heading2"/>
        <w:spacing w:before="160" w:after="40"/>
      </w:pPr>
      <w:r>
        <w:rPr/>
        <w:t xml:space="preserve">F-ANL-03 — Prédiction de fin de vie des tags</w:t>
      </w:r>
    </w:p>
    <w:p>
      <w:pPr>
        <w:spacing w:before="0" w:after="80"/>
      </w:pPr>
      <w:r>
        <w:rPr>
          <w:b/>
        </w:rPr>
        <w:t xml:space="preserve">Priorité : S · Phase : P2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Anticiper la défaillance de chaque tag pour commander à temps.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Modèle croisant </w:t>
      </w:r>
      <w:r>
        <w:rPr>
          <w:b/>
        </w:rPr>
        <w:t xml:space="preserve">cycles de lavage + taux de repli QR + mortalité du lot</w:t>
      </w:r>
      <w:r>
        <w:rPr/>
        <w:t xml:space="preserve"> → jours prédits avant défaillance + score de confiance, par tag. Bandeau « N tags sous 45 jours → générer la commande » relié au stock.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Chaque prédiction affiche un nombre de jours, une confiance, et les signaux qui la motivent.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F-ANL-02, F-PRV-03</w:t>
      </w:r>
    </w:p>
    <w:p>
      <w:pPr>
        <w:pStyle w:val="Heading2"/>
        <w:spacing w:before="160" w:after="40"/>
      </w:pPr>
      <w:r>
        <w:rPr/>
        <w:t xml:space="preserve">F-ANL-04 — Détection d'anomalies de taps</w:t>
      </w:r>
    </w:p>
    <w:p>
      <w:pPr>
        <w:spacing w:before="0" w:after="80"/>
      </w:pPr>
      <w:r>
        <w:rPr>
          <w:b/>
        </w:rPr>
        <w:t xml:space="preserve">Priorité : S · Phase : P2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Compléter la vérification cryptographique CMAC par une analyse comportementale.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Détection de patterns suspects : chute brutale d'activité (tag décollé), pic anormal (clonage), dérive du taux de repli, taps hors horaires, incohérence géographique. Sévérité + confiance + lien vers le tag.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Une chute ou un pic anormal génère une anomalie typée, distincte d'un échec CMAC pur.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F-SEC-03</w:t>
      </w:r>
    </w:p>
    <w:p>
      <w:pPr>
        <w:pStyle w:val="Heading2"/>
        <w:spacing w:before="160" w:after="40"/>
      </w:pPr>
      <w:r>
        <w:rPr/>
        <w:t xml:space="preserve">F-ANL-05 — Churn prédictif des restaurants</w:t>
      </w:r>
    </w:p>
    <w:p>
      <w:pPr>
        <w:spacing w:before="0" w:after="80"/>
      </w:pPr>
      <w:r>
        <w:rPr>
          <w:b/>
        </w:rPr>
        <w:t xml:space="preserve">Priorité : S · Phase : P2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Prédire le départ d'un compte avant qu'il ne se produise.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Probabilité de churn à 30/60j par restaurant, dérivée des signaux NFC (taps en baisse, menu obsolète, activité gérant), avec </w:t>
      </w:r>
      <w:r>
        <w:rPr>
          <w:b/>
        </w:rPr>
        <w:t xml:space="preserve">MRR à risque</w:t>
      </w:r>
      <w:r>
        <w:rPr/>
        <w:t xml:space="preserve"> et drivers explicites. Chaque ligne renvoie à la fiche restaurant.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Un compte à risque élevé affiche sa probabilité, son horizon et ses drivers.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F-CRM-03</w:t>
      </w:r>
    </w:p>
    <w:p>
      <w:pPr>
        <w:pBdr>
          <w:bottom w:val="single" w:sz="6" w:space="1" w:color="D6D0C2"/>
        </w:pBdr>
      </w:pPr>
    </w:p>
    <w:p>
      <w:pPr>
        <w:pStyle w:val="Heading1"/>
        <w:spacing w:before="240" w:after="80"/>
      </w:pPr>
      <w:r>
        <w:rPr/>
        <w:t xml:space="preserve">13. COM — Avis, campagnes &amp; versions</w:t>
      </w:r>
    </w:p>
    <w:p>
      <w:pPr>
        <w:spacing w:before="0" w:after="80"/>
      </w:pPr>
      <w:r>
        <w:rPr/>
        <w:t xml:space="preserve">La voix du convive et la communication produit vers les restaurants.</w:t>
      </w:r>
    </w:p>
    <w:p>
      <w:pPr>
        <w:pStyle w:val="Heading2"/>
        <w:spacing w:before="160" w:after="40"/>
      </w:pPr>
      <w:r>
        <w:rPr/>
        <w:t xml:space="preserve">F-COM-01 — Avis &amp; réputation</w:t>
      </w:r>
    </w:p>
    <w:p>
      <w:pPr>
        <w:spacing w:before="0" w:after="80"/>
      </w:pPr>
      <w:r>
        <w:rPr>
          <w:b/>
        </w:rPr>
        <w:t xml:space="preserve">Priorité : S · Phase : P2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Suivre et modérer les avis déposés via tap.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Bandeau (note moyenne, distribution, meilleures réputations). Filtres (sans réponse / en attente / signalés) + par note. Flux d'avis avec source NFC/QR + table, </w:t>
      </w:r>
      <w:r>
        <w:rPr>
          <w:b/>
        </w:rPr>
        <w:t xml:space="preserve">modération</w:t>
      </w:r>
      <w:r>
        <w:rPr/>
        <w:t xml:space="preserve"> (approuver/masquer/publier), </w:t>
      </w:r>
      <w:r>
        <w:rPr>
          <w:b/>
        </w:rPr>
        <w:t xml:space="preserve">réponse inline</w:t>
      </w:r>
      <w:r>
        <w:rPr/>
        <w:t xml:space="preserve">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Un avis signalé peut être modéré ; un avis sans réponse peut recevoir une réponse publique.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—</w:t>
      </w:r>
    </w:p>
    <w:p>
      <w:pPr>
        <w:pStyle w:val="Heading2"/>
        <w:spacing w:before="160" w:after="40"/>
      </w:pPr>
      <w:r>
        <w:rPr/>
        <w:t xml:space="preserve">F-COM-02 — Campagnes &amp; communications</w:t>
      </w:r>
    </w:p>
    <w:p>
      <w:pPr>
        <w:spacing w:before="0" w:after="80"/>
      </w:pPr>
      <w:r>
        <w:rPr>
          <w:b/>
        </w:rPr>
        <w:t xml:space="preserve">Priorité : C · Phase : P3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Communiquer vers les restaurants de façon ciblée.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Campagnes e-mail / bannière / in-app : audience ciblée (forfait, santé, à risque), destinataires, </w:t>
      </w:r>
      <w:r>
        <w:rPr>
          <w:b/>
        </w:rPr>
        <w:t xml:space="preserve">taux d'ouverture/clic</w:t>
      </w:r>
      <w:r>
        <w:rPr/>
        <w:t xml:space="preserve">, statut. Drawer de création (canal, audience, message, envoi/programmation).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Une campagne envoyée affiche ses taux d'ouverture et de clic.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—</w:t>
      </w:r>
    </w:p>
    <w:p>
      <w:pPr>
        <w:pStyle w:val="Heading2"/>
        <w:spacing w:before="160" w:after="40"/>
      </w:pPr>
      <w:r>
        <w:rPr/>
        <w:t xml:space="preserve">F-COM-03 — Versions &amp; changelog</w:t>
      </w:r>
    </w:p>
    <w:p>
      <w:pPr>
        <w:spacing w:before="0" w:after="80"/>
      </w:pPr>
      <w:r>
        <w:rPr>
          <w:b/>
        </w:rPr>
        <w:t xml:space="preserve">Priorité : C · Phase : P3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Tenir un journal des versions, notifiable aux restaurants.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Bandeau version courante (lien statut système) + timeline des versions avec badges par type (Nouveau / Amélioration / Correctif). Le badge de version du cockpit y mène. « Notifier les restaurants » relie aux campagnes.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Le changelog liste les versions par type de note et est accessible depuis le cockpit.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F-COM-02</w:t>
      </w:r>
    </w:p>
    <w:p>
      <w:pPr>
        <w:pBdr>
          <w:bottom w:val="single" w:sz="6" w:space="1" w:color="D6D0C2"/>
        </w:pBdr>
      </w:pPr>
    </w:p>
    <w:p>
      <w:pPr>
        <w:pStyle w:val="Heading1"/>
        <w:spacing w:before="240" w:after="80"/>
      </w:pPr>
      <w:r>
        <w:rPr/>
        <w:t xml:space="preserve">14. ORG — Organisation &amp; plateforme</w:t>
      </w:r>
    </w:p>
    <w:p>
      <w:pPr>
        <w:spacing w:before="0" w:after="80"/>
      </w:pPr>
      <w:r>
        <w:rPr/>
        <w:t xml:space="preserve">Gestion de l'équipe, des accès, des intégrations et de la conformité.</w:t>
      </w:r>
    </w:p>
    <w:p>
      <w:pPr>
        <w:pStyle w:val="Heading2"/>
        <w:spacing w:before="160" w:after="40"/>
      </w:pPr>
      <w:r>
        <w:rPr/>
        <w:t xml:space="preserve">F-ORG-01 — Équipe &amp; permissions</w:t>
      </w:r>
    </w:p>
    <w:p>
      <w:pPr>
        <w:spacing w:before="0" w:after="80"/>
      </w:pPr>
      <w:r>
        <w:rPr>
          <w:b/>
        </w:rPr>
        <w:t xml:space="preserve">Priorité : S · Phase : P3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Gérer les membres et leurs droits par module.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Liste des membres + matrice de rôles &amp; permissions (Aucun / Lecture / Édition / Admin) par module, selon le rôle (Admin, Commercial, Opérations, Finance).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Un rôle restreint n'accède pas aux modules hors de son périmètre.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F-ORG-02</w:t>
      </w:r>
    </w:p>
    <w:p>
      <w:pPr>
        <w:pStyle w:val="Heading2"/>
        <w:spacing w:before="160" w:after="40"/>
      </w:pPr>
      <w:r>
        <w:rPr/>
        <w:t xml:space="preserve">F-ORG-02 — Fiche membre</w:t>
      </w:r>
    </w:p>
    <w:p>
      <w:pPr>
        <w:spacing w:before="0" w:after="80"/>
      </w:pPr>
      <w:r>
        <w:rPr>
          <w:b/>
        </w:rPr>
        <w:t xml:space="preserve">Priorité : S · Phase : P3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Détailler l'activité et les droits d'un membre.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Route dédiée : header (rôle, 2FA), KPI, onglets Vue d'ensemble (activité 30j), Comptes gérés (restaurants rattachés), Permissions (matrice héritée du rôle), Journal d'actions (contextualisé au rôle).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La fiche montre les comptes gérés et le journal d'actions du membre.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F-ORG-01</w:t>
      </w:r>
    </w:p>
    <w:p>
      <w:pPr>
        <w:pStyle w:val="Heading2"/>
        <w:spacing w:before="160" w:after="40"/>
      </w:pPr>
      <w:r>
        <w:rPr/>
        <w:t xml:space="preserve">F-ORG-03 — Intégrations, API &amp; webhooks</w:t>
      </w:r>
    </w:p>
    <w:p>
      <w:pPr>
        <w:spacing w:before="0" w:after="80"/>
      </w:pPr>
      <w:r>
        <w:rPr>
          <w:b/>
        </w:rPr>
        <w:t xml:space="preserve">Priorité : S · Phase : P3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Connecter Tabla à l'écosystème externe.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Connecteurs (Pennylane, Lightspeed, Slack, Stripe, Zapier, HubSpot) ; clés API (`tbl_live_`/`tbl_test_`, masquage, portée) ; webhooks (endpoints + événements `tag.dead`, `payment.failed`, `tap.received`…, taux de succès) ; journal de livraison (latence, code 200/429/503, rejouer).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Un webhook liste ses événements abonnés et son taux de succès ; une livraison échouée est rejouable.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—</w:t>
      </w:r>
    </w:p>
    <w:p>
      <w:pPr>
        <w:pStyle w:val="Heading2"/>
        <w:spacing w:before="160" w:after="40"/>
      </w:pPr>
      <w:r>
        <w:rPr/>
        <w:t xml:space="preserve">F-ORG-04 — Conformité RGPD</w:t>
      </w:r>
    </w:p>
    <w:p>
      <w:pPr>
        <w:spacing w:before="0" w:after="80"/>
      </w:pPr>
      <w:r>
        <w:rPr>
          <w:b/>
        </w:rPr>
        <w:t xml:space="preserve">Priorité : S · Phase : P3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Traiter les obligations de protection des données.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Demandes (export / suppression / accès / rectification) avec </w:t>
      </w:r>
      <w:r>
        <w:rPr>
          <w:b/>
        </w:rPr>
        <w:t xml:space="preserve">échéance légale 30j</w:t>
      </w:r>
      <w:r>
        <w:rPr/>
        <w:t xml:space="preserve"> (compte à rebours), responsable, statut ; </w:t>
      </w:r>
      <w:r>
        <w:rPr>
          <w:b/>
        </w:rPr>
        <w:t xml:space="preserve">registre des traitements</w:t>
      </w:r>
      <w:r>
        <w:rPr/>
        <w:t xml:space="preserve"> conforme à l'article 30 (finalité, base légale, données, conservation).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Une demande affiche son échéance légale et son statut ; le registre liste chaque traitement.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F-SUP-03</w:t>
      </w:r>
    </w:p>
    <w:p>
      <w:pPr>
        <w:pStyle w:val="Heading2"/>
        <w:spacing w:before="160" w:after="40"/>
      </w:pPr>
      <w:r>
        <w:rPr/>
        <w:t xml:space="preserve">F-ORG-05 — Réglages, compte &amp; aide</w:t>
      </w:r>
    </w:p>
    <w:p>
      <w:pPr>
        <w:spacing w:before="0" w:after="80"/>
      </w:pPr>
      <w:r>
        <w:rPr>
          <w:b/>
        </w:rPr>
        <w:t xml:space="preserve">Priorité : S · Phase : P3</w:t>
      </w:r>
    </w:p>
    <w:p>
      <w:pPr>
        <w:spacing w:before="0" w:after="80"/>
      </w:pPr>
      <w:r>
        <w:rPr>
          <w:b/>
        </w:rPr>
        <w:t xml:space="preserve">Objectif.</w:t>
      </w:r>
      <w:r>
        <w:rPr/>
        <w:t xml:space="preserve"> Offrir les réglages personnels et le support.</w:t>
      </w:r>
    </w:p>
    <w:p>
      <w:pPr>
        <w:spacing w:before="0" w:after="80"/>
      </w:pPr>
      <w:r>
        <w:rPr>
          <w:b/>
        </w:rPr>
        <w:t xml:space="preserve">Règles.</w:t>
      </w:r>
      <w:r>
        <w:rPr/>
        <w:t xml:space="preserve"> Mon compte (Profil, Sécurité avec 2FA, Préférences avec thème/langue/densité, Sessions actives avec révocation) ; réglages plateforme ; centre d'aide (recherche, catégories d'articles, raccourcis clavier, contact support).</w:t>
      </w:r>
    </w:p>
    <w:p>
      <w:pPr>
        <w:spacing w:before="0" w:after="80"/>
      </w:pPr>
      <w:r>
        <w:rPr>
          <w:b/>
        </w:rPr>
        <w:t xml:space="preserve">Critères d'acceptation.</w:t>
      </w:r>
    </w:p>
    <w:p>
      <w:pPr>
        <w:numPr>
          <w:ilvl w:val="0"/>
          <w:numId w:val="1"/>
        </w:numPr>
        <w:spacing w:before="20" w:after="20"/>
      </w:pPr>
      <w:r>
        <w:rPr/>
        <w:t xml:space="preserve">Les préférences (thème, langue, densité) sont modifiables et persistées ; les sessions sont révocables.</w:t>
      </w:r>
    </w:p>
    <w:p>
      <w:pPr>
        <w:spacing w:before="0" w:after="80"/>
      </w:pPr>
      <w:r>
        <w:rPr>
          <w:b/>
        </w:rPr>
        <w:t xml:space="preserve">Dépendances.</w:t>
      </w:r>
      <w:r>
        <w:rPr/>
        <w:t xml:space="preserve"> F-NAV-04</w:t>
      </w:r>
    </w:p>
    <w:sectPr>
      <w:pgSz w:w="11906" w:h="16838"/>
      <w:pgMar w:top="1134" w:right="1134" w:bottom="1134" w:left="1134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color w:val="8B3A2F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color w:val="1C1A17"/>
        <w:sz w:val="20"/>
      </w:rPr>
    </w:rPrDefault>
  </w:docDefaults>
  <w:style w:type="paragraph" w:default="1" w:styleId="Normal">
    <w:name w:val="Normal"/>
    <w:pPr>
      <w:spacing w:after="80" w:line="264" w:lineRule="auto"/>
    </w:pPr>
    <w:rPr>
      <w:sz w:val="20"/>
    </w:rPr>
  </w:style>
  <w:style w:type="paragraph" w:styleId="Title">
    <w:name w:val="Title"/>
    <w:pPr>
      <w:spacing w:after="80"/>
    </w:pPr>
    <w:rPr>
      <w:rFonts w:ascii="Georgia" w:hAnsi="Georgia"/>
      <w:b/>
      <w:color w:val="8B3A2F"/>
      <w:sz w:val="44"/>
    </w:rPr>
  </w:style>
  <w:style w:type="paragraph" w:styleId="Heading1">
    <w:name w:val="heading 1"/>
    <w:basedOn w:val="Normal"/>
    <w:next w:val="Normal"/>
    <w:pPr>
      <w:spacing w:before="240" w:after="80"/>
      <w:outlineLvl w:val="0"/>
    </w:pPr>
    <w:rPr>
      <w:rFonts w:ascii="Georgia" w:hAnsi="Georgia"/>
      <w:b/>
      <w:color w:val="1C1A17"/>
      <w:sz w:val="30"/>
    </w:rPr>
  </w:style>
  <w:style w:type="paragraph" w:styleId="Heading2">
    <w:name w:val="heading 2"/>
    <w:basedOn w:val="Normal"/>
    <w:next w:val="Normal"/>
    <w:pPr>
      <w:spacing w:before="160" w:after="40"/>
      <w:outlineLvl w:val="1"/>
    </w:pPr>
    <w:rPr>
      <w:b/>
      <w:color w:val="8B3A2F"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