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  <w:r>
        <w:drawing>
          <wp:inline xmlns:a="http://schemas.openxmlformats.org/drawingml/2006/main" xmlns:pic="http://schemas.openxmlformats.org/drawingml/2006/picture">
            <wp:extent cx="1800000" cy="1774121"/>
            <wp:docPr id="1008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2de55e07bae4a4a8a5304642f59676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741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9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10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4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2de55e07bae4a4a8a5304642f59676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2de55e07bae4a4a8a5304642f59676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1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2de55e07bae4a4a8a5304642f59676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8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9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20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21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22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23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4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5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2de55e07bae4a4a8a5304642f59676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>
        <w:rPr>
          <w:sz w:val="15"/>
        </w:rPr>
        <w:tab/>
      </w:r>
      <w:r w:rsidRPr="00B94857">
        <w:rPr>
          <w:sz w:val="15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900000" cy="887061"/>
            <wp:docPr id="102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b2de55e07bae4a4a8a5304642f59676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88706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5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