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EXECUTIVE SUMMARY: 2020 Electoral Prioritization Strategy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Strategy / Operations Leadership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Strategic Data Analysis Team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Identification of Critical Decision Nodes (156 Swing Counties)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1. Strategic Recommendation (The Bottom Line)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It is recommended to </w:t>
      </w:r>
      <w:r w:rsidDel="00000000" w:rsidR="00000000" w:rsidRPr="00000000">
        <w:rPr>
          <w:b w:val="1"/>
          <w:bCs w:val="1"/>
          <w:rtl w:val="0"/>
        </w:rPr>
        <w:t xml:space="preserve">immediately focus resources on 156 identified "Swing" counties</w:t>
      </w:r>
      <w:r w:rsidDel="00000000" w:rsidR="00000000" w:rsidRPr="00000000">
        <w:rPr>
          <w:rtl w:val="0"/>
        </w:rPr>
        <w:t xml:space="preserve"> (Battleground areas). These represent only 4.8% of the national territory but are the only regions where the margin of victory is less than 5%, making them the true deciders of the final outcome. </w:t>
      </w:r>
      <w:r w:rsidDel="00000000" w:rsidR="00000000" w:rsidRPr="00000000">
        <w:rPr>
          <w:b w:val="1"/>
          <w:bCs w:val="1"/>
          <w:rtl w:val="0"/>
        </w:rPr>
        <w:t xml:space="preserve">Any shift in voter turnout within these specific nodes has a disproportionate impact on the national balance.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Business Case / Arguments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Investment Efficiency:</w:t>
      </w:r>
      <w:r w:rsidDel="00000000" w:rsidR="00000000" w:rsidRPr="00000000">
        <w:rPr>
          <w:rtl w:val="0"/>
        </w:rPr>
        <w:t xml:space="preserve"> By deprioritizing the 84% of "Safe" counties, we can optimize budget allocation toward areas with high voter volatility.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Demographic Breaking Points:</w:t>
      </w:r>
      <w:r w:rsidDel="00000000" w:rsidR="00000000" w:rsidRPr="00000000">
        <w:rPr>
          <w:rtl w:val="0"/>
        </w:rPr>
        <w:t xml:space="preserve"> Our analysis has detected that maximum competitiveness occurs within specific ethnic balance thresholds, allowing us to predict where margins will close before the final count.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Risk of Inaction:</w:t>
      </w:r>
      <w:r w:rsidDel="00000000" w:rsidR="00000000" w:rsidRPr="00000000">
        <w:rPr>
          <w:rtl w:val="0"/>
        </w:rPr>
        <w:t xml:space="preserve"> Within the Top 10 priority counties, the margin is less than 0.3%. Even a minor sampling error or lack of presence in these zones guarantees the loss of competitive advantage.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Data Evidence &amp; Visualization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The Electoral Balance (Margin vs. Population)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3962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B. Multivariate Demographic Correlation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4597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Action Plan (Next Steps)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Phase</w:t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Action</w:t>
            </w:r>
          </w:p>
        </w:tc>
        <w:tc>
          <w:tcPr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Deliverable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1 (Current)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Segmentation &amp; Filtering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156 Key Swing Counties CSV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 2 (Day 3)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Geospatial Mapping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State-level Heatmaps</w:t>
            </w:r>
          </w:p>
        </w:tc>
      </w:tr>
    </w:tbl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Appendix: High-Priority Identification (Top 10)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following counties present the narrowest margins in the country and require immediate attention:</w:t>
      </w:r>
    </w:p>
    <w:p w:rsidR="00000000" w:rsidDel="00000000" w:rsidP="00000000" w:rsidRDefault="00000000" w:rsidRPr="00000000" w14:paraId="0000001D">
      <w:pPr>
        <w:ind w:left="60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1125"/>
        <w:gridCol w:w="1485"/>
        <w:gridCol w:w="2145"/>
        <w:gridCol w:w="1575"/>
        <w:gridCol w:w="3030"/>
        <w:tblGridChange w:id="0">
          <w:tblGrid>
            <w:gridCol w:w="1125"/>
            <w:gridCol w:w="1485"/>
            <w:gridCol w:w="2145"/>
            <w:gridCol w:w="1575"/>
            <w:gridCol w:w="3030"/>
          </w:tblGrid>
        </w:tblGridChange>
      </w:tblGrid>
      <w:tr>
        <w:trPr>
          <w:cantSplit w:val="0"/>
          <w:trHeight w:val="1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FIPS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Population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Victory Margin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Strategic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rtl w:val="0"/>
              </w:rPr>
              <w:t xml:space="preserve">36069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rtl w:val="0"/>
              </w:rPr>
              <w:t xml:space="preserve">109,192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-0.02%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rtl w:val="0"/>
              </w:rPr>
              <w:t xml:space="preserve">High Priority (Battleground)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rtl w:val="0"/>
              </w:rPr>
              <w:t xml:space="preserve">06027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rtl w:val="0"/>
              </w:rPr>
              <w:t xml:space="preserve">18,373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+0.15%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rtl w:val="0"/>
              </w:rPr>
              <w:t xml:space="preserve">High Priority (Battleground)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rtl w:val="0"/>
              </w:rPr>
              <w:t xml:space="preserve">36113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rtl w:val="0"/>
              </w:rPr>
              <w:t xml:space="preserve">65,180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-0.16%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rtl w:val="0"/>
              </w:rPr>
              <w:t xml:space="preserve">High Priority (Battleground)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rtl w:val="0"/>
              </w:rPr>
              <w:t xml:space="preserve">27131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rtl w:val="0"/>
              </w:rPr>
              <w:t xml:space="preserve">64,886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-0.17%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rtl w:val="0"/>
              </w:rPr>
              <w:t xml:space="preserve">High Priority (Battleground)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rtl w:val="0"/>
              </w:rPr>
              <w:t xml:space="preserve">36071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rtl w:val="0"/>
              </w:rPr>
              <w:t xml:space="preserve">375,384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-0.18%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rtl w:val="0"/>
              </w:rPr>
              <w:t xml:space="preserve">High Priority (Battleground)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rtl w:val="0"/>
              </w:rPr>
              <w:t xml:space="preserve">48439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rtl w:val="0"/>
              </w:rPr>
              <w:t xml:space="preserve">1,914,526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+0.22%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rtl w:val="0"/>
              </w:rPr>
              <w:t xml:space="preserve">High Priority (Battleground)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rtl w:val="0"/>
              </w:rPr>
              <w:t xml:space="preserve">12103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rtl w:val="0"/>
              </w:rPr>
              <w:t xml:space="preserve">931,477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+0.22%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rtl w:val="0"/>
              </w:rPr>
              <w:t xml:space="preserve">High Priority (Battleground)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rtl w:val="0"/>
              </w:rPr>
              <w:t xml:space="preserve">37127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rtl w:val="0"/>
              </w:rPr>
              <w:t xml:space="preserve">94,722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+0.23%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rtl w:val="0"/>
              </w:rPr>
              <w:t xml:space="preserve">High Priority (Battleground)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rtl w:val="0"/>
              </w:rPr>
              <w:t xml:space="preserve">23011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rtl w:val="0"/>
              </w:rPr>
              <w:t xml:space="preserve">121,112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+0.26%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rtl w:val="0"/>
              </w:rPr>
              <w:t xml:space="preserve">High Priority (Battleground)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rtl w:val="0"/>
              </w:rPr>
              <w:t xml:space="preserve">26145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rtl w:val="0"/>
              </w:rPr>
              <w:t xml:space="preserve">196,479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+0.30%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="276" w:lineRule="auto"/>
              <w:ind w:left="600" w:firstLine="0"/>
              <w:rPr/>
            </w:pPr>
            <w:r w:rsidDel="00000000" w:rsidR="00000000" w:rsidRPr="00000000">
              <w:rPr>
                <w:rtl w:val="0"/>
              </w:rPr>
              <w:t xml:space="preserve">High Priority (Battleground)</w:t>
            </w:r>
          </w:p>
        </w:tc>
      </w:tr>
    </w:tbl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900" w:lineRule="auto"/>
        <w:jc w:val="center"/>
        <w:rPr>
          <w:color w:val="666666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666666"/>
          <w:sz w:val="28"/>
          <w:szCs w:val="28"/>
          <w:rtl w:val="0"/>
        </w:rPr>
        <w:t xml:space="preserve">Generated Document | Strategic Data Partner Methodology | v2.0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