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STRATEGIC REPORT: DAY 3 - GEOSPATIAL INTELLIGENCE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2026 Electoral Analysis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 (Visualization Phase)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Day 3 focused on transforming categorized data into actionable geographic intelligence. By mapping the 156 "Battleground Counties," we identified specific </w:t>
      </w:r>
      <w:r w:rsidDel="00000000" w:rsidR="00000000" w:rsidRPr="00000000">
        <w:rPr>
          <w:b w:val="1"/>
          <w:bCs w:val="1"/>
          <w:rtl w:val="0"/>
        </w:rPr>
        <w:t xml:space="preserve">Geospatial Clusters</w:t>
      </w:r>
      <w:r w:rsidDel="00000000" w:rsidR="00000000" w:rsidRPr="00000000">
        <w:rPr>
          <w:rtl w:val="0"/>
        </w:rPr>
        <w:t xml:space="preserve"> where the election will be won or lost. The data shows that electoral volatility is not random but geographically anchored in key regional hubs.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Key Visual Insights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Upper Midwest Hub:</w:t>
      </w:r>
      <w:r w:rsidDel="00000000" w:rsidR="00000000" w:rsidRPr="00000000">
        <w:rPr>
          <w:rtl w:val="0"/>
        </w:rPr>
        <w:t xml:space="preserve"> Minnesota (11 counties) and Wisconsin (9 counties) emerge as the primary strategic corridor. Their high density of swing counties indicates a shared regional sensitivity to current economic indicators.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Southern Volatility:</w:t>
      </w:r>
      <w:r w:rsidDel="00000000" w:rsidR="00000000" w:rsidRPr="00000000">
        <w:rPr>
          <w:rtl w:val="0"/>
        </w:rPr>
        <w:t xml:space="preserve"> The emergence of 9 critical counties in Texas highlights a significant shift in suburban/urban margins, offering a strategic opening in traditionally non-competitive zones.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State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Swing Counties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Strategic 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Minnesota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Critical /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Wisconsin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Critical /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Mississippi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North Carolina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Consolidated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Strategic Recommendation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Transition to a </w:t>
      </w:r>
      <w:r w:rsidDel="00000000" w:rsidR="00000000" w:rsidRPr="00000000">
        <w:rPr>
          <w:b w:val="1"/>
          <w:bCs w:val="1"/>
          <w:rtl w:val="0"/>
        </w:rPr>
        <w:t xml:space="preserve">"Cluster-First" Deployment Model</w:t>
      </w:r>
      <w:r w:rsidDel="00000000" w:rsidR="00000000" w:rsidRPr="00000000">
        <w:rPr>
          <w:rtl w:val="0"/>
        </w:rPr>
        <w:t xml:space="preserve">. Marketing and operational budgets should be geo-fenced around the identified high-density clusters in the North and the South to maximize "Impact per Dollar".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