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shd w:fill="162235" w:val="clear"/>
            <w:vAlign w:val="top"/>
          </w:tcPr>
          <w:p>
            <w:pPr>
              <w:spacing w:before="2500"/>
            </w:pPr>
            <w:r>
              <w:rPr>
                <w:sz w:val="1"/>
                <w:szCs w:val="1"/>
              </w:rPr>
              <w:t xml:space="preserve"> 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37DCF2"/>
                <w:sz w:val="72"/>
                <w:szCs w:val="72"/>
              </w:rPr>
              <w:t xml:space="preserve">CargoBit</w:t>
            </w:r>
          </w:p>
          <w:p>
            <w:pPr>
              <w:spacing w:after="4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Figma Design System</w:t>
            </w:r>
          </w:p>
          <w:p>
            <w:pPr>
              <w:spacing w:after="200"/>
              <w:jc w:val="center"/>
            </w:pPr>
            <w:r>
              <w:rPr>
                <w:color w:val="B0B8C0"/>
                <w:sz w:val="24"/>
                <w:szCs w:val="24"/>
              </w:rPr>
              <w:t xml:space="preserve">Complete Project Structure, Components &amp; Design Tokens</w:t>
            </w:r>
          </w:p>
          <w:p>
            <w:pPr>
              <w:spacing w:before="3500"/>
            </w:pPr>
            <w:r>
              <w:rPr>
                <w:sz w:val="1"/>
                <w:szCs w:val="1"/>
              </w:rPr>
              <w:t xml:space="preserve"> </w:t>
            </w:r>
          </w:p>
          <w:p>
            <w:pPr>
              <w:jc w:val="center"/>
            </w:pPr>
            <w:r>
              <w:rPr>
                <w:color w:val="90989F"/>
                <w:sz w:val="20"/>
                <w:szCs w:val="20"/>
              </w:rPr>
              <w:t xml:space="preserve">Version 1.0 | April 2026</w:t>
            </w:r>
          </w:p>
          <w:p>
            <w:pPr>
              <w:jc w:val="center"/>
            </w:pPr>
            <w:r>
              <w:rPr>
                <w:color w:val="90989F"/>
                <w:sz w:val="20"/>
                <w:szCs w:val="20"/>
              </w:rPr>
              <w:t xml:space="preserve">Enterprise-Ready Figma Blueprint for UI Teams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</w:pPr>
      <w:bookmarkStart w:id="100000" w:name="_Toc100000"/>
      <w:r>
        <w:t xml:space="preserve">Inhaltsverzeichnis</w:t>
      </w:r>
      <w:bookmarkEnd w:id="100000"/>
    </w:p>
    <w:sdt>
      <w:sdtPr>
        <w:alias w:val="[object Object]"/>
      </w:sdtPr>
      <w:sdtContent>
        <w:p>
          <w:r>
            <w:fldChar w:fldCharType="begin" w:dirty="true"/>
          </w:r>
          <w:r>
            <w:instrText xml:space="preserve">TOC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Inhaltsverzeichnis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 Figma Projektstruktur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Foundations (Design Tokens)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 Color Tokens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Brand Colors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Neutral Colors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Risk Colors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Insurance Colors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2.2 Typography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Font Family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Text Styles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2.3 Spacing &amp; Grid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Spacing Scale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Grid System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2.4 Shadows &amp; Elevation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 Components (Atomic Design)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3.1 Atoms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3.2 Molecules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3.3 Organisms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3.4 Component Variants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 Patterns (Reusable UX-Blöcke)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4.1 Form Patterns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4.2 List Patterns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4.3 Banner Ad Patterns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4.4 Risk Patterns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 Screens (Web App)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5.1 Home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5.2 Marketplace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5.3 Auftrag Details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5.4 Versicherungs-Flow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5.5 Dashboard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5.6 Login / Registrierung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 Screens (Mobile)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7. Prototypes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8. Documentation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9. Naming Conventions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10. Implementation Checklist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08080"/>
          <w:sz w:val="18"/>
          <w:szCs w:val="18"/>
        </w:rPr>
        <w:t xml:space="preserve">Hinweis: Rechtsklick auf Inhaltsverzeichnis &gt; Felder aktualisieren</w:t>
      </w:r>
    </w:p>
    <w:p>
      <w:pPr>
        <w:pageBreakBefore/>
      </w:pPr>
      <w:r>
        <w:rPr>
          <w:sz w:val="1"/>
          <w:szCs w:val="1"/>
        </w:rPr>
        <w:t xml:space="preserve"> 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spacing w:after="200" w:before="200"/>
      </w:pPr>
      <w:bookmarkStart w:id="100001" w:name="_Toc100001"/>
      <w:r>
        <w:t xml:space="preserve">1. Figma Projektstruktur</w:t>
      </w:r>
      <w:bookmarkEnd w:id="100001"/>
    </w:p>
    <w:p>
      <w:pPr>
        <w:spacing w:after="200"/>
      </w:pPr>
      <w:r>
        <w:rPr>
          <w:sz w:val="22"/>
          <w:szCs w:val="22"/>
        </w:rPr>
        <w:t xml:space="preserve">Diese Struktur ist bewährt für große Plattformen und trennt klar zwischen Konzept, UI, System und Assets. Sie ermöglicht eine skalierbare, saubere und teamfähige Organisation des Figma-Projekts ohne Chaos und spätere Refactors.</w:t>
      </w:r>
    </w:p>
    <w:tbl>
      <w:tblPr>
        <w:tblW w:type="pct" w:w="100%"/>
        <w:tblBorders>
          <w:top w:val="single" w:color="37DCF2" w:sz="4"/>
          <w:left w:val="none"/>
          <w:bottom w:val="single" w:color="37DCF2" w:sz="4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Page</w:t>
            </w:r>
          </w:p>
        </w:tc>
        <w:tc>
          <w:tcPr>
            <w:tcW w:type="pct" w:w="3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Name</w:t>
            </w:r>
          </w:p>
        </w:tc>
        <w:tc>
          <w:tcPr>
            <w:tcW w:type="pct" w:w="5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01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Foundations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Farben, Typografie, Spacing, Grid, Icons, Shadows, Elevation</w:t>
            </w:r>
          </w:p>
        </w:tc>
      </w:tr>
      <w:tr>
        <w:tc>
          <w:tcPr>
            <w:tcW w:type="pct" w:w="2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02</w:t>
            </w:r>
          </w:p>
        </w:tc>
        <w:tc>
          <w:tcPr>
            <w:tcW w:type="pct" w:w="3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Components</w:t>
            </w:r>
          </w:p>
        </w:tc>
        <w:tc>
          <w:tcPr>
            <w:tcW w:type="pct" w:w="5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Buttons, Inputs, Cards, Tables, Modals, Navigation, Badges, Risk-Indicators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03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Patterns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Formulare, Listen, Filter, Banner-Ads, Insurance-Widgets, Risk-Widgets</w:t>
            </w:r>
          </w:p>
        </w:tc>
      </w:tr>
      <w:tr>
        <w:tc>
          <w:tcPr>
            <w:tcW w:type="pct" w:w="2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04</w:t>
            </w:r>
          </w:p>
        </w:tc>
        <w:tc>
          <w:tcPr>
            <w:tcW w:type="pct" w:w="3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Screens (Web App)</w:t>
            </w:r>
          </w:p>
        </w:tc>
        <w:tc>
          <w:tcPr>
            <w:tcW w:type="pct" w:w="5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Home, Marketplace, Auftrag Details, Versicherungs-Flow, Dashboard, Login/Registrierung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05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Screens (Mobile)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Mobile-optimierte Varianten aller Screens</w:t>
            </w:r>
          </w:p>
        </w:tc>
      </w:tr>
      <w:tr>
        <w:tc>
          <w:tcPr>
            <w:tcW w:type="pct" w:w="2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06</w:t>
            </w:r>
          </w:p>
        </w:tc>
        <w:tc>
          <w:tcPr>
            <w:tcW w:type="pct" w:w="3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Prototypes</w:t>
            </w:r>
          </w:p>
        </w:tc>
        <w:tc>
          <w:tcPr>
            <w:tcW w:type="pct" w:w="5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Interaktive Flows (Click-Flows)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07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Documentation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Design Guidelines, Component Usage, Tokens</w:t>
            </w:r>
          </w:p>
        </w:tc>
      </w:tr>
      <w:tr>
        <w:tc>
          <w:tcPr>
            <w:tcW w:type="pct" w:w="2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08</w:t>
            </w:r>
          </w:p>
        </w:tc>
        <w:tc>
          <w:tcPr>
            <w:tcW w:type="pct" w:w="3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Archive</w:t>
            </w:r>
          </w:p>
        </w:tc>
        <w:tc>
          <w:tcPr>
            <w:tcW w:type="pct" w:w="5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Alte Versionen, Explorations</w:t>
            </w:r>
          </w:p>
        </w:tc>
      </w:tr>
    </w:tbl>
    <w:p>
      <w:pPr>
        <w:pStyle w:val="Heading1"/>
        <w:spacing w:after="200" w:before="400"/>
      </w:pPr>
      <w:bookmarkStart w:id="100002" w:name="_Toc100002"/>
      <w:r>
        <w:t xml:space="preserve">2. Foundations (Design Tokens)</w:t>
      </w:r>
      <w:bookmarkEnd w:id="100002"/>
    </w:p>
    <w:p>
      <w:pPr>
        <w:spacing w:after="200"/>
      </w:pPr>
      <w:r>
        <w:rPr>
          <w:sz w:val="22"/>
          <w:szCs w:val="22"/>
        </w:rPr>
        <w:t xml:space="preserve">Diese Page enthält alle globalen Variablen, die später als Tokens exportiert werden können. Design Tokens sind die atomaren Werte, die das gesamte Design-System konsistent halten. Sie können in Figma als Local Variables definiert und via Tokens Studio oder Figma Tokens Plugin exportiert werden.</w:t>
      </w:r>
    </w:p>
    <w:p>
      <w:pPr>
        <w:pStyle w:val="Heading2"/>
        <w:spacing w:after="150" w:before="300"/>
      </w:pPr>
      <w:bookmarkStart w:id="100003" w:name="_Toc100003"/>
      <w:r>
        <w:t xml:space="preserve">2.1 Color Tokens</w:t>
      </w:r>
      <w:bookmarkEnd w:id="100003"/>
    </w:p>
    <w:p>
      <w:pPr>
        <w:pStyle w:val="Heading3"/>
        <w:spacing w:after="100" w:before="200"/>
      </w:pPr>
      <w:bookmarkStart w:id="100004" w:name="_Toc100004"/>
      <w:r>
        <w:t xml:space="preserve">Brand Colors</w:t>
      </w:r>
      <w:bookmarkEnd w:id="100004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Hex Value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brand.primary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#0052FF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Primäre Brand-Farbe, CTAs, Links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brand.secondary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#00C2A8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Sekundäre Aktionen, Akzente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brand.accent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#FFB800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Highlights, Badges, Notifications</w:t>
            </w:r>
          </w:p>
        </w:tc>
      </w:tr>
    </w:tbl>
    <w:p>
      <w:pPr>
        <w:pStyle w:val="Heading3"/>
        <w:spacing w:after="100" w:before="250"/>
      </w:pPr>
      <w:bookmarkStart w:id="100005" w:name="_Toc100005"/>
      <w:r>
        <w:t xml:space="preserve">Neutral Colors</w:t>
      </w:r>
      <w:bookmarkEnd w:id="100005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Hex Value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neutral.900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#0A0A0A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Headlines, primärer Text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neutral.700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#3A3A3A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Body Text, Subheadings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neutral.500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#8A8A8A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Captions, Placeholder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neutral.300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#D3D3D3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Borders, Dividers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neutral.100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#F5F5F5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Backgrounds, Surfaces</w:t>
            </w:r>
          </w:p>
        </w:tc>
      </w:tr>
    </w:tbl>
    <w:p>
      <w:pPr>
        <w:pStyle w:val="Heading3"/>
        <w:spacing w:after="100" w:before="250"/>
      </w:pPr>
      <w:bookmarkStart w:id="100006" w:name="_Toc100006"/>
      <w:r>
        <w:t xml:space="preserve">Risk Colors</w:t>
      </w:r>
      <w:bookmarkEnd w:id="100006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Hex Value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risk.green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#2ECC71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Niedriges Risiko, Success States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risk.yellow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#F1C40F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Mittleres Risiko, Warning States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risk.red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#E74C3C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Hohes Risiko, Error States</w:t>
            </w:r>
          </w:p>
        </w:tc>
      </w:tr>
    </w:tbl>
    <w:p>
      <w:pPr>
        <w:pStyle w:val="Heading3"/>
        <w:spacing w:after="100" w:before="250"/>
      </w:pPr>
      <w:bookmarkStart w:id="100007" w:name="_Toc100007"/>
      <w:r>
        <w:t xml:space="preserve">Insurance Colors</w:t>
      </w:r>
      <w:bookmarkEnd w:id="100007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Hex Value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insurance.blue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#0077CC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Versicherungs-Komponenten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insurance.gold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#D4AF37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Premium Features, Verified Badges</w:t>
            </w:r>
          </w:p>
        </w:tc>
      </w:tr>
    </w:tbl>
    <w:p>
      <w:pPr>
        <w:pStyle w:val="Heading2"/>
        <w:spacing w:after="150" w:before="300"/>
      </w:pPr>
      <w:bookmarkStart w:id="100008" w:name="_Toc100008"/>
      <w:r>
        <w:t xml:space="preserve">2.2 Typography</w:t>
      </w:r>
      <w:bookmarkEnd w:id="100008"/>
    </w:p>
    <w:p>
      <w:pPr>
        <w:pStyle w:val="Heading3"/>
        <w:spacing w:after="100" w:before="200"/>
      </w:pPr>
      <w:bookmarkStart w:id="100009" w:name="_Toc100009"/>
      <w:r>
        <w:t xml:space="preserve">Font Family</w:t>
      </w:r>
      <w:bookmarkEnd w:id="100009"/>
    </w:p>
    <w:p>
      <w:pPr>
        <w:spacing w:after="100"/>
      </w:pPr>
      <w:r>
        <w:rPr>
          <w:sz w:val="22"/>
          <w:szCs w:val="22"/>
        </w:rPr>
        <w:t xml:space="preserve">Primäre Font: Inter (Web-safe, modern, exzellente Lesbarkeit)</w:t>
      </w:r>
    </w:p>
    <w:p>
      <w:pPr>
        <w:spacing w:after="150"/>
      </w:pPr>
      <w:r>
        <w:rPr>
          <w:sz w:val="22"/>
          <w:szCs w:val="22"/>
        </w:rPr>
        <w:t xml:space="preserve">Alternative: Roboto (Fallback für Systeme ohne Inter)</w:t>
      </w:r>
    </w:p>
    <w:p>
      <w:pPr>
        <w:pStyle w:val="Heading3"/>
        <w:spacing w:after="100" w:before="200"/>
      </w:pPr>
      <w:bookmarkStart w:id="100010" w:name="_Toc100010"/>
      <w:r>
        <w:t xml:space="preserve">Text Styles</w:t>
      </w:r>
      <w:bookmarkEnd w:id="100010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Style Name</w:t>
            </w:r>
          </w:p>
        </w:tc>
        <w:tc>
          <w:tcPr>
            <w:tcW w:type="pct" w:w="2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Size</w:t>
            </w:r>
          </w:p>
        </w:tc>
        <w:tc>
          <w:tcPr>
            <w:tcW w:type="pct" w:w="1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Weight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pct" w:w="2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32px</w:t>
            </w:r>
          </w:p>
        </w:tc>
        <w:tc>
          <w:tcPr>
            <w:tcW w:type="pct" w:w="1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700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Page Titles, Hero Headlines</w:t>
            </w:r>
          </w:p>
        </w:tc>
      </w:tr>
      <w:tr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H2</w:t>
            </w:r>
          </w:p>
        </w:tc>
        <w:tc>
          <w:tcPr>
            <w:tcW w:type="pct" w:w="2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24px</w:t>
            </w:r>
          </w:p>
        </w:tc>
        <w:tc>
          <w:tcPr>
            <w:tcW w:type="pct" w:w="1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600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Section Headers, Card Titles</w:t>
            </w:r>
          </w:p>
        </w:tc>
      </w:tr>
      <w:tr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H3</w:t>
            </w:r>
          </w:p>
        </w:tc>
        <w:tc>
          <w:tcPr>
            <w:tcW w:type="pct" w:w="2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20px</w:t>
            </w:r>
          </w:p>
        </w:tc>
        <w:tc>
          <w:tcPr>
            <w:tcW w:type="pct" w:w="1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600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Subsections, Modal Titles</w:t>
            </w:r>
          </w:p>
        </w:tc>
      </w:tr>
      <w:tr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  <w:tc>
          <w:tcPr>
            <w:tcW w:type="pct" w:w="2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16px</w:t>
            </w:r>
          </w:p>
        </w:tc>
        <w:tc>
          <w:tcPr>
            <w:tcW w:type="pct" w:w="1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 Body Text, Paragraphs</w:t>
            </w:r>
          </w:p>
        </w:tc>
      </w:tr>
      <w:tr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Body Small</w:t>
            </w:r>
          </w:p>
        </w:tc>
        <w:tc>
          <w:tcPr>
            <w:tcW w:type="pct" w:w="2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14px</w:t>
            </w:r>
          </w:p>
        </w:tc>
        <w:tc>
          <w:tcPr>
            <w:tcW w:type="pct" w:w="1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Secondary Text, Captions</w:t>
            </w:r>
          </w:p>
        </w:tc>
      </w:tr>
      <w:tr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Label</w:t>
            </w:r>
          </w:p>
        </w:tc>
        <w:tc>
          <w:tcPr>
            <w:tcW w:type="pct" w:w="2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12px</w:t>
            </w:r>
          </w:p>
        </w:tc>
        <w:tc>
          <w:tcPr>
            <w:tcW w:type="pct" w:w="1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Form Labels, Tags, Badges</w:t>
            </w:r>
          </w:p>
        </w:tc>
      </w:tr>
    </w:tbl>
    <w:p>
      <w:pPr>
        <w:pStyle w:val="Heading2"/>
        <w:spacing w:after="150" w:before="300"/>
      </w:pPr>
      <w:bookmarkStart w:id="100011" w:name="_Toc100011"/>
      <w:r>
        <w:t xml:space="preserve">2.3 Spacing &amp; Grid</w:t>
      </w:r>
      <w:bookmarkEnd w:id="100011"/>
    </w:p>
    <w:p>
      <w:pPr>
        <w:pStyle w:val="Heading3"/>
        <w:spacing w:after="100" w:before="200"/>
      </w:pPr>
      <w:bookmarkStart w:id="100012" w:name="_Toc100012"/>
      <w:r>
        <w:t xml:space="preserve">Spacing Scale</w:t>
      </w:r>
      <w:bookmarkEnd w:id="100012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Hex Value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spacing.4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4px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Minimaler Abstand, Icon-Text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spacing.8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8px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Kompakte Abstände, Inline-Elements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spacing.16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16px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Standard Padding, Card-Inhalt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spacing.24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24px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Section Abstände, Form-Groups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spacing.32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32px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Große Abstände, Page-Sections</w:t>
            </w:r>
          </w:p>
        </w:tc>
      </w:tr>
    </w:tbl>
    <w:p>
      <w:pPr>
        <w:pStyle w:val="Heading3"/>
        <w:spacing w:after="100" w:before="250"/>
      </w:pPr>
      <w:bookmarkStart w:id="100013" w:name="_Toc100013"/>
      <w:r>
        <w:t xml:space="preserve">Grid System</w:t>
      </w:r>
      <w:bookmarkEnd w:id="100013"/>
    </w:p>
    <w:p>
      <w:pPr>
        <w:spacing w:after="100"/>
      </w:pPr>
      <w:r>
        <w:rPr>
          <w:b/>
          <w:bCs/>
          <w:sz w:val="22"/>
          <w:szCs w:val="22"/>
        </w:rPr>
        <w:t xml:space="preserve">Desktop: 12-Column Grid mit 80-1200px Container-Breite</w:t>
      </w:r>
    </w:p>
    <w:p>
      <w:pPr>
        <w:spacing w:after="100"/>
      </w:pPr>
      <w:r>
        <w:rPr>
          <w:sz w:val="22"/>
          <w:szCs w:val="22"/>
        </w:rPr>
        <w:t xml:space="preserve">Gutter: 24px zwischen Columns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Mobile: 4-Column Grid mit 16px Gutter</w:t>
      </w:r>
    </w:p>
    <w:p>
      <w:pPr>
        <w:pStyle w:val="Heading2"/>
        <w:spacing w:after="150" w:before="300"/>
      </w:pPr>
      <w:bookmarkStart w:id="100014" w:name="_Toc100014"/>
      <w:r>
        <w:t xml:space="preserve">2.4 Shadows &amp; Elevation</w:t>
      </w:r>
      <w:bookmarkEnd w:id="100014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Token Name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Hex Value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elevation.1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0 2px 4px rgba(0,0,0,0.08)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Subtle Card Shadow, Hover States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elevation.2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0 4px 12px rgba(0,0,0,0.12)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Modal Shadow, Dropdowns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elevation.3</w:t>
            </w:r>
          </w:p>
        </w:tc>
        <w:tc>
          <w:tcPr>
            <w:tcW w:type="pct" w:w="2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/>
                <w:sz w:val="19"/>
                <w:szCs w:val="19"/>
              </w:rPr>
              <w:t xml:space="preserve">0 8px 24px rgba(0,0,0,0.16)</w:t>
            </w:r>
          </w:p>
        </w:tc>
        <w:tc>
          <w:tcPr>
            <w:tcW w:type="pct" w:w="45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Notifications, Overlays</w:t>
            </w:r>
          </w:p>
        </w:tc>
      </w:tr>
    </w:tbl>
    <w:p>
      <w:pPr>
        <w:pStyle w:val="Heading1"/>
        <w:spacing w:after="200" w:before="400"/>
      </w:pPr>
      <w:bookmarkStart w:id="100015" w:name="_Toc100015"/>
      <w:r>
        <w:t xml:space="preserve">3. Components (Atomic Design)</w:t>
      </w:r>
      <w:bookmarkEnd w:id="100015"/>
    </w:p>
    <w:p>
      <w:pPr>
        <w:spacing w:after="200"/>
      </w:pPr>
      <w:r>
        <w:rPr>
          <w:sz w:val="22"/>
          <w:szCs w:val="22"/>
        </w:rPr>
        <w:t xml:space="preserve">Die Komponenten folgen dem Atomic Design Prinzip und sind hierarchisch von Atoms über Molecules zu Organisms organisiert. Diese Struktur ermöglicht maximale Wiederverwendbarkeit und konsistentes Design über die gesamte Plattform.</w:t>
      </w:r>
    </w:p>
    <w:p>
      <w:pPr>
        <w:pStyle w:val="Heading2"/>
        <w:spacing w:after="150" w:before="300"/>
      </w:pPr>
      <w:bookmarkStart w:id="100016" w:name="_Toc100016"/>
      <w:r>
        <w:t xml:space="preserve">3.1 Atoms</w:t>
      </w:r>
      <w:bookmarkEnd w:id="100016"/>
    </w:p>
    <w:p>
      <w:pPr>
        <w:spacing w:after="100"/>
      </w:pPr>
      <w:r>
        <w:rPr>
          <w:sz w:val="22"/>
          <w:szCs w:val="22"/>
        </w:rPr>
        <w:t xml:space="preserve">Atoms sind die kleinsten, nicht weiter zerlegbaren UI-Elemente. Sie bilden die Basis für alle komplexeren Komponenten.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Button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Primary, Secondary, Ghost, Danger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Hauptaktions-Element mit allen States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Text, Number, Date, Search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Formular-Eingabefelder mit Validation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Dropdown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Single, Multi, Searchable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Auswahl-Komponente für Listen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Checkbox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Default, Indeterminate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Mehrfachauswahl-Element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Radio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Default, Card Style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Einzelauswahl-Element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Toggle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Default, Labeled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On/Off Switch für Settings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Badge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Risk-Level (G/Y/R), Status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Kleine Kennzeichnungs-Elemente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Icon Set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24px, 20px, 16px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SVG Icons für alle UI-Elemente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Avatar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S, M, L, XL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Benutzer/Company Profilbilder</w:t>
            </w:r>
          </w:p>
        </w:tc>
      </w:tr>
    </w:tbl>
    <w:p>
      <w:pPr>
        <w:pStyle w:val="Heading2"/>
        <w:spacing w:after="150" w:before="300"/>
      </w:pPr>
      <w:bookmarkStart w:id="100017" w:name="_Toc100017"/>
      <w:r>
        <w:t xml:space="preserve">3.2 Molecules</w:t>
      </w:r>
      <w:bookmarkEnd w:id="100017"/>
    </w:p>
    <w:p>
      <w:pPr>
        <w:spacing w:after="100"/>
      </w:pPr>
      <w:r>
        <w:rPr>
          <w:sz w:val="22"/>
          <w:szCs w:val="22"/>
        </w:rPr>
        <w:t xml:space="preserve">Molecules sind Kombinationen aus mehreren Atoms, die als eine Einheit funktionieren.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Search Bar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Default, With Filters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Input + Icon + Filter-Trigger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Filter Panel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Expanded, Collapsed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Dropdowns + Checkboxes für Listen-Filter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Insurance Price Box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Default, Selected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Preis + Deckung + CTA für Versicherung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 Indicator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Green, Yellow, Red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Badge + Score + Details Tooltip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Banner Ad Slot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970x250, 728x90, 300x250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Platzhalter für Advertisement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Table Row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Default, Hover, Selected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Datenzeile mit Aktionen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Card (Auftrag)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Compact, Expanded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Auftrags-Vorschau mit Risk-Level</w:t>
            </w:r>
          </w:p>
        </w:tc>
      </w:tr>
    </w:tbl>
    <w:p>
      <w:pPr>
        <w:pStyle w:val="Heading2"/>
        <w:spacing w:after="150" w:before="300"/>
      </w:pPr>
      <w:bookmarkStart w:id="100018" w:name="_Toc100018"/>
      <w:r>
        <w:t xml:space="preserve">3.3 Organisms</w:t>
      </w:r>
      <w:bookmarkEnd w:id="100018"/>
    </w:p>
    <w:p>
      <w:pPr>
        <w:spacing w:after="100"/>
      </w:pPr>
      <w:r>
        <w:rPr>
          <w:sz w:val="22"/>
          <w:szCs w:val="22"/>
        </w:rPr>
        <w:t xml:space="preserve">Organisms sind komplexe UI-Bereiche, die aus Molecules und Atoms bestehen.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Navigation Bar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Default, Authenticated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Logo + Links + User Menu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Sidebar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Expanded, Collapsed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Navigation für Dashboard-Bereiche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Marketplace List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Grid, List View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Filter + Sortierung + Auftrags-Cards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Auftrag Detail Panel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Default, Edit Mode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Komplette Auftragsansicht mit Actions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Insurance Stepper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 Steps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Multi-Step Form für Versicherungsabschluss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Dashboard KPI Cards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 Metrics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KPI-Übersicht mit Charts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Ads Carousel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Auto, Manual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Rotierende Banner-Ads</w:t>
            </w:r>
          </w:p>
        </w:tc>
      </w:tr>
    </w:tbl>
    <w:p>
      <w:pPr>
        <w:pStyle w:val="Heading2"/>
        <w:spacing w:after="150" w:before="300"/>
      </w:pPr>
      <w:bookmarkStart w:id="100019" w:name="_Toc100019"/>
      <w:r>
        <w:t xml:space="preserve">3.4 Component Variants</w:t>
      </w:r>
      <w:bookmarkEnd w:id="100019"/>
    </w:p>
    <w:p>
      <w:pPr>
        <w:spacing w:after="100"/>
      </w:pPr>
      <w:r>
        <w:rPr>
          <w:sz w:val="22"/>
          <w:szCs w:val="22"/>
        </w:rPr>
        <w:t xml:space="preserve">Alle Komponenten erhalten konsistente Variants für einheitliche Handhabung:</w:t>
      </w:r>
    </w:p>
    <w:tbl>
      <w:tblPr>
        <w:tblW w:type="pct" w:w="100%"/>
        <w:tblBorders>
          <w:top w:val="single" w:color="37DCF2" w:sz="4"/>
          <w:left w:val="none"/>
          <w:bottom w:val="single" w:color="37DCF2" w:sz="4"/>
          <w:right w:val="none"/>
          <w:insideH w:val="single" w:color="D0D0D0" w:sz="1"/>
          <w:insideV w:val="none"/>
        </w:tblBorders>
      </w:tblPr>
      <w:tblGrid>
        <w:gridCol w:w="100"/>
        <w:gridCol w:w="100"/>
      </w:tblGrid>
      <w:tr>
        <w:tc>
          <w:tcPr>
            <w:tcW w:type="pct" w:w="25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Variant-Typ</w:t>
            </w:r>
          </w:p>
        </w:tc>
        <w:tc>
          <w:tcPr>
            <w:tcW w:type="pct" w:w="75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Werte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pct" w:w="7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 (Small), M (Medium), L (Large)</w:t>
            </w:r>
          </w:p>
        </w:tc>
      </w:tr>
      <w:tr>
        <w:tc>
          <w:tcPr>
            <w:tcW w:type="pct" w:w="2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pct" w:w="7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Default, Hover, Active, Focus, Disabled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Theme</w:t>
            </w:r>
          </w:p>
        </w:tc>
        <w:tc>
          <w:tcPr>
            <w:tcW w:type="pct" w:w="7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Light, Dark (für zukünftige Dark Mode Unterstützung)</w:t>
            </w:r>
          </w:p>
        </w:tc>
      </w:tr>
      <w:tr>
        <w:tc>
          <w:tcPr>
            <w:tcW w:type="pct" w:w="2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pct" w:w="7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Green, Yellow, Red (für Risk-Level Anzeige)</w:t>
            </w:r>
          </w:p>
        </w:tc>
      </w:tr>
    </w:tbl>
    <w:p>
      <w:pPr>
        <w:pStyle w:val="Heading1"/>
        <w:spacing w:after="200" w:before="400"/>
      </w:pPr>
      <w:bookmarkStart w:id="100020" w:name="_Toc100020"/>
      <w:r>
        <w:t xml:space="preserve">4. Patterns (Reusable UX-Blöcke)</w:t>
      </w:r>
      <w:bookmarkEnd w:id="100020"/>
    </w:p>
    <w:p>
      <w:pPr>
        <w:spacing w:after="200"/>
      </w:pPr>
      <w:r>
        <w:rPr>
          <w:sz w:val="22"/>
          <w:szCs w:val="22"/>
        </w:rPr>
        <w:t xml:space="preserve">Patterns sind komplexe UI-Bausteine, die mehrfach in der Anwendung vorkommen und aus mehreren Komponenten bestehen. Sie repräsentieren wiederkehrende User-Interaktionsmuster.</w:t>
      </w:r>
    </w:p>
    <w:p>
      <w:pPr>
        <w:pStyle w:val="Heading2"/>
        <w:spacing w:after="150" w:before="300"/>
      </w:pPr>
      <w:bookmarkStart w:id="100021" w:name="_Toc100021"/>
      <w:r>
        <w:t xml:space="preserve">4.1 Form Patterns</w:t>
      </w:r>
      <w:bookmarkEnd w:id="10002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Multi-Step Form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 Steps (Insurance)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Progressive Formulare mit Validierung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Login Form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Email, SSO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Authentifizierung mit 2FA-Option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Registration Form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Shipper, Carrier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Rollenbasierte Registrierung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Offer Submission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Default, Premium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Angebotsabgabe für Aufträge</w:t>
            </w:r>
          </w:p>
        </w:tc>
      </w:tr>
    </w:tbl>
    <w:p>
      <w:pPr>
        <w:pStyle w:val="Heading2"/>
        <w:spacing w:after="150" w:before="300"/>
      </w:pPr>
      <w:bookmarkStart w:id="100022" w:name="_Toc100022"/>
      <w:r>
        <w:t xml:space="preserve">4.2 List Patterns</w:t>
      </w:r>
      <w:bookmarkEnd w:id="100022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Marketplace List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Grid, List, Map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Auftragsliste mit Filter &amp; Sortierung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Insurance Policies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Active, Expired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Versicherungs-Policen Übersicht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Ads Performance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Summary, Detailed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Werbung-Performance Metriken</w:t>
            </w:r>
          </w:p>
        </w:tc>
      </w:tr>
    </w:tbl>
    <w:p>
      <w:pPr>
        <w:pStyle w:val="Heading2"/>
        <w:spacing w:after="150" w:before="300"/>
      </w:pPr>
      <w:bookmarkStart w:id="100023" w:name="_Toc100023"/>
      <w:r>
        <w:t xml:space="preserve">4.3 Banner Ad Patterns</w:t>
      </w:r>
      <w:bookmarkEnd w:id="100023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970x250 Billboard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Static, Animated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Großer Hero-Banner für Home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728x90 Leaderboard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Static, Animated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Inline-Banner für Detail-Seiten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300x250 Medium Rect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Static, Animated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Sidebar-Banner für Dashboard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Sponsored Listing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Card, Row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Hervorgehobene Marketplace-Einträge</w:t>
            </w:r>
          </w:p>
        </w:tc>
      </w:tr>
    </w:tbl>
    <w:p>
      <w:pPr>
        <w:pStyle w:val="Heading2"/>
        <w:spacing w:after="150" w:before="300"/>
      </w:pPr>
      <w:bookmarkStart w:id="100024" w:name="_Toc100024"/>
      <w:r>
        <w:t xml:space="preserve">4.4 Risk Patterns</w:t>
      </w:r>
      <w:bookmarkEnd w:id="100024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 Summary Box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Compact, Expanded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Risk-Level + Score + Key Metrics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 Breakdown Table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Default, Sortable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Detaillierte Risk-Faktoren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 Badge Variants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Green, Yellow, Red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Kompakte Risk-Anzeige</w:t>
            </w:r>
          </w:p>
        </w:tc>
      </w:tr>
    </w:tbl>
    <w:p>
      <w:pPr>
        <w:pStyle w:val="Heading1"/>
        <w:spacing w:after="200" w:before="400"/>
      </w:pPr>
      <w:bookmarkStart w:id="100025" w:name="_Toc100025"/>
      <w:r>
        <w:t xml:space="preserve">5. Screens (Web App)</w:t>
      </w:r>
      <w:bookmarkEnd w:id="100025"/>
    </w:p>
    <w:p>
      <w:pPr>
        <w:spacing w:after="200"/>
      </w:pPr>
      <w:r>
        <w:rPr>
          <w:sz w:val="22"/>
          <w:szCs w:val="22"/>
        </w:rPr>
        <w:t xml:space="preserve">Jede Seite bekommt einen Frame pro Breakpoint: Desktop (1440px), Tablet (768px), Mobile (375px). Die Desktop-Variante ist die primäre Design-Referenz, Tablet und Mobile sind abgeleitete responsive Varianten.</w:t>
      </w:r>
    </w:p>
    <w:p>
      <w:pPr>
        <w:pStyle w:val="Heading2"/>
        <w:spacing w:after="150" w:before="300"/>
      </w:pPr>
      <w:bookmarkStart w:id="100026" w:name="_Toc100026"/>
      <w:r>
        <w:t xml:space="preserve">5.1 Home</w:t>
      </w:r>
      <w:bookmarkEnd w:id="100026"/>
    </w:p>
    <w:p>
      <w:pPr>
        <w:spacing w:after="100"/>
      </w:pPr>
      <w:r>
        <w:rPr>
          <w:sz w:val="22"/>
          <w:szCs w:val="22"/>
        </w:rPr>
        <w:t xml:space="preserve">Die Landing Page ist der erste Berührungspunkt für neue Nutzer und kommuniziert die Kernwerte der Plattform.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Hero Section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Default, Animated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Headline + Subline + CTAs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Trust Section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 Icons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Risk-Engine + Audit-Trail + Versicherung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It Works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 Steps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Prozess-Erklärung mit Icons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Banner Ad Slot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970x250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Primärer Ad-Platzhalter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Footer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Links + Kontakt + Legal</w:t>
            </w:r>
          </w:p>
        </w:tc>
      </w:tr>
    </w:tbl>
    <w:p>
      <w:pPr>
        <w:pStyle w:val="Heading2"/>
        <w:spacing w:after="150" w:before="300"/>
      </w:pPr>
      <w:bookmarkStart w:id="100027" w:name="_Toc100027"/>
      <w:r>
        <w:t xml:space="preserve">5.2 Marketplace</w:t>
      </w:r>
      <w:bookmarkEnd w:id="100027"/>
    </w:p>
    <w:p>
      <w:pPr>
        <w:spacing w:after="100"/>
      </w:pPr>
      <w:r>
        <w:rPr>
          <w:sz w:val="22"/>
          <w:szCs w:val="22"/>
        </w:rPr>
        <w:t xml:space="preserve">Das Herzstück der Plattform - hier finden Carrier Aufträge und Shipper zuverlässige Transportdienstleister.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Filters Sidebar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Expanded, Collapsed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Region, Preis, Datum, Risk-Level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Auftrags List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Grid, List View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Auftrags-Cards mit Risk-Indikator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Sponsored Listing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Top, Inline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Hervorgehobene Premium-Einträge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Pagination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Default, Infinite Scroll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Seiten-Navigation</w:t>
            </w:r>
          </w:p>
        </w:tc>
      </w:tr>
    </w:tbl>
    <w:p>
      <w:pPr>
        <w:pStyle w:val="Heading2"/>
        <w:spacing w:after="150" w:before="300"/>
      </w:pPr>
      <w:bookmarkStart w:id="100028" w:name="_Toc100028"/>
      <w:r>
        <w:t xml:space="preserve">5.3 Auftrag Details</w:t>
      </w:r>
      <w:bookmarkEnd w:id="100028"/>
    </w:p>
    <w:p>
      <w:pPr>
        <w:spacing w:after="100"/>
      </w:pPr>
      <w:r>
        <w:rPr>
          <w:sz w:val="22"/>
          <w:szCs w:val="22"/>
        </w:rPr>
        <w:t xml:space="preserve">Detailansicht eines Auftrags mit allen relevanten Informationen und Handlungsoptionen.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Auftrag Info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Default, Edit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Route, Datum, Gewicht, Preis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 Section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Compact, Expanded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Risk-Level + Score + Details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Insurance Box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Available, Not Available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Versicherungsoption + CTA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Banner Ad Slot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728x90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Sekundärer Ad-Platzhalter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CTA Footer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Sticky, Inline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Angebot abgeben + Nachricht</w:t>
            </w:r>
          </w:p>
        </w:tc>
      </w:tr>
    </w:tbl>
    <w:p>
      <w:pPr>
        <w:pStyle w:val="Heading2"/>
        <w:spacing w:after="150" w:before="300"/>
      </w:pPr>
      <w:bookmarkStart w:id="100029" w:name="_Toc100029"/>
      <w:r>
        <w:t xml:space="preserve">5.4 Versicherungs-Flow</w:t>
      </w:r>
      <w:bookmarkEnd w:id="100029"/>
    </w:p>
    <w:p>
      <w:pPr>
        <w:spacing w:after="100"/>
      </w:pPr>
      <w:r>
        <w:rPr>
          <w:sz w:val="22"/>
          <w:szCs w:val="22"/>
        </w:rPr>
        <w:t xml:space="preserve">4-Schritt Prozess für den Abschluss einer Frachtversicherung mit progressiver Enthüllung.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Step 1: Auswahl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Deckungssumme + Zusatzoptionen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Step 2: Preis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Prämie + Versicherer + Provision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Step 3: Abschluss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Default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Kundendaten + AGB + CTA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Step 4: Bestätigung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Success, Error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Policy-ID + PDF Download</w:t>
            </w:r>
          </w:p>
        </w:tc>
      </w:tr>
    </w:tbl>
    <w:p>
      <w:pPr>
        <w:pStyle w:val="Heading2"/>
        <w:spacing w:after="150" w:before="300"/>
      </w:pPr>
      <w:bookmarkStart w:id="100030" w:name="_Toc100030"/>
      <w:r>
        <w:t xml:space="preserve">5.5 Dashboard</w:t>
      </w:r>
      <w:bookmarkEnd w:id="100030"/>
    </w:p>
    <w:p>
      <w:pPr>
        <w:spacing w:after="100"/>
      </w:pPr>
      <w:r>
        <w:rPr>
          <w:sz w:val="22"/>
          <w:szCs w:val="22"/>
        </w:rPr>
        <w:t xml:space="preserve">Zentrale Übersicht für authentifizierte Nutzer mit allen relevanten Kennzahlen.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KPI Cards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 Metrics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Aufträge, Versicherungen, Einnahmen, Risk-Score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Aufträge List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Active, All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Aktive Aufträge mit Status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Versicherungen List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Active, Expired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Policen mit Provision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Ads Performance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Summary, Detailed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Impressions, Klicks, CTR, Kosten</w:t>
            </w:r>
          </w:p>
        </w:tc>
      </w:tr>
    </w:tbl>
    <w:p>
      <w:pPr>
        <w:pStyle w:val="Heading2"/>
        <w:spacing w:after="150" w:before="300"/>
      </w:pPr>
      <w:bookmarkStart w:id="100031" w:name="_Toc100031"/>
      <w:r>
        <w:t xml:space="preserve">5.6 Login / Registrierung</w:t>
      </w:r>
      <w:bookmarkEnd w:id="100031"/>
    </w:p>
    <w:p>
      <w:pPr>
        <w:spacing w:after="100"/>
      </w:pPr>
      <w:r>
        <w:rPr>
          <w:sz w:val="22"/>
          <w:szCs w:val="22"/>
        </w:rPr>
        <w:t xml:space="preserve">Authentifizierungsseiten mit Rollenwahl und 2FA-Option.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Login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Email, SSO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Email + Passwort + 2FA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Registration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Shipper, Carrier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Rollenbasierte Registrierung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Password Reset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Email, SMS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Passwort-Wiederherstellung</w:t>
            </w:r>
          </w:p>
        </w:tc>
      </w:tr>
    </w:tbl>
    <w:p>
      <w:pPr>
        <w:pStyle w:val="Heading1"/>
        <w:spacing w:after="200" w:before="400"/>
      </w:pPr>
      <w:bookmarkStart w:id="100032" w:name="_Toc100032"/>
      <w:r>
        <w:t xml:space="preserve">6. Screens (Mobile)</w:t>
      </w:r>
      <w:bookmarkEnd w:id="100032"/>
    </w:p>
    <w:p>
      <w:pPr>
        <w:spacing w:after="200"/>
      </w:pPr>
      <w:r>
        <w:rPr>
          <w:sz w:val="22"/>
          <w:szCs w:val="22"/>
        </w:rPr>
        <w:t xml:space="preserve">Mobile-Screens erhalten eigene Frames mit angepassten UI-Patterns für Touch-Interaktion und kleinere Bildschirme. Die Design-Entscheidungen priorisieren Daumen-Reichweite und one-handed usage.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Bottom Navigation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 Items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Home, Marketplace, Dashboard, Ads, Profile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Collapsed Filters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Accordion, Drawer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Platzsparende Filter-Darstellung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Swipeable Lists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Left, Right Actions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Swipe-to-Action für schnelle Interaktion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Sticky CTA Buttons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Bottom Fixed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Immer sichtbare Hauptaktionen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Mobile Cards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Full Width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Optimierte Card-Größen für Mobile</w:t>
            </w:r>
          </w:p>
        </w:tc>
      </w:tr>
    </w:tbl>
    <w:p>
      <w:pPr>
        <w:pStyle w:val="Heading1"/>
        <w:spacing w:after="200" w:before="400"/>
      </w:pPr>
      <w:bookmarkStart w:id="100033" w:name="_Toc100033"/>
      <w:r>
        <w:t xml:space="preserve">7. Prototypes</w:t>
      </w:r>
      <w:bookmarkEnd w:id="100033"/>
    </w:p>
    <w:p>
      <w:pPr>
        <w:spacing w:after="200"/>
      </w:pPr>
      <w:r>
        <w:rPr>
          <w:sz w:val="22"/>
          <w:szCs w:val="22"/>
        </w:rPr>
        <w:t xml:space="preserve">Die Prototypes-Page enthält interaktive Click-Flows für User-Testing und Stakeholder-Präsentationen. Diese Flows demonstrieren die wichtigsten User-Journeys und ermöglichen Feedback vor der Entwicklung.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Auftrag Flow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Einstellen → Versicherung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Shipper erstellt Auftrag + schließt Versicherung ab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Marketplace Flow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Suchen → Details → Angebot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Carrier findet Auftrag und gibt Angebot ab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Dashboard Flow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Übersicht → Details → Aktion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Nutzer prüft KPIs und führt Aktionen aus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Ads Booking Flow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Select → Pay → Confirm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Werbetreibender bucht Banner-Ad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Insurance Flow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 Steps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Vollständiger Versicherungsabschluss</w:t>
            </w:r>
          </w:p>
        </w:tc>
      </w:tr>
    </w:tbl>
    <w:p>
      <w:pPr>
        <w:pStyle w:val="Heading1"/>
        <w:spacing w:after="200" w:before="400"/>
      </w:pPr>
      <w:bookmarkStart w:id="100034" w:name="_Toc100034"/>
      <w:r>
        <w:t xml:space="preserve">8. Documentation</w:t>
      </w:r>
      <w:bookmarkEnd w:id="100034"/>
    </w:p>
    <w:p>
      <w:pPr>
        <w:spacing w:after="200"/>
      </w:pPr>
      <w:r>
        <w:rPr>
          <w:sz w:val="22"/>
          <w:szCs w:val="22"/>
        </w:rPr>
        <w:t xml:space="preserve">Die Documentation-Page enthält alle Guidelines und Konventionen für das Design-Team. Sie dient als Referenz für Onboarding neuer Team-Mitglieder und stellt Konsistenz sicher.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Komponente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Varianten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 Usage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All Components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Wann und wie jede Komponente verwendet wird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Naming Conventions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BEM, Tokens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Konsistente Namensgebung für Layer und Variablen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Accessibility Guidelines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WCAG 2.1 AA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Barrierefreiheit-Standards und Tests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Responsive Rules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Breakpoints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Verhalten bei verschiedenen Bildschirmgrößen</w:t>
            </w:r>
          </w:p>
        </w:tc>
      </w:tr>
      <w:tr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Token Definitions</w:t>
            </w:r>
          </w:p>
        </w:tc>
        <w:tc>
          <w:tcPr>
            <w:tcW w:type="pct" w:w="3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All Tokens</w:t>
            </w:r>
          </w:p>
        </w:tc>
        <w:tc>
          <w:tcPr>
            <w:tcW w:type="pct" w:w="40%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Exportierbare Design-Token Spezifikation</w:t>
            </w:r>
          </w:p>
        </w:tc>
      </w:tr>
    </w:tbl>
    <w:p>
      <w:pPr>
        <w:pStyle w:val="Heading1"/>
        <w:spacing w:after="200" w:before="400"/>
      </w:pPr>
      <w:bookmarkStart w:id="100035" w:name="_Toc100035"/>
      <w:r>
        <w:t xml:space="preserve">9. Naming Conventions</w:t>
      </w:r>
      <w:bookmarkEnd w:id="100035"/>
    </w:p>
    <w:p>
      <w:pPr>
        <w:spacing w:after="200"/>
      </w:pPr>
      <w:r>
        <w:rPr>
          <w:sz w:val="22"/>
          <w:szCs w:val="22"/>
        </w:rPr>
        <w:t xml:space="preserve">Konsistente Namensgebung ist entscheidend für Team-Effizienz und Wartbarkeit. Die folgenden Konventionen gelten für alle Figma-Layer, Komponenten und Variablen.</w:t>
      </w:r>
    </w:p>
    <w:tbl>
      <w:tblPr>
        <w:tblW w:type="pct" w:w="100%"/>
        <w:tblBorders>
          <w:top w:val="single" w:color="37DCF2" w:sz="4"/>
          <w:left w:val="none"/>
          <w:bottom w:val="single" w:color="37DCF2" w:sz="4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Element</w:t>
            </w:r>
          </w:p>
        </w:tc>
        <w:tc>
          <w:tcPr>
            <w:tcW w:type="pct" w:w="35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Pattern</w:t>
            </w:r>
          </w:p>
        </w:tc>
        <w:tc>
          <w:tcPr>
            <w:tcW w:type="pct" w:w="4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Components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Category/Name/Variant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Buttons/Primary/Large</w:t>
            </w:r>
          </w:p>
        </w:tc>
      </w:tr>
      <w:tr>
        <w:tc>
          <w:tcPr>
            <w:tcW w:type="pct" w:w="2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Tokens</w:t>
            </w:r>
          </w:p>
        </w:tc>
        <w:tc>
          <w:tcPr>
            <w:tcW w:type="pct" w:w="3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category.subcategory.value</w:t>
            </w:r>
          </w:p>
        </w:tc>
        <w:tc>
          <w:tcPr>
            <w:tcW w:type="pct" w:w="4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brand.primary, spacing.16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Frames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Page/Section/Element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Home/Hero/CTA-Button</w:t>
            </w:r>
          </w:p>
        </w:tc>
      </w:tr>
      <w:tr>
        <w:tc>
          <w:tcPr>
            <w:tcW w:type="pct" w:w="2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Layers</w:t>
            </w:r>
          </w:p>
        </w:tc>
        <w:tc>
          <w:tcPr>
            <w:tcW w:type="pct" w:w="35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BEM: block__element--modifier</w:t>
            </w:r>
          </w:p>
        </w:tc>
        <w:tc>
          <w:tcPr>
            <w:tcW w:type="pct" w:w="4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card__title--large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Variants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Property=Value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/>
                <w:sz w:val="20"/>
                <w:szCs w:val="20"/>
              </w:rPr>
              <w:t xml:space="preserve">State=Hover, Size=Large</w:t>
            </w:r>
          </w:p>
        </w:tc>
      </w:tr>
    </w:tbl>
    <w:p>
      <w:pPr>
        <w:pStyle w:val="Heading1"/>
        <w:spacing w:after="200" w:before="400"/>
      </w:pPr>
      <w:bookmarkStart w:id="100036" w:name="_Toc100036"/>
      <w:r>
        <w:t xml:space="preserve">10. Implementation Checklist</w:t>
      </w:r>
      <w:bookmarkEnd w:id="100036"/>
    </w:p>
    <w:p>
      <w:pPr>
        <w:spacing w:after="200"/>
      </w:pPr>
      <w:r>
        <w:rPr>
          <w:sz w:val="22"/>
          <w:szCs w:val="22"/>
        </w:rPr>
        <w:t xml:space="preserve">Diese Checkliste hilft dem UI-Team, das Figma-Projekt strukturiert aufzubauen und sicherzustellen, dass alle notwendigen Elemente vorhanden sind.</w:t>
      </w:r>
    </w:p>
    <w:tbl>
      <w:tblPr>
        <w:tblW w:type="pct" w:w="100%"/>
        <w:tblBorders>
          <w:top w:val="single" w:color="37DCF2" w:sz="4"/>
          <w:left w:val="none"/>
          <w:bottom w:val="single" w:color="37DCF2" w:sz="4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2235"/>
                <w:sz w:val="20"/>
                <w:szCs w:val="20"/>
              </w:rPr>
              <w:t xml:space="preserve">✓</w:t>
            </w:r>
          </w:p>
        </w:tc>
        <w:tc>
          <w:tcPr>
            <w:tcW w:type="pct" w:w="3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Phase</w:t>
            </w:r>
          </w:p>
        </w:tc>
        <w:tc>
          <w:tcPr>
            <w:tcW w:type="pct" w:w="60%"/>
            <w:shd w:fill="37DC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62235"/>
                <w:sz w:val="20"/>
                <w:szCs w:val="20"/>
              </w:rPr>
              <w:t xml:space="preserve">Aufgaben</w:t>
            </w:r>
          </w:p>
        </w:tc>
      </w:tr>
      <w:tr>
        <w:tc>
          <w:tcPr>
            <w:tcW w:type="pct" w:w="1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/>
                <w:sz w:val="20"/>
                <w:szCs w:val="20"/>
              </w:rPr>
              <w:t xml:space="preserve">[ ]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1: Setup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Pages erstellen, Local Variables definieren, Grid Setup</w:t>
            </w:r>
          </w:p>
        </w:tc>
      </w:tr>
      <w:tr>
        <w:tc>
          <w:tcPr>
            <w:tcW w:type="pct" w:w="1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/>
                <w:sz w:val="20"/>
                <w:szCs w:val="20"/>
              </w:rPr>
              <w:t xml:space="preserve">[ ]</w:t>
            </w:r>
          </w:p>
        </w:tc>
        <w:tc>
          <w:tcPr>
            <w:tcW w:type="pct" w:w="3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2: Foundations</w:t>
            </w:r>
          </w:p>
        </w:tc>
        <w:tc>
          <w:tcPr>
            <w:tcW w:type="pct" w:w="6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Color Tokens, Typography Styles, Spacing Scale, Shadows</w:t>
            </w:r>
          </w:p>
        </w:tc>
      </w:tr>
      <w:tr>
        <w:tc>
          <w:tcPr>
            <w:tcW w:type="pct" w:w="1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/>
                <w:sz w:val="20"/>
                <w:szCs w:val="20"/>
              </w:rPr>
              <w:t xml:space="preserve">[ ]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3: Atoms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Buttons, Inputs, Badges, Icons, Avatars</w:t>
            </w:r>
          </w:p>
        </w:tc>
      </w:tr>
      <w:tr>
        <w:tc>
          <w:tcPr>
            <w:tcW w:type="pct" w:w="1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/>
                <w:sz w:val="20"/>
                <w:szCs w:val="20"/>
              </w:rPr>
              <w:t xml:space="preserve">[ ]</w:t>
            </w:r>
          </w:p>
        </w:tc>
        <w:tc>
          <w:tcPr>
            <w:tcW w:type="pct" w:w="3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4: Molecules</w:t>
            </w:r>
          </w:p>
        </w:tc>
        <w:tc>
          <w:tcPr>
            <w:tcW w:type="pct" w:w="6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Search Bar, Filter Panel, Cards, Risk Indicator</w:t>
            </w:r>
          </w:p>
        </w:tc>
      </w:tr>
      <w:tr>
        <w:tc>
          <w:tcPr>
            <w:tcW w:type="pct" w:w="1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/>
                <w:sz w:val="20"/>
                <w:szCs w:val="20"/>
              </w:rPr>
              <w:t xml:space="preserve">[ ]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5: Organisms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Navigation, Sidebar, Lists, Stepper</w:t>
            </w:r>
          </w:p>
        </w:tc>
      </w:tr>
      <w:tr>
        <w:tc>
          <w:tcPr>
            <w:tcW w:type="pct" w:w="1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/>
                <w:sz w:val="20"/>
                <w:szCs w:val="20"/>
              </w:rPr>
              <w:t xml:space="preserve">[ ]</w:t>
            </w:r>
          </w:p>
        </w:tc>
        <w:tc>
          <w:tcPr>
            <w:tcW w:type="pct" w:w="3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6: Screens Web</w:t>
            </w:r>
          </w:p>
        </w:tc>
        <w:tc>
          <w:tcPr>
            <w:tcW w:type="pct" w:w="6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Home, Marketplace, Details, Dashboard, Auth</w:t>
            </w:r>
          </w:p>
        </w:tc>
      </w:tr>
      <w:tr>
        <w:tc>
          <w:tcPr>
            <w:tcW w:type="pct" w:w="1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/>
                <w:sz w:val="20"/>
                <w:szCs w:val="20"/>
              </w:rPr>
              <w:t xml:space="preserve">[ ]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7: Screens Mobile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Responsive Varianten aller Screens</w:t>
            </w:r>
          </w:p>
        </w:tc>
      </w:tr>
      <w:tr>
        <w:tc>
          <w:tcPr>
            <w:tcW w:type="pct" w:w="1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/>
                <w:sz w:val="20"/>
                <w:szCs w:val="20"/>
              </w:rPr>
              <w:t xml:space="preserve">[ ]</w:t>
            </w:r>
          </w:p>
        </w:tc>
        <w:tc>
          <w:tcPr>
            <w:tcW w:type="pct" w:w="3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8: Prototypes</w:t>
            </w:r>
          </w:p>
        </w:tc>
        <w:tc>
          <w:tcPr>
            <w:tcW w:type="pct" w:w="60%"/>
            <w:shd w:fill="F4F8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Click-Flows für alle Haupt-Journeys</w:t>
            </w:r>
          </w:p>
        </w:tc>
      </w:tr>
      <w:tr>
        <w:tc>
          <w:tcPr>
            <w:tcW w:type="pct" w:w="1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nsolas"/>
                <w:sz w:val="20"/>
                <w:szCs w:val="20"/>
              </w:rPr>
              <w:t xml:space="preserve">[ ]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9: Documentation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Guidelines, Usage Docs, Handoff-Prep</w:t>
            </w:r>
          </w:p>
        </w:tc>
      </w:tr>
    </w:tbl>
    <w:p>
      <w:pPr>
        <w:spacing w:before="200"/>
      </w:pPr>
      <w:r>
        <w:rPr>
          <w:sz w:val="1"/>
          <w:szCs w:val="1"/>
        </w:rPr>
        <w:t xml:space="preserve"> </w:t>
      </w:r>
    </w:p>
    <w:sectPr>
      <w:headerReference w:type="default" r:id="rId9"/>
      <w:footerReference w:type="default" r:id="rId10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878A0"/>
        <w:sz w:val="18"/>
        <w:szCs w:val="18"/>
      </w:rPr>
      <w:t xml:space="preserve">CargoBit Figma Design System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878A0"/>
        <w:sz w:val="18"/>
        <w:szCs w:val="18"/>
      </w:rPr>
      <w:t xml:space="preserve">CargoBit Figma Design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2026-04-16T06:10:41.112Z</dcterms:created>
  <dcterms:modified xsi:type="dcterms:W3CDTF">2026-04-16T06:10:41.112Z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