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shd w:fill="162235" w:val="clear"/>
            <w:vAlign w:val="top"/>
          </w:tcPr>
          <w:p>
            <w:pPr>
              <w:spacing w:before="30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37DCF2"/>
                <w:sz w:val="72"/>
                <w:szCs w:val="72"/>
              </w:rPr>
              <w:t xml:space="preserve">CargoBit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UX-Wireframes</w:t>
            </w:r>
          </w:p>
          <w:p>
            <w:pPr>
              <w:spacing w:after="200"/>
              <w:jc w:val="center"/>
            </w:pPr>
            <w:r>
              <w:rPr>
                <w:color w:val="B0B8C0"/>
                <w:sz w:val="24"/>
                <w:szCs w:val="24"/>
              </w:rPr>
              <w:t xml:space="preserve">Sichere Transportplattform mit integriertem Risk-Scoring &amp; Versicherung</w:t>
            </w:r>
          </w:p>
          <w:p>
            <w:pPr>
              <w:spacing w:before="40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Version 1.0 | April 2026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Bereit für UI-Team, Figma &amp; Frontend-Entwicklung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t xml:space="preserve">1. Einführung</w:t>
      </w:r>
    </w:p>
    <w:p>
      <w:pPr>
        <w:spacing w:after="200"/>
      </w:pPr>
      <w:r>
        <w:rPr>
          <w:sz w:val="22"/>
          <w:szCs w:val="22"/>
        </w:rPr>
        <w:t xml:space="preserve">Dieses Dokument enthält textbasierte UX-Wireframes für die CargoBit-Plattform. Die Wireframes sind funktional, logisch und modular aufgebaut. Sie können 1:1 an UI-Teams, Figma-Designer oder Frontend-Entwickler weitergegeben werden. Alle Wireframes sind mobil- und desktop-ready und perfekt auf den Security-Layer der Plattform abgestimmt.</w:t>
      </w:r>
    </w:p>
    <w:p>
      <w:pPr>
        <w:pStyle w:val="Heading2"/>
        <w:spacing w:after="150" w:before="300"/>
      </w:pPr>
      <w:r>
        <w:t xml:space="preserve">1.1 Abgedeckte Bereiche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Nr.</w:t>
            </w:r>
          </w:p>
        </w:tc>
        <w:tc>
          <w:tcPr>
            <w:tcW w:type="pct" w:w="3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Bereich</w:t>
            </w:r>
          </w:p>
        </w:tc>
        <w:tc>
          <w:tcPr>
            <w:tcW w:type="pct" w:w="5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Landing Page mit Hero, Trust-Sektion, How-it-Works, Banner-Ad</w:t>
            </w:r>
          </w:p>
        </w:tc>
      </w:tr>
      <w:tr>
        <w:tc>
          <w:tcPr>
            <w:tcW w:type="pct" w:w="1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Marketplace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Auftragsliste mit Filtern, Risk-Level, Versicherung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Auftragsdetails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Detailansicht mit Risk-Section, Insurance-Box, CTAs</w:t>
            </w:r>
          </w:p>
        </w:tc>
      </w:tr>
      <w:tr>
        <w:tc>
          <w:tcPr>
            <w:tcW w:type="pct" w:w="1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Versicherungs-Flow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4-Schritt Versicherungsabschluss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Partner &amp; Add-Ons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Banner-Ads, Versicherungs-Partner, Premium Listings</w:t>
            </w:r>
          </w:p>
        </w:tc>
      </w:tr>
      <w:tr>
        <w:tc>
          <w:tcPr>
            <w:tcW w:type="pct" w:w="1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KPIs, Aufträge, Versicherungen, Ads Performance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Login/Registrierung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Authentifizierung mit Rollenwahl</w:t>
            </w:r>
          </w:p>
        </w:tc>
      </w:tr>
    </w:tbl>
    <w:p>
      <w:pPr>
        <w:spacing w:before="400"/>
      </w:pPr>
      <w:r>
        <w:rPr>
          <w:sz w:val="1"/>
          <w:szCs w:val="1"/>
        </w:rPr>
        <w:t xml:space="preserve"> </w:t>
      </w:r>
    </w:p>
    <w:p>
      <w:pPr>
        <w:pStyle w:val="Heading1"/>
        <w:spacing w:after="200" w:before="200"/>
      </w:pPr>
      <w:r>
        <w:t xml:space="preserve">2. UX-Wireframe: Home</w:t>
      </w:r>
    </w:p>
    <w:p>
      <w:pPr>
        <w:spacing w:after="200"/>
      </w:pPr>
      <w:r>
        <w:rPr>
          <w:sz w:val="22"/>
          <w:szCs w:val="22"/>
        </w:rPr>
        <w:t xml:space="preserve">Die Home-Seite ist der erste Berührungspunkt für Nutzer. Sie präsentiert die Kernwerte der Plattform (Sicherheit, Transparenz, Versicherungsschutz) und bietet klare Handlungsaufforderungen.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HEADER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Navigation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LOGO  |  Marketplace  |  Versicherungen  |  Login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HERO SECTION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Main Message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Headline: "Die sichere Transportplattform"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Subline: "Mit integriertem Risk-Scoring &amp; Versicherung"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 Buttons: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[Aufträge finden]    [Auftrag einstellen]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TRUST SECTION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Trust Icons (3-Spalten)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Icon 1: Risk-Engine (Green/Yellow/Red)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Icon 2: Audit-Trail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Icon 3: Versicherungsschutz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4-Step Process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Step 1: Auftrag einstellen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Step 2: Carrier finden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Step 3: Versicherung abschließen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Step 4: Sicher abwickeln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BANNER AD SLOT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Advertisement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[970x250 Banner - Ad-Service Integration]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FOOTER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Links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Kontakt  |  Partner  |  Datenschutz  |  AGB</w:t>
            </w:r>
          </w:p>
        </w:tc>
      </w:tr>
    </w:tbl>
    <w:p>
      <w:pPr>
        <w:pStyle w:val="Heading1"/>
        <w:spacing w:after="200" w:before="400"/>
      </w:pPr>
      <w:r>
        <w:t xml:space="preserve">3. UX-Wireframe: Marketplace / Auftragsliste</w:t>
      </w:r>
    </w:p>
    <w:p>
      <w:pPr>
        <w:spacing w:after="200"/>
      </w:pPr>
      <w:r>
        <w:rPr>
          <w:sz w:val="22"/>
          <w:szCs w:val="22"/>
        </w:rPr>
        <w:t xml:space="preserve">Der Marketplace ist das Herzstück der Plattform. Hier finden Carrier passende Aufträge und Shipper finden zuverlässige Transportdienstleister. Die Filter ermöglichen eine gezielte Suche nach Region, Preis, Risk-Level und Verfügbarkeit von Versicherungen.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FILTER SIDEBAR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Filter Options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Region: [Dropdown]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[Von - Bis]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Datum: [Date Picker]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Risk-Level: [Green] [Yellow] [Red]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Versicherung verfügbar: [Checkbox]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[Filter anwenden]  [Zurücksetzen]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LIST VIEW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8F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Auftrag #1234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Route: Berlin → Köln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450 €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Risk-Level: GREEN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Versicherung: ab 12 €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[Details ansehen]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Auftrag #1235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Route: Hamburg → München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780 €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Risk-Level: YELLOW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Versicherung: ab 18 €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[Details ansehen]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Auftrag #1236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Route: Frankfurt → Stuttgart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320 €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Risk-Level: RED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Versicherung: ab 25 €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[Details ansehen]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INLINE AD SLOT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Sponsored Listing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[Premium Carrier - Hervorgehobenes Angebot]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Sponsored</w:t>
            </w:r>
          </w:p>
        </w:tc>
      </w:tr>
    </w:tbl>
    <w:p>
      <w:pPr>
        <w:pStyle w:val="Heading1"/>
        <w:spacing w:after="200" w:before="400"/>
      </w:pPr>
      <w:r>
        <w:t xml:space="preserve">4. UX-Wireframe: Auftragsdetails</w:t>
      </w:r>
    </w:p>
    <w:p>
      <w:pPr>
        <w:spacing w:after="200"/>
      </w:pPr>
      <w:r>
        <w:rPr>
          <w:sz w:val="22"/>
          <w:szCs w:val="22"/>
        </w:rPr>
        <w:t xml:space="preserve">Die Auftragsdetailseite zeigt alle relevanten Informationen zu einem Transportauftrag. Das Risk-Level wird transparent dargestellt, und Nutzer können direkt eine Versicherung abschließen.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AUFTRAGSINFORMATIONEN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Auftrag #1234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Route: Berlin → Köln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Datum: 12.05.2026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Gewicht: 1.2 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450 €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RISK SECTION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8F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Risk-Level: GREEN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Details: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IBAN verified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Company verified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Geo match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Risk Score: 95/100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INSURANCE BOX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Frachtversicherung hinzufügen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Prämie: ab 12 €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Deckung: 50.000 €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[Versicherung abschließen]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BANNER AD SLOT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Advertisement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[728x90 Banner]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CTA FOOTER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Actions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[Angebot abgeben]    [Nachricht senden]</w:t>
            </w:r>
          </w:p>
        </w:tc>
      </w:tr>
    </w:tbl>
    <w:p>
      <w:pPr>
        <w:pStyle w:val="Heading1"/>
        <w:spacing w:after="200" w:before="400"/>
      </w:pPr>
      <w:r>
        <w:t xml:space="preserve">5. UX-Wireframe: Versicherungs-Flow</w:t>
      </w:r>
    </w:p>
    <w:p>
      <w:pPr>
        <w:spacing w:after="200"/>
      </w:pPr>
      <w:r>
        <w:rPr>
          <w:sz w:val="22"/>
          <w:szCs w:val="22"/>
        </w:rPr>
        <w:t xml:space="preserve">Der Versicherungs-Flow ist ein 4-Schritt-Prozess, der Nutzer intuitiv durch den Abschluss einer Frachtversicherung führt. Jeder Schritt ist klar strukturiert und zeigt den Fortschritt 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HEADER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Versicherung für Auftrag #1234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Progress: [1. Auswahl] → 2. Preis → 3. Abschluss → 4. Bestätigung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STEP 1: AUSWAHL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Versicherungsoptionen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Deckungssumme: [Dropdown: 25.000 € | 50.000 € | 100.000 €]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Zusatzoptionen: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Diebstahl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Beschädigung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Verzögerung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[Weiter →]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STEP 2: PREIS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Preisübersicht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Prämie: 12 €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Provision für Plattform: 2 €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Gesamt: 14 €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Versicherer: [Allianz | AXA | HDI]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[Weiter →]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STEP 3: ABSCHLUSS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Kundendaten (Auto-gefüllt)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Name: [Auto-filled]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Adresse: [Auto-filled]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IBAN: [Auto-filled]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AGB akzeptieren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Datenschutzbestimmungen gelesen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[Versicherung abschließen]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STEP 4: BESTÄTIGUNG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8F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Versicherung aktiv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Policy-ID: #INS-2026-001234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Versicherer: Allianz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Deckung: 50.000 €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Prämie: 12 € / Jahr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[Policy PDF Download]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Status: AKTIV</w:t>
            </w:r>
          </w:p>
        </w:tc>
      </w:tr>
    </w:tbl>
    <w:p>
      <w:pPr>
        <w:pStyle w:val="Heading1"/>
        <w:spacing w:after="200" w:before="400"/>
      </w:pPr>
      <w:r>
        <w:t xml:space="preserve">6. UX-Wireframe: Partner &amp; Add-Ons</w:t>
      </w:r>
    </w:p>
    <w:p>
      <w:pPr>
        <w:spacing w:after="200"/>
      </w:pPr>
      <w:r>
        <w:rPr>
          <w:sz w:val="22"/>
          <w:szCs w:val="22"/>
        </w:rPr>
        <w:t xml:space="preserve">Die Partner-Seite bietet verschiedene Monetarisierungsoptionen: Banner-Werbung, Versicherungs-Partnerschaften und Premium-Listings für Carrier.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SECTION: BANNER ADS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Werben auf CargoBit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"Werben Sie auf unserer Plattform"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Reach: 50.000+ aktive Nutzer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[Jetzt buchen]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SECTION: VERSICHERUNGS-PARTNER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Unsere Partner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[Allianz]  [AXA]  [HDI]  [Zurich]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Vorteile: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Exklusive Konditionen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Schnelle Abwicklung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- 24/7 Support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[Partner werden]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SECTION: PREMIUM LISTINGS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Premium Carrier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"Heben Sie Ihre Angebote hervor"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Features: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Top-Platzierung in Suchergebnissen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Verified Badge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- Prioritäts-Support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Preis: ab 49 € / Monat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[Upgrade]</w:t>
            </w:r>
          </w:p>
        </w:tc>
      </w:tr>
    </w:tbl>
    <w:p>
      <w:pPr>
        <w:pStyle w:val="Heading1"/>
        <w:spacing w:after="200" w:before="400"/>
      </w:pPr>
      <w:r>
        <w:t xml:space="preserve">7. UX-Wireframe: Dashboard</w:t>
      </w:r>
    </w:p>
    <w:p>
      <w:pPr>
        <w:spacing w:after="200"/>
      </w:pPr>
      <w:r>
        <w:rPr>
          <w:sz w:val="22"/>
          <w:szCs w:val="22"/>
        </w:rPr>
        <w:t xml:space="preserve">Das Dashboard gibt einen Überblick über alle relevanten Kennzahlen: aktive Aufträge, Versicherungen, Einnahmen und Risk-Level-Verteilung.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KPI CARDS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Key Metrics (4-Spalten)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Aufträge aktiv: 12    |    Versicherungen: 4    |    Einnahmen: 128 €    |    Ø Risk-Score: 87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RISK-LEVEL OVERVIEW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Pie Chart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[PIE CHART]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GREEN: 45% | YELLOW: 35% | RED: 20%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LIST: AUFTRÄGE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Aktive Aufträge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Auftrag #1234 | Status: Aktiv | Risk: GREEN | Versicherung: Ja | [Details]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Auftrag #1235 | Status: Pending | Risk: YELLOW | Versicherung: Nein | [Details]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Auftrag #1236 | Status: Abgeschlossen | Risk: GREEN | Versicherung: Ja | [Details]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LIST: VERSICHERUNGEN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Aktive Policen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Policy #A123 | Auftrag #1234 | Prämie: 12 € | Provision: 2 €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Policy #A124 | Auftrag #1236 | Prämie: 18 € | Provision: 3 €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LIST: ADS PERFORMANCE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Werbung-Performance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Banner #1 | Impressions: 15.234 | Klicks: 342 | CTR: 2.2% | Kosten: 45 €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Banner #2 | Impressions: 8.567 | Klicks: 156 | CTR: 1.8% | Kosten: 28 €</w:t>
            </w:r>
          </w:p>
        </w:tc>
      </w:tr>
    </w:tbl>
    <w:p>
      <w:pPr>
        <w:pStyle w:val="Heading1"/>
        <w:spacing w:after="200" w:before="400"/>
      </w:pPr>
      <w:r>
        <w:t xml:space="preserve">8. UX-Wireframe: Login / Registrierung</w:t>
      </w:r>
    </w:p>
    <w:p>
      <w:pPr>
        <w:spacing w:after="200"/>
      </w:pPr>
      <w:r>
        <w:rPr>
          <w:sz w:val="22"/>
          <w:szCs w:val="22"/>
        </w:rPr>
        <w:t xml:space="preserve">Die Authentifizierungsseiten ermöglichen Login und Registrierung mit Rollenwahl (Shipper oder Carrier).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LOGIN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Anmelden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Email: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Passwort: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Angemeldet bleiben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[Login]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Link: Noch kein Konto? [Registrieren]</w:t>
            </w:r>
          </w:p>
        </w:tc>
      </w:tr>
    </w:tbl>
    <w:p>
      <w:pPr>
        <w:spacing w:before="150"/>
      </w:pPr>
      <w:r>
        <w:rPr>
          <w:sz w:val="1"/>
          <w:szCs w:val="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2"/>
                <w:szCs w:val="22"/>
              </w:rPr>
              <w:t xml:space="preserve">REGISTRIERUNG</w:t>
            </w:r>
          </w:p>
        </w:tc>
      </w:tr>
      <w:tr>
        <w:tc>
          <w:tcPr>
            <w:tcW w:type="pct" w:w="100%"/>
            <w:tcBorders>
              <w:top w:val="single" w:color="D0D0D0" w:sz="8"/>
              <w:left w:val="single" w:color="D0D0D0" w:sz="8"/>
              <w:bottom w:val="single" w:color="D0D0D0" w:sz="8"/>
              <w:right w:val="single" w:color="D0D0D0" w:sz="8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Konto erstellen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Account-Typ: ( ) Firma  ( ) Privat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Name: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Email: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Passwort: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Passwort bestätigen: [________________]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Rolle: ( ) Shipper  ( ) Carrier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AGB akzeptieren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[ ] Datenschutzbestimmungen gelesen</w:t>
            </w:r>
          </w:p>
          <w:p>
            <w:r>
              <w:rPr>
                <w:rFonts w:ascii="Consolas" w:eastAsia="Microsoft YaHei"/>
                <w:sz w:val="20"/>
                <w:szCs w:val="20"/>
              </w:rPr>
              <w:t xml:space="preserve">CTA: [Registrieren]</w:t>
            </w:r>
          </w:p>
        </w:tc>
      </w:tr>
    </w:tbl>
    <w:p>
      <w:pPr>
        <w:pStyle w:val="Heading1"/>
        <w:spacing w:after="200" w:before="400"/>
      </w:pPr>
      <w:r>
        <w:t xml:space="preserve">9. Technische Hinweise</w:t>
      </w:r>
    </w:p>
    <w:p>
      <w:pPr>
        <w:pStyle w:val="Heading2"/>
        <w:spacing w:after="100" w:before="200"/>
      </w:pPr>
      <w:r>
        <w:t xml:space="preserve">9.1 Responsive Design</w:t>
      </w:r>
    </w:p>
    <w:p>
      <w:pPr>
        <w:spacing w:after="150"/>
      </w:pPr>
      <w:r>
        <w:rPr>
          <w:sz w:val="22"/>
          <w:szCs w:val="22"/>
        </w:rPr>
        <w:t xml:space="preserve">Alle Wireframes sind für Desktop und Mobile optimiert. Die Breakpoints sind bei 768px (Tablet) und 480px (Mobile) definiert. Bei Mobile-Ansicht werden Sidebars zu akkordeonartigen Dropdowns, und Tabellen werden zu vertikalen Listen.</w:t>
      </w:r>
    </w:p>
    <w:p>
      <w:pPr>
        <w:pStyle w:val="Heading2"/>
        <w:spacing w:after="100" w:before="200"/>
      </w:pPr>
      <w:r>
        <w:t xml:space="preserve">9.2 Security-Integration</w:t>
      </w:r>
    </w:p>
    <w:p>
      <w:pPr>
        <w:spacing w:after="150"/>
      </w:pPr>
      <w:r>
        <w:rPr>
          <w:sz w:val="22"/>
          <w:szCs w:val="22"/>
        </w:rPr>
        <w:t xml:space="preserve">Die Wireframes sind auf den Security-Layer der Plattform abgestimmt. Risk-Level werden in Echtzeit über die Risk-Engine berechnet. Alle sensiblen Daten sind verschlüsselt (AES-256), und die Authentifizierung verwendet JWT-Tokens mit 2FA-Option.</w:t>
      </w:r>
    </w:p>
    <w:p>
      <w:pPr>
        <w:pStyle w:val="Heading2"/>
        <w:spacing w:after="100" w:before="200"/>
      </w:pPr>
      <w:r>
        <w:t xml:space="preserve">9.3 Ad-Integration</w:t>
      </w:r>
    </w:p>
    <w:p>
      <w:pPr>
        <w:spacing w:after="150"/>
      </w:pPr>
      <w:r>
        <w:rPr>
          <w:sz w:val="22"/>
          <w:szCs w:val="22"/>
        </w:rPr>
        <w:t xml:space="preserve">Banner-Ad-Slots sind in folgenden Größen definiert: 970x250 (Hero-Banner), 728x90 (Inline-Banner), 300x250 (Sidebar). Die Ads werden über den Ad-Service dynamisch geladen und können gezielt auf Nutzerprofile ausgerichtet werden.</w:t>
      </w:r>
    </w:p>
    <w:p>
      <w:pPr>
        <w:pStyle w:val="Heading2"/>
        <w:spacing w:after="100" w:before="200"/>
      </w:pPr>
      <w:r>
        <w:t xml:space="preserve">9.4 Color-Coding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Risk-Level</w:t>
            </w:r>
          </w:p>
        </w:tc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Farbe</w:t>
            </w:r>
          </w:p>
        </w:tc>
        <w:tc>
          <w:tcPr>
            <w:tcW w:type="pct" w:w="5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#4CAF50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Niedriges Risiko - Alle Checks bestanden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#FFC107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Mittleres Risiko - Teilweise verifiziert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#F44336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Hohes Risiko - Manuelle Prüfung empfohlen</w:t>
            </w:r>
          </w:p>
        </w:tc>
      </w:tr>
    </w:tbl>
    <w:p>
      <w:pPr>
        <w:spacing w:before="200"/>
      </w:pPr>
      <w:r>
        <w:rPr>
          <w:sz w:val="1"/>
          <w:szCs w:val="1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CargoBit UX-Wireframes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2026-04-16T05:43:06.932Z</dcterms:created>
  <dcterms:modified xsi:type="dcterms:W3CDTF">2026-04-16T05:43:06.932Z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