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shd w:fill="162235" w:val="clear"/>
            <w:vAlign w:val="top"/>
          </w:tcPr>
          <w:p>
            <w:pPr>
              <w:spacing w:before="25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37DCF2"/>
                <w:sz w:val="72"/>
                <w:szCs w:val="72"/>
              </w:rPr>
              <w:t xml:space="preserve">Design Tokens</w:t>
            </w:r>
          </w:p>
          <w:p>
            <w:pPr>
              <w:spacing w:after="4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JSON-Based Design System</w:t>
            </w:r>
          </w:p>
          <w:p>
            <w:pPr>
              <w:spacing w:after="200"/>
              <w:jc w:val="center"/>
            </w:pPr>
            <w:r>
              <w:rPr>
                <w:color w:val="B0B8C0"/>
                <w:sz w:val="24"/>
                <w:szCs w:val="24"/>
              </w:rPr>
              <w:t xml:space="preserve">Hybrid Security Layer Platform</w:t>
            </w:r>
          </w:p>
          <w:p>
            <w:pPr>
              <w:spacing w:before="35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Version 1.0.0 | April 2026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Figma Tokens | Style Dictionary | CSS-in-JS | Tailwind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</w:pPr>
      <w:bookmarkStart w:id="100000" w:name="_Toc100000"/>
      <w:r>
        <w:t xml:space="preserve">Inhaltsverzeichnis</w:t>
      </w:r>
      <w:bookmarkEnd w:id="100000"/>
    </w:p>
    <w:sdt>
      <w:sdtPr>
        <w:alias w:val="[object Object]"/>
      </w:sdtPr>
      <w:sdtContent>
        <w:p>
          <w:r>
            <w:fldChar w:fldCharType="begin" w:dirty="true"/>
          </w:r>
          <w:r>
            <w:instrText xml:space="preserve">TOC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Inhaltsverzeichnis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Overview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Color Tokens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Brand Colors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Neutral Colors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Risk Colors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Insurance Colors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Feedback Colors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2.6 Semantic Colors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Background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Border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Text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 Typography Tokens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Font Family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Font Sizes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Font Weights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3.4 Line Heights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3.5 Text Styles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 Spacing Tokens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Border Radius Tokens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Shadow Tokens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 Component Tokens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7.1 Button Tokens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7.2 Input Tokens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7.3 Card Tokens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7.4 Badge Tokens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 Implementation Guide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8.1 CSS Variables Export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Hinweis: Rechtsklick auf Inhaltsverzeichnis &gt; Felder aktualisieren</w:t>
      </w:r>
    </w:p>
    <w:p>
      <w:pPr>
        <w:pageBreakBefore/>
      </w:pPr>
      <w:r>
        <w:rPr>
          <w:sz w:val="1"/>
          <w:szCs w:val="1"/>
        </w:rPr>
        <w:t xml:space="preserve"> 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bookmarkStart w:id="100001" w:name="_Toc100001"/>
      <w:r>
        <w:t xml:space="preserve">1. Overview</w:t>
      </w:r>
      <w:bookmarkEnd w:id="100001"/>
    </w:p>
    <w:p>
      <w:pPr>
        <w:spacing w:after="200"/>
      </w:pPr>
      <w:r>
        <w:rPr>
          <w:sz w:val="22"/>
          <w:szCs w:val="22"/>
        </w:rPr>
        <w:t xml:space="preserve">Dieses Dokument definiert ein vollständiges, erweiterbares Design-System als JSON-Tokens. Die Tokens können direkt mit Figma Tokens Plugin, Style Dictionary oder in Frontend-Frameworks (CSS-in-JS, Tailwind, etc.) verwendet werden. Sie dienen als zentrale Basis für Web- und App-Entwicklung.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c>
          <w:tcPr>
            <w:tcW w:type="pct" w:w="3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Property</w:t>
            </w:r>
          </w:p>
        </w:tc>
        <w:tc>
          <w:tcPr>
            <w:tcW w:type="pct" w:w="7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7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hybrid-security-platform-design-system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Hybrid Security Layer</w:t>
            </w:r>
          </w:p>
        </w:tc>
      </w:tr>
      <w:tr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Modes</w:t>
            </w:r>
          </w:p>
        </w:tc>
        <w:tc>
          <w:tcPr>
            <w:tcW w:type="pct" w:w="7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light, dark</w:t>
            </w:r>
          </w:p>
        </w:tc>
      </w:tr>
    </w:tbl>
    <w:p>
      <w:pPr>
        <w:pStyle w:val="Heading1"/>
        <w:spacing w:after="200" w:before="400"/>
      </w:pPr>
      <w:bookmarkStart w:id="100002" w:name="_Toc100002"/>
      <w:r>
        <w:t xml:space="preserve">2. Color Tokens</w:t>
      </w:r>
      <w:bookmarkEnd w:id="100002"/>
    </w:p>
    <w:p>
      <w:pPr>
        <w:spacing w:after="200"/>
      </w:pPr>
      <w:r>
        <w:rPr>
          <w:sz w:val="22"/>
          <w:szCs w:val="22"/>
        </w:rPr>
        <w:t xml:space="preserve">Farben sind in logische Kategorien unterteilt: Brand, Neutral, Risk, Insurance, Feedback, Background, Border und Text. Alle Farben können durch Token-Referenzen aufeinander verweisen.</w:t>
      </w:r>
    </w:p>
    <w:p>
      <w:pPr>
        <w:pStyle w:val="Heading2"/>
        <w:spacing w:after="150" w:before="300"/>
      </w:pPr>
      <w:bookmarkStart w:id="100003" w:name="_Toc100003"/>
      <w:r>
        <w:t xml:space="preserve">2.1 Brand Colors</w:t>
      </w:r>
      <w:bookmarkEnd w:id="100003"/>
    </w:p>
    <w:p>
      <w:pPr>
        <w:spacing w:after="100"/>
      </w:pPr>
      <w:r>
        <w:rPr>
          <w:sz w:val="22"/>
          <w:szCs w:val="22"/>
        </w:rPr>
        <w:t xml:space="preserve">Die primären Markenfarben für die visuelle Identität der Plattform. Primary wird für Hauptaktionen verwendet, Secondary für untergeordnete Aktionen und Accent für Highlights.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color.brand.primary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#0052FF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Primäre CTAs, Links, Brand-Elemente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color.brand.primaryHover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#003FCC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Hover-State für Primary Elements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color.brand.secondary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#00C2A8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Sekundäre Aktionen, Akzente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color.brand.accent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#FFB800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Highlights, Badges, Notifications</w:t>
            </w:r>
          </w:p>
        </w:tc>
      </w:tr>
    </w:tbl>
    <w:p>
      <w:pPr>
        <w:pStyle w:val="Heading2"/>
        <w:spacing w:after="150" w:before="300"/>
      </w:pPr>
      <w:bookmarkStart w:id="100004" w:name="_Toc100004"/>
      <w:r>
        <w:t xml:space="preserve">2.2 Neutral Colors</w:t>
      </w:r>
      <w:bookmarkEnd w:id="100004"/>
    </w:p>
    <w:p>
      <w:pPr>
        <w:spacing w:after="100"/>
      </w:pPr>
      <w:r>
        <w:rPr>
          <w:sz w:val="22"/>
          <w:szCs w:val="22"/>
        </w:rPr>
        <w:t xml:space="preserve">Eine 11-stufige Grauskala von Weiß (0) bis Schwarz (900). Diese Farben bilden die Grundlage für Hintergründe, Texte, Borders und Oberflächen.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#FFFFFF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Reines Weiß, Surfaces, Cards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color.neutral.50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#F9FAFB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Page Background, Subtle Surfaces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color.neutral.100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#F3F4F6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Background, Hover States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color.neutral.200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#E5E7EB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Borders, Dividers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color.neutral.300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#D1D5DB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 Borders, Disabled States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color.neutral.400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#9CA3AF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Placeholder Text, Icons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color.neutral.500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#6B7280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Muted Text, Secondary Content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color.neutral.600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#4B5563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Secondary Text, Captions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color.neutral.700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#374151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Body Text, Dark Content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color.neutral.800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#1F2933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Headings, Dark Mode Surfaces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color.neutral.900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#111827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Primary Text, Maximum Contrast</w:t>
            </w:r>
          </w:p>
        </w:tc>
      </w:tr>
    </w:tbl>
    <w:p>
      <w:pPr>
        <w:pStyle w:val="Heading2"/>
        <w:spacing w:after="150" w:before="300"/>
      </w:pPr>
      <w:bookmarkStart w:id="100005" w:name="_Toc100005"/>
      <w:r>
        <w:t xml:space="preserve">2.3 Risk Colors</w:t>
      </w:r>
      <w:bookmarkEnd w:id="100005"/>
    </w:p>
    <w:p>
      <w:pPr>
        <w:spacing w:after="100"/>
      </w:pPr>
      <w:r>
        <w:rPr>
          <w:sz w:val="22"/>
          <w:szCs w:val="22"/>
        </w:rPr>
        <w:t xml:space="preserve">Farben für das Risk-Level System. Diese Farben werden verwendet, um das Risikolevel von Aufträgen, Carriern und Transaktionen anzuzeigen.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color.risk.green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#2ECC71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Niedriges Risiko, Verified Status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color.risk.yellow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#F1C40F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Mittleres Risiko, Warning State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color.risk.red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#E74C3C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Hohes Risiko, Critical State</w:t>
            </w:r>
          </w:p>
        </w:tc>
      </w:tr>
    </w:tbl>
    <w:p>
      <w:pPr>
        <w:pStyle w:val="Heading2"/>
        <w:spacing w:after="150" w:before="300"/>
      </w:pPr>
      <w:bookmarkStart w:id="100006" w:name="_Toc100006"/>
      <w:r>
        <w:t xml:space="preserve">2.4 Insurance Colors</w:t>
      </w:r>
      <w:bookmarkEnd w:id="100006"/>
    </w:p>
    <w:p>
      <w:pPr>
        <w:spacing w:after="100"/>
      </w:pPr>
      <w:r>
        <w:rPr>
          <w:sz w:val="22"/>
          <w:szCs w:val="22"/>
        </w:rPr>
        <w:t xml:space="preserve">Spezifische Farben für Versicherungs-Komponenten und Premium-Features.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color.insurance.blue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#0077CC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Versicherungs-Komponenten, Info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color.insurance.gold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#D4AF37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Premium Features, Verified Badges</w:t>
            </w:r>
          </w:p>
        </w:tc>
      </w:tr>
    </w:tbl>
    <w:p>
      <w:pPr>
        <w:pStyle w:val="Heading2"/>
        <w:spacing w:after="150" w:before="300"/>
      </w:pPr>
      <w:bookmarkStart w:id="100007" w:name="_Toc100007"/>
      <w:r>
        <w:t xml:space="preserve">2.5 Feedback Colors</w:t>
      </w:r>
      <w:bookmarkEnd w:id="100007"/>
    </w:p>
    <w:p>
      <w:pPr>
        <w:spacing w:after="100"/>
      </w:pPr>
      <w:r>
        <w:rPr>
          <w:sz w:val="22"/>
          <w:szCs w:val="22"/>
        </w:rPr>
        <w:t xml:space="preserve">Farben für Feedback-Zustände wie Success, Warning, Error und Info.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color.feedback.success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#16A34A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 Messages, Bestätigungen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color.feedback.warning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#F59E0B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Warning Messages, Alerts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color.feedback.error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#DC2626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Error Messages, Validation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color.feedback.info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#0EA5E9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Info Messages, Tooltips</w:t>
            </w:r>
          </w:p>
        </w:tc>
      </w:tr>
    </w:tbl>
    <w:p>
      <w:pPr>
        <w:pStyle w:val="Heading2"/>
        <w:spacing w:after="150" w:before="300"/>
      </w:pPr>
      <w:bookmarkStart w:id="100008" w:name="_Toc100008"/>
      <w:r>
        <w:t xml:space="preserve">2.6 Semantic Colors</w:t>
      </w:r>
      <w:bookmarkEnd w:id="100008"/>
    </w:p>
    <w:p>
      <w:pPr>
        <w:spacing w:after="100"/>
      </w:pPr>
      <w:r>
        <w:rPr>
          <w:sz w:val="22"/>
          <w:szCs w:val="22"/>
        </w:rPr>
        <w:t xml:space="preserve">Semantische Farbreferenzen für Background, Border und Text. Diese Tokens verweisen auf andere Farben und ermöglichen einfaches Theming.</w:t>
      </w:r>
    </w:p>
    <w:p>
      <w:pPr>
        <w:pStyle w:val="Heading3"/>
        <w:spacing w:after="100" w:before="200"/>
      </w:pPr>
      <w:bookmarkStart w:id="100009" w:name="_Toc100009"/>
      <w:r>
        <w:t xml:space="preserve">Background</w:t>
      </w:r>
      <w:bookmarkEnd w:id="100009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color.background.page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{color.neutral.50}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Seitenhintergrund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color.background.surface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Cards, Panels, Modals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color.background.surfaceSubtle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{color.neutral.100}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Surfaces, Hover</w:t>
            </w:r>
          </w:p>
        </w:tc>
      </w:tr>
    </w:tbl>
    <w:p>
      <w:pPr>
        <w:pStyle w:val="Heading3"/>
        <w:spacing w:after="100" w:before="200"/>
      </w:pPr>
      <w:bookmarkStart w:id="100010" w:name="_Toc100010"/>
      <w:r>
        <w:t xml:space="preserve">Border</w:t>
      </w:r>
      <w:bookmarkEnd w:id="10001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color.border.subtle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{color.neutral.200}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Borders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color.border.strong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{color.neutral.300}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 Borders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color.border.focus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{color.brand.primary}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Focus Rings, Active States</w:t>
            </w:r>
          </w:p>
        </w:tc>
      </w:tr>
    </w:tbl>
    <w:p>
      <w:pPr>
        <w:pStyle w:val="Heading3"/>
        <w:spacing w:after="100" w:before="200"/>
      </w:pPr>
      <w:bookmarkStart w:id="100011" w:name="_Toc100011"/>
      <w:r>
        <w:t xml:space="preserve">Text</w:t>
      </w:r>
      <w:bookmarkEnd w:id="10001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color.text.primary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{color.neutral.900}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Haupttext, Headlines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color.text.secondary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{color.neutral.600}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Sekundärer Text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color.text.muted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{color.neutral.500}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Deaktiviert, Placeholder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color.text.inverse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{color.neutral.0}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Text auf dunklem Hintergrund</w:t>
            </w:r>
          </w:p>
        </w:tc>
      </w:tr>
      <w:tr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color.text.link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{color.brand.primary}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Links, Anchors</w:t>
            </w:r>
          </w:p>
        </w:tc>
      </w:tr>
    </w:tbl>
    <w:p>
      <w:pPr>
        <w:pStyle w:val="Heading1"/>
        <w:spacing w:after="200" w:before="400"/>
      </w:pPr>
      <w:bookmarkStart w:id="100012" w:name="_Toc100012"/>
      <w:r>
        <w:t xml:space="preserve">3. Typography Tokens</w:t>
      </w:r>
      <w:bookmarkEnd w:id="100012"/>
    </w:p>
    <w:p>
      <w:pPr>
        <w:spacing w:after="200"/>
      </w:pPr>
      <w:r>
        <w:rPr>
          <w:sz w:val="22"/>
          <w:szCs w:val="22"/>
        </w:rPr>
        <w:t xml:space="preserve">Die Typography-Tokens definieren Schriftart, Größen, Gewichte und Zeilenhöhen. Die Basis-Schriftart ist Inter, eine moderne, gut lesbare Sans-Serif-Schrift.</w:t>
      </w:r>
    </w:p>
    <w:p>
      <w:pPr>
        <w:pStyle w:val="Heading2"/>
        <w:spacing w:after="150" w:before="300"/>
      </w:pPr>
      <w:bookmarkStart w:id="100013" w:name="_Toc100013"/>
      <w:r>
        <w:t xml:space="preserve">3.1 Font Family</w:t>
      </w:r>
      <w:bookmarkEnd w:id="100013"/>
    </w:p>
    <w:p>
      <w:pPr>
        <w:spacing w:after="100"/>
      </w:pPr>
      <w:r>
        <w:rPr>
          <w:sz w:val="22"/>
          <w:szCs w:val="22"/>
        </w:rPr>
        <w:t xml:space="preserve">Die primäre Schriftfamilie mit Fallback-Optionen für maximale Kompatibilität.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typography.fontFamily.base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'Inter', system-ui, ...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Primäre Schriftart für alle Texte</w:t>
            </w:r>
          </w:p>
        </w:tc>
      </w:tr>
    </w:tbl>
    <w:p>
      <w:pPr>
        <w:pStyle w:val="Heading2"/>
        <w:spacing w:after="150" w:before="300"/>
      </w:pPr>
      <w:bookmarkStart w:id="100014" w:name="_Toc100014"/>
      <w:r>
        <w:t xml:space="preserve">3.2 Font Sizes</w:t>
      </w:r>
      <w:bookmarkEnd w:id="100014"/>
    </w:p>
    <w:p>
      <w:pPr>
        <w:spacing w:after="100"/>
      </w:pPr>
      <w:r>
        <w:rPr>
          <w:sz w:val="22"/>
          <w:szCs w:val="22"/>
        </w:rPr>
        <w:t xml:space="preserve">Eine 6-stufige Schriftgrößen-Skala von xs (12px) bis 2xl (32px).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typography.size.xs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12px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Labels, Captions, Badges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typography.size.sm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14px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Small Text, Meta Info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typography.size.md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16px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Body Text, Default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typography.size.lg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20px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H3, Subheadings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typography.size.xl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24px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H2, Section Headers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typography.size.2xl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32px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H1, Page Titles</w:t>
            </w:r>
          </w:p>
        </w:tc>
      </w:tr>
    </w:tbl>
    <w:p>
      <w:pPr>
        <w:pStyle w:val="Heading2"/>
        <w:spacing w:after="150" w:before="300"/>
      </w:pPr>
      <w:bookmarkStart w:id="100015" w:name="_Toc100015"/>
      <w:r>
        <w:t xml:space="preserve">3.3 Font Weights</w:t>
      </w:r>
      <w:bookmarkEnd w:id="100015"/>
    </w:p>
    <w:p>
      <w:pPr>
        <w:spacing w:after="100"/>
      </w:pPr>
      <w:r>
        <w:rPr>
          <w:sz w:val="22"/>
          <w:szCs w:val="22"/>
        </w:rPr>
        <w:t xml:space="preserve">Vier Schriftgewichte für verschiedene Hierarchieebenen.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typography.weight.regular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400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Body Text, Paragraphs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typography.weight.medium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500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Labels, Emphasis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typography.weight.semibold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600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Subheadings, Important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typography.weight.bold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700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Headlines, CTAs</w:t>
            </w:r>
          </w:p>
        </w:tc>
      </w:tr>
    </w:tbl>
    <w:p>
      <w:pPr>
        <w:pStyle w:val="Heading2"/>
        <w:spacing w:after="150" w:before="300"/>
      </w:pPr>
      <w:bookmarkStart w:id="100016" w:name="_Toc100016"/>
      <w:r>
        <w:t xml:space="preserve">3.4 Line Heights</w:t>
      </w:r>
      <w:bookmarkEnd w:id="100016"/>
    </w:p>
    <w:p>
      <w:pPr>
        <w:spacing w:after="100"/>
      </w:pPr>
      <w:r>
        <w:rPr>
          <w:sz w:val="22"/>
          <w:szCs w:val="22"/>
        </w:rPr>
        <w:t xml:space="preserve">Drei Zeilenhöhen für verschiedene Verwendungszwecke.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typography.lineHeight.tight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1.1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Headlines, Titles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typography.lineHeight.normal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1.4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Labels, Small Text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typography.lineHeight.relaxed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1.6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Body Text, Paragraphs</w:t>
            </w:r>
          </w:p>
        </w:tc>
      </w:tr>
    </w:tbl>
    <w:p>
      <w:pPr>
        <w:pStyle w:val="Heading2"/>
        <w:spacing w:after="150" w:before="300"/>
      </w:pPr>
      <w:bookmarkStart w:id="100017" w:name="_Toc100017"/>
      <w:r>
        <w:t xml:space="preserve">3.5 Text Styles</w:t>
      </w:r>
      <w:bookmarkEnd w:id="100017"/>
    </w:p>
    <w:p>
      <w:pPr>
        <w:spacing w:after="100"/>
      </w:pPr>
      <w:r>
        <w:rPr>
          <w:sz w:val="22"/>
          <w:szCs w:val="22"/>
        </w:rPr>
        <w:t xml:space="preserve">Kombinierte Text-Styles, die Schriftart, Größe, Gewicht und Zeilenhöhe zusammenfassen.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Style</w:t>
            </w:r>
          </w:p>
        </w:tc>
        <w:tc>
          <w:tcPr>
            <w:tcW w:type="pct" w:w="1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Size</w:t>
            </w:r>
          </w:p>
        </w:tc>
        <w:tc>
          <w:tcPr>
            <w:tcW w:type="pct" w:w="1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Weight</w:t>
            </w:r>
          </w:p>
        </w:tc>
        <w:tc>
          <w:tcPr>
            <w:tcW w:type="pct" w:w="1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Line</w:t>
            </w:r>
          </w:p>
        </w:tc>
        <w:tc>
          <w:tcPr>
            <w:tcW w:type="pct" w:w="3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heading1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32px (2xl)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700 (bold)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1.1 (tight)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Page Titles, Hero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heading2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24px (xl)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 (semibold)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1.4 (normal)</w:t>
            </w:r>
          </w:p>
        </w:tc>
        <w:tc>
          <w:tcPr>
            <w:tcW w:type="pct" w:w="3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Section Headers</w:t>
            </w:r>
          </w:p>
        </w:tc>
      </w:tr>
      <w:tr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heading3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20px (lg)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 (semibold)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1.4 (normal)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Subsections, Cards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16px (md)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400 (regular)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1.6 (relaxed)</w:t>
            </w:r>
          </w:p>
        </w:tc>
        <w:tc>
          <w:tcPr>
            <w:tcW w:type="pct" w:w="3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 Body Text</w:t>
            </w:r>
          </w:p>
        </w:tc>
      </w:tr>
      <w:tr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bodySmall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14px (sm)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400 (regular)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1.4 (normal)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Secondary Text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12px (xs)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500 (medium)</w:t>
            </w:r>
          </w:p>
        </w:tc>
        <w:tc>
          <w:tcPr>
            <w:tcW w:type="pct" w:w="1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1.4 (normal)</w:t>
            </w:r>
          </w:p>
        </w:tc>
        <w:tc>
          <w:tcPr>
            <w:tcW w:type="pct" w:w="35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Labels, Badges</w:t>
            </w:r>
          </w:p>
        </w:tc>
      </w:tr>
    </w:tbl>
    <w:p>
      <w:pPr>
        <w:pStyle w:val="Heading1"/>
        <w:spacing w:after="200" w:before="400"/>
      </w:pPr>
      <w:bookmarkStart w:id="100018" w:name="_Toc100018"/>
      <w:r>
        <w:t xml:space="preserve">4. Spacing Tokens</w:t>
      </w:r>
      <w:bookmarkEnd w:id="100018"/>
    </w:p>
    <w:p>
      <w:pPr>
        <w:spacing w:after="100"/>
      </w:pPr>
      <w:r>
        <w:rPr>
          <w:sz w:val="22"/>
          <w:szCs w:val="22"/>
        </w:rPr>
        <w:t xml:space="preserve">Eine 7-stufige Spacing-Skala für konsistente Abstände. Basiert auf einem 4px-Grid-System.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spacing.4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4px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Minimaler Abstand, Icon-Text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spacing.8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8px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Kompakte Abstände, Inline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spacing.12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12px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Standard Input Padding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spacing.16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16px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 Padding, Standard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spacing.24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24px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Section Abstände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spacing.32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32px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Große Abstände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spacing.40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40px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Page Sections</w:t>
            </w:r>
          </w:p>
        </w:tc>
      </w:tr>
    </w:tbl>
    <w:p>
      <w:pPr>
        <w:pStyle w:val="Heading1"/>
        <w:spacing w:after="200" w:before="400"/>
      </w:pPr>
      <w:bookmarkStart w:id="100019" w:name="_Toc100019"/>
      <w:r>
        <w:t xml:space="preserve">5. Border Radius Tokens</w:t>
      </w:r>
      <w:bookmarkEnd w:id="100019"/>
    </w:p>
    <w:p>
      <w:pPr>
        <w:spacing w:after="100"/>
      </w:pPr>
      <w:r>
        <w:rPr>
          <w:sz w:val="22"/>
          <w:szCs w:val="22"/>
        </w:rPr>
        <w:t xml:space="preserve">Vier Border-Radius-Werte für verschiedene Elemente.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radius.sm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4px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Kleine Elements, Badges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radius.md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8px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Buttons, Inputs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radius.lg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12px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Cards, Panels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radius.pill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999px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Pill Badges, Tags</w:t>
            </w:r>
          </w:p>
        </w:tc>
      </w:tr>
    </w:tbl>
    <w:p>
      <w:pPr>
        <w:pStyle w:val="Heading1"/>
        <w:spacing w:after="200" w:before="400"/>
      </w:pPr>
      <w:bookmarkStart w:id="100020" w:name="_Toc100020"/>
      <w:r>
        <w:t xml:space="preserve">6. Shadow Tokens</w:t>
      </w:r>
      <w:bookmarkEnd w:id="100020"/>
    </w:p>
    <w:p>
      <w:pPr>
        <w:spacing w:after="100"/>
      </w:pPr>
      <w:r>
        <w:rPr>
          <w:sz w:val="22"/>
          <w:szCs w:val="22"/>
        </w:rPr>
        <w:t xml:space="preserve">Drei Elevation-Levels für visuelle Hierarchie.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shadow.card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1px 3px rgba(...)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Cards, List Items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shadow.dropdown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10px 15px rgba(...)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Dropdowns, Popovers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shadow.modal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20px 25px rgba(...)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Modals, Dialogs</w:t>
            </w:r>
          </w:p>
        </w:tc>
      </w:tr>
    </w:tbl>
    <w:p>
      <w:pPr>
        <w:pStyle w:val="Heading1"/>
        <w:spacing w:after="200" w:before="400"/>
      </w:pPr>
      <w:bookmarkStart w:id="100021" w:name="_Toc100021"/>
      <w:r>
        <w:t xml:space="preserve">7. Component Tokens</w:t>
      </w:r>
      <w:bookmarkEnd w:id="100021"/>
    </w:p>
    <w:p>
      <w:pPr>
        <w:spacing w:after="200"/>
      </w:pPr>
      <w:r>
        <w:rPr>
          <w:sz w:val="22"/>
          <w:szCs w:val="22"/>
        </w:rPr>
        <w:t xml:space="preserve">Komponenten-spezifische Tokens, die auf den Foundation-Tokens aufbauen. Diese Tokens definieren das Aussehen und Verhalten von UI-Komponenten.</w:t>
      </w:r>
    </w:p>
    <w:p>
      <w:pPr>
        <w:pStyle w:val="Heading2"/>
        <w:spacing w:after="150" w:before="300"/>
      </w:pPr>
      <w:bookmarkStart w:id="100022" w:name="_Toc100022"/>
      <w:r>
        <w:t xml:space="preserve">7.1 Button Tokens</w:t>
      </w:r>
      <w:bookmarkEnd w:id="100022"/>
    </w:p>
    <w:p>
      <w:pPr>
        <w:spacing w:after="100"/>
      </w:pPr>
      <w:r>
        <w:rPr>
          <w:sz w:val="22"/>
          <w:szCs w:val="22"/>
        </w:rPr>
        <w:t xml:space="preserve">Button-Varianten: Primary, Secondary, Ghost und Danger. Jede Variante definiert Background, Text- und Hover-States.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</w:t>
            </w:r>
          </w:p>
        </w:tc>
        <w:tc>
          <w:tcPr>
            <w:tcW w:type="pct" w:w="2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Background</w:t>
            </w:r>
          </w:p>
        </w:tc>
        <w:tc>
          <w:tcPr>
            <w:tcW w:type="pct" w:w="2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brand.primary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text.inverse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Hauptaktionen, CTAs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neutral.0</w:t>
            </w:r>
          </w:p>
        </w:tc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text.primary</w:t>
            </w:r>
          </w:p>
        </w:tc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Sekundäre Aktionen</w:t>
            </w:r>
          </w:p>
        </w:tc>
      </w:tr>
      <w:tr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ghost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transparent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text.primary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Tertiäre Aktionen, Links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danger</w:t>
            </w:r>
          </w:p>
        </w:tc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feedback.error</w:t>
            </w:r>
          </w:p>
        </w:tc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text.inverse</w:t>
            </w:r>
          </w:p>
        </w:tc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Destructive Aktionen, Delete</w:t>
            </w:r>
          </w:p>
        </w:tc>
      </w:tr>
    </w:tbl>
    <w:p>
      <w:pPr>
        <w:pStyle w:val="Heading2"/>
        <w:spacing w:after="150" w:before="300"/>
      </w:pPr>
      <w:bookmarkStart w:id="100023" w:name="_Toc100023"/>
      <w:r>
        <w:t xml:space="preserve">7.2 Input Tokens</w:t>
      </w:r>
      <w:bookmarkEnd w:id="100023"/>
    </w:p>
    <w:p>
      <w:pPr>
        <w:spacing w:after="100"/>
      </w:pPr>
      <w:r>
        <w:rPr>
          <w:sz w:val="22"/>
          <w:szCs w:val="22"/>
        </w:rPr>
        <w:t xml:space="preserve">Input-Felder mit States: Default, Error und Success. Definiert Background, Border, Padding und Focus-Verhalten.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component.input.default.background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{background.surface}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Input Background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component.input.default.borderColor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{border.subtle}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 Border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component.input.default.borderRadius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{radius.md}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8px Radius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component.input.default.paddingX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{spacing.12}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Horizontal Padding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component.input.default.paddingY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{spacing.8}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Vertical Padding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component.input.error.borderColor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{feedback.error}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Error Border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component.input.success.borderColor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{feedback.success}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 Border</w:t>
            </w:r>
          </w:p>
        </w:tc>
      </w:tr>
    </w:tbl>
    <w:p>
      <w:pPr>
        <w:pStyle w:val="Heading2"/>
        <w:spacing w:after="150" w:before="300"/>
      </w:pPr>
      <w:bookmarkStart w:id="100024" w:name="_Toc100024"/>
      <w:r>
        <w:t xml:space="preserve">7.3 Card Tokens</w:t>
      </w:r>
      <w:bookmarkEnd w:id="100024"/>
    </w:p>
    <w:p>
      <w:pPr>
        <w:spacing w:after="100"/>
      </w:pPr>
      <w:r>
        <w:rPr>
          <w:sz w:val="22"/>
          <w:szCs w:val="22"/>
        </w:rPr>
        <w:t xml:space="preserve">Card-Varianten: Base, Elevated und Risk (mit farbigen Borders für Risk-Level).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Value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component.card.base.background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{background.surface}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 Background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component.card.base.borderRadius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{radius.lg}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12px Radius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component.card.base.padding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{spacing.16}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 Padding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component.card.base.shadow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{shadow.card}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Shadow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component.card.elevated.shadow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{shadow.modal}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Elevated Shadow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component.card.risk.greenBorder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{risk.green}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Green Risk Border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component.card.risk.yellowBorder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{risk.yellow}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Yellow Risk Border</w:t>
            </w:r>
          </w:p>
        </w:tc>
      </w:tr>
      <w:tr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component.card.risk.redBorder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{risk.red}</w:t>
            </w:r>
          </w:p>
        </w:tc>
        <w:tc>
          <w:tcPr>
            <w:tcW w:type="pct" w:w="3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Red Risk Border</w:t>
            </w:r>
          </w:p>
        </w:tc>
      </w:tr>
    </w:tbl>
    <w:p>
      <w:pPr>
        <w:pStyle w:val="Heading2"/>
        <w:spacing w:after="150" w:before="300"/>
      </w:pPr>
      <w:bookmarkStart w:id="100025" w:name="_Toc100025"/>
      <w:r>
        <w:t xml:space="preserve">7.4 Badge Tokens</w:t>
      </w:r>
      <w:bookmarkEnd w:id="100025"/>
    </w:p>
    <w:p>
      <w:pPr>
        <w:spacing w:after="100"/>
      </w:pPr>
      <w:r>
        <w:rPr>
          <w:sz w:val="22"/>
          <w:szCs w:val="22"/>
        </w:rPr>
        <w:t xml:space="preserve">Risk-Level Badges mit transparentem Background und farbigem Text.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Badge</w:t>
            </w:r>
          </w:p>
        </w:tc>
        <w:tc>
          <w:tcPr>
            <w:tcW w:type="pct" w:w="3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Background</w:t>
            </w:r>
          </w:p>
        </w:tc>
        <w:tc>
          <w:tcPr>
            <w:tcW w:type="pct" w:w="4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pct" w:w="2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riskGreen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rgba(46, 204, 113, 0.12)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risk.green (#2ECC71)</w:t>
            </w:r>
          </w:p>
        </w:tc>
      </w:tr>
      <w:tr>
        <w:tc>
          <w:tcPr>
            <w:tcW w:type="pct" w:w="2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riskYellow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rgba(241, 196, 15, 0.12)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risk.yellow (#F1C40F)</w:t>
            </w:r>
          </w:p>
        </w:tc>
      </w:tr>
      <w:tr>
        <w:tc>
          <w:tcPr>
            <w:tcW w:type="pct" w:w="2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riskRed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rgba(231, 76, 60, 0.12)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risk.red (#E74C3C)</w:t>
            </w:r>
          </w:p>
        </w:tc>
      </w:tr>
    </w:tbl>
    <w:p>
      <w:pPr>
        <w:pStyle w:val="Heading1"/>
        <w:spacing w:after="200" w:before="400"/>
      </w:pPr>
      <w:bookmarkStart w:id="100026" w:name="_Toc100026"/>
      <w:r>
        <w:t xml:space="preserve">8. Implementation Guide</w:t>
      </w:r>
      <w:bookmarkEnd w:id="100026"/>
    </w:p>
    <w:p>
      <w:pPr>
        <w:spacing w:after="200"/>
      </w:pPr>
      <w:r>
        <w:rPr>
          <w:sz w:val="22"/>
          <w:szCs w:val="22"/>
        </w:rPr>
        <w:t xml:space="preserve">Die Design Tokens können mit verschiedenen Tools und Frameworks verwendet werden: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Tool</w:t>
            </w:r>
          </w:p>
        </w:tc>
        <w:tc>
          <w:tcPr>
            <w:tcW w:type="pct" w:w="7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Figma Tokens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Plugin für Figma - Direkter Import der JSON-Datei, Sync mit Figma Variables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 Dictionary</w:t>
            </w:r>
          </w:p>
        </w:tc>
        <w:tc>
          <w:tcPr>
            <w:tcW w:type="pct" w:w="7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Build-Tool für Multi-Platform Token-Generierung (CSS, SCSS, JS, iOS, Android)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CSS-in-JS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Direkte Verwendung in styled-components, emotion, oder stitches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7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Konvertierung zu Tailwind Config via tailwindcss-transform-tokens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 Variables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 zu :root Variablen für klassisches CSS</w:t>
            </w:r>
          </w:p>
        </w:tc>
      </w:tr>
    </w:tbl>
    <w:p>
      <w:pPr>
        <w:pStyle w:val="Heading2"/>
        <w:spacing w:after="150" w:before="300"/>
      </w:pPr>
      <w:bookmarkStart w:id="100027" w:name="_Toc100027"/>
      <w:r>
        <w:t xml:space="preserve">8.1 CSS Variables Export</w:t>
      </w:r>
      <w:bookmarkEnd w:id="100027"/>
    </w:p>
    <w:p>
      <w:pPr>
        <w:spacing w:after="100"/>
      </w:pPr>
      <w:r>
        <w:rPr>
          <w:sz w:val="22"/>
          <w:szCs w:val="22"/>
        </w:rPr>
        <w:t xml:space="preserve">Beispiel für die Verwendung als CSS Custom Properties:</w:t>
      </w:r>
    </w:p>
    <w:p>
      <w:pPr>
        <w:shd w:fill="F5F5F5" w:val="clear"/>
        <w:spacing w:after="50"/>
      </w:pPr>
      <w:r>
        <w:rPr>
          <w:rFonts w:ascii="Consolas"/>
          <w:sz w:val="19"/>
          <w:szCs w:val="19"/>
        </w:rPr>
        <w:t xml:space="preserve">:root {</w:t>
      </w:r>
    </w:p>
    <w:p>
      <w:pPr>
        <w:shd w:fill="F5F5F5" w:val="clear"/>
      </w:pPr>
      <w:r>
        <w:rPr>
          <w:rFonts w:ascii="Consolas"/>
          <w:sz w:val="19"/>
          <w:szCs w:val="19"/>
        </w:rPr>
        <w:t xml:space="preserve">  --color-brand-primary: #0052FF;</w:t>
      </w:r>
    </w:p>
    <w:p>
      <w:pPr>
        <w:shd w:fill="F5F5F5" w:val="clear"/>
      </w:pPr>
      <w:r>
        <w:rPr>
          <w:rFonts w:ascii="Consolas"/>
          <w:sz w:val="19"/>
          <w:szCs w:val="19"/>
        </w:rPr>
        <w:t xml:space="preserve">  --color-risk-green: #2ECC71;</w:t>
      </w:r>
    </w:p>
    <w:p>
      <w:pPr>
        <w:shd w:fill="F5F5F5" w:val="clear"/>
      </w:pPr>
      <w:r>
        <w:rPr>
          <w:rFonts w:ascii="Consolas"/>
          <w:sz w:val="19"/>
          <w:szCs w:val="19"/>
        </w:rPr>
        <w:t xml:space="preserve">  --spacing-16: 16px;</w:t>
      </w:r>
    </w:p>
    <w:p>
      <w:pPr>
        <w:shd w:fill="F5F5F5" w:val="clear"/>
      </w:pPr>
      <w:r>
        <w:rPr>
          <w:rFonts w:ascii="Consolas"/>
          <w:sz w:val="19"/>
          <w:szCs w:val="19"/>
        </w:rPr>
        <w:t xml:space="preserve">  --radius-md: 8px;</w:t>
      </w:r>
    </w:p>
    <w:p>
      <w:pPr>
        <w:shd w:fill="F5F5F5" w:val="clear"/>
        <w:spacing w:after="200"/>
      </w:pPr>
      <w:r>
        <w:rPr>
          <w:rFonts w:ascii="Consolas"/>
          <w:sz w:val="19"/>
          <w:szCs w:val="19"/>
        </w:rPr>
        <w:t xml:space="preserve">}</w:t>
      </w:r>
    </w:p>
    <w:p>
      <w:pPr>
        <w:spacing w:before="200"/>
      </w:pPr>
      <w:r>
        <w:rPr>
          <w:sz w:val="1"/>
          <w:szCs w:val="1"/>
        </w:rPr>
        <w:t xml:space="preserve"> 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Design Tokens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Design Tokens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2026-04-16T06:35:32.632Z</dcterms:created>
  <dcterms:modified xsi:type="dcterms:W3CDTF">2026-04-16T06:35:32.632Z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