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0"/>
        <w:jc w:val="center"/>
      </w:pPr>
      <w:r>
        <w:rPr>
          <w:rFonts w:ascii="Arial" w:cs="Arial" w:eastAsia="Arial" w:hAnsi="Arial"/>
          <w:b/>
          <w:bCs/>
          <w:caps/>
          <w:color w:val="126E82"/>
          <w:sz w:val="24"/>
          <w:szCs w:val="24"/>
        </w:rPr>
        <w:t xml:space="preserve">PROJECT DOCUMENTATION</w:t>
      </w:r>
    </w:p>
    <w:p>
      <w:pPr>
        <w:pBdr>
          <w:bottom w:val="single" w:color="126E82" w:sz="8" w:space="8"/>
        </w:pBdr>
        <w:spacing w:after="200" w:before="0"/>
        <w:jc w:val="center"/>
      </w:pPr>
      <w:r>
        <w:rPr>
          <w:rFonts w:ascii="Arial" w:cs="Arial" w:eastAsia="Arial" w:hAnsi="Arial"/>
          <w:b/>
          <w:bCs/>
          <w:color w:val="0A2342"/>
          <w:sz w:val="52"/>
          <w:szCs w:val="52"/>
        </w:rPr>
        <w:t xml:space="preserve">Groundwater Level Depletion Forecasting</w:t>
      </w:r>
    </w:p>
    <w:p>
      <w:pPr>
        <w:spacing w:after="80" w:before="160"/>
        <w:jc w:val="center"/>
      </w:pPr>
      <w:r>
        <w:rPr>
          <w:rFonts w:ascii="Arial" w:cs="Arial" w:eastAsia="Arial" w:hAnsi="Arial"/>
          <w:i/>
          <w:iCs/>
          <w:color w:val="3A8FAF"/>
          <w:sz w:val="26"/>
          <w:szCs w:val="26"/>
        </w:rPr>
        <w:t xml:space="preserve">AI-powered prediction &amp; risk classification for Western Uttar Pradesh</w:t>
      </w:r>
    </w:p>
    <w:p>
      <w:r>
        <w:t xml:space="preserve"/>
      </w:r>
    </w:p>
    <w:p>
      <w:r>
        <w:t xml:space="preserve"/>
      </w:r>
    </w:p>
    <w:p>
      <w:pPr>
        <w:spacing w:after="100" w:before="0"/>
        <w:jc w:val="center"/>
      </w:pPr>
      <w:r>
        <w:rPr>
          <w:rFonts w:ascii="Arial" w:cs="Arial" w:eastAsia="Arial" w:hAnsi="Arial"/>
          <w:b/>
          <w:bCs/>
          <w:color w:val="0A2342"/>
          <w:sz w:val="22"/>
          <w:szCs w:val="22"/>
        </w:rPr>
        <w:t xml:space="preserve">1M1B AI for Sustainability Virtual Internship</w:t>
      </w:r>
    </w:p>
    <w:p>
      <w:pPr>
        <w:spacing w:after="60" w:before="0"/>
        <w:jc w:val="center"/>
      </w:pPr>
      <w:r>
        <w:rPr>
          <w:rFonts w:ascii="Arial" w:cs="Arial" w:eastAsia="Arial" w:hAnsi="Arial"/>
          <w:color w:val="1A1A1A"/>
          <w:sz w:val="22"/>
          <w:szCs w:val="22"/>
        </w:rPr>
        <w:t xml:space="preserve">IBM SkillsBuild &amp; AICTE</w:t>
      </w:r>
    </w:p>
    <w:p>
      <w:r>
        <w:t xml:space="preserve"/>
      </w:r>
    </w:p>
    <w:p>
      <w:r>
        <w:t xml:space="preserve"/>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C8DCE0" w:sz="1"/>
              <w:left w:val="single" w:color="C8DCE0" w:sz="1"/>
              <w:bottom w:val="single" w:color="C8DCE0" w:sz="1"/>
              <w:right w:val="single" w:color="C8DCE0" w:sz="1"/>
            </w:tcBorders>
            <w:shd w:fill="D9E8EB" w:val="clear"/>
            <w:tcMar>
              <w:top w:type="dxa" w:w="100"/>
              <w:left w:type="dxa" w:w="150"/>
              <w:bottom w:type="dxa" w:w="100"/>
              <w:right w:type="dxa" w:w="150"/>
            </w:tcMar>
          </w:tcPr>
          <w:p>
            <w:r>
              <w:rPr>
                <w:rFonts w:ascii="Arial" w:cs="Arial" w:eastAsia="Arial" w:hAnsi="Arial"/>
                <w:b/>
                <w:bCs/>
                <w:color w:val="0A2342"/>
                <w:sz w:val="21"/>
                <w:szCs w:val="21"/>
              </w:rPr>
              <w:t xml:space="preserve">Student Name</w:t>
            </w:r>
          </w:p>
        </w:tc>
        <w:tc>
          <w:tcPr>
            <w:tcW w:type="dxa" w:w="6300"/>
            <w:tcBorders>
              <w:top w:val="single" w:color="C8DCE0" w:sz="1"/>
              <w:left w:val="single" w:color="C8DCE0" w:sz="1"/>
              <w:bottom w:val="single" w:color="C8DCE0" w:sz="1"/>
              <w:right w:val="single" w:color="C8DCE0" w:sz="1"/>
            </w:tcBorders>
            <w:tcMar>
              <w:top w:type="dxa" w:w="100"/>
              <w:left w:type="dxa" w:w="150"/>
              <w:bottom w:type="dxa" w:w="100"/>
              <w:right w:type="dxa" w:w="150"/>
            </w:tcMar>
          </w:tcPr>
          <w:p>
            <w:r>
              <w:rPr>
                <w:rFonts w:ascii="Arial" w:cs="Arial" w:eastAsia="Arial" w:hAnsi="Arial"/>
                <w:color w:val="1A1A1A"/>
                <w:sz w:val="21"/>
                <w:szCs w:val="21"/>
              </w:rPr>
              <w:t xml:space="preserve">Badal Kumar</w:t>
            </w:r>
          </w:p>
        </w:tc>
      </w:tr>
      <w:tr>
        <w:tc>
          <w:tcPr>
            <w:tcW w:type="dxa" w:w="3000"/>
            <w:tcBorders>
              <w:top w:val="single" w:color="C8DCE0" w:sz="1"/>
              <w:left w:val="single" w:color="C8DCE0" w:sz="1"/>
              <w:bottom w:val="single" w:color="C8DCE0" w:sz="1"/>
              <w:right w:val="single" w:color="C8DCE0" w:sz="1"/>
            </w:tcBorders>
            <w:shd w:fill="D9E8EB" w:val="clear"/>
            <w:tcMar>
              <w:top w:type="dxa" w:w="100"/>
              <w:left w:type="dxa" w:w="150"/>
              <w:bottom w:type="dxa" w:w="100"/>
              <w:right w:type="dxa" w:w="150"/>
            </w:tcMar>
          </w:tcPr>
          <w:p>
            <w:r>
              <w:rPr>
                <w:rFonts w:ascii="Arial" w:cs="Arial" w:eastAsia="Arial" w:hAnsi="Arial"/>
                <w:b/>
                <w:bCs/>
                <w:color w:val="0A2342"/>
                <w:sz w:val="21"/>
                <w:szCs w:val="21"/>
              </w:rPr>
              <w:t xml:space="preserve">University</w:t>
            </w:r>
          </w:p>
        </w:tc>
        <w:tc>
          <w:tcPr>
            <w:tcW w:type="dxa" w:w="6300"/>
            <w:tcBorders>
              <w:top w:val="single" w:color="C8DCE0" w:sz="1"/>
              <w:left w:val="single" w:color="C8DCE0" w:sz="1"/>
              <w:bottom w:val="single" w:color="C8DCE0" w:sz="1"/>
              <w:right w:val="single" w:color="C8DCE0" w:sz="1"/>
            </w:tcBorders>
            <w:tcMar>
              <w:top w:type="dxa" w:w="100"/>
              <w:left w:type="dxa" w:w="150"/>
              <w:bottom w:type="dxa" w:w="100"/>
              <w:right w:type="dxa" w:w="150"/>
            </w:tcMar>
          </w:tcPr>
          <w:p>
            <w:r>
              <w:rPr>
                <w:rFonts w:ascii="Arial" w:cs="Arial" w:eastAsia="Arial" w:hAnsi="Arial"/>
                <w:color w:val="1A1A1A"/>
                <w:sz w:val="21"/>
                <w:szCs w:val="21"/>
              </w:rPr>
              <w:t xml:space="preserve">Quantum University, Roorkee, Uttarakhand</w:t>
            </w:r>
          </w:p>
        </w:tc>
      </w:tr>
      <w:tr>
        <w:tc>
          <w:tcPr>
            <w:tcW w:type="dxa" w:w="3000"/>
            <w:tcBorders>
              <w:top w:val="single" w:color="C8DCE0" w:sz="1"/>
              <w:left w:val="single" w:color="C8DCE0" w:sz="1"/>
              <w:bottom w:val="single" w:color="C8DCE0" w:sz="1"/>
              <w:right w:val="single" w:color="C8DCE0" w:sz="1"/>
            </w:tcBorders>
            <w:shd w:fill="D9E8EB" w:val="clear"/>
            <w:tcMar>
              <w:top w:type="dxa" w:w="100"/>
              <w:left w:type="dxa" w:w="150"/>
              <w:bottom w:type="dxa" w:w="100"/>
              <w:right w:type="dxa" w:w="150"/>
            </w:tcMar>
          </w:tcPr>
          <w:p>
            <w:r>
              <w:rPr>
                <w:rFonts w:ascii="Arial" w:cs="Arial" w:eastAsia="Arial" w:hAnsi="Arial"/>
                <w:b/>
                <w:bCs/>
                <w:color w:val="0A2342"/>
                <w:sz w:val="21"/>
                <w:szCs w:val="21"/>
              </w:rPr>
              <w:t xml:space="preserve">Email</w:t>
            </w:r>
          </w:p>
        </w:tc>
        <w:tc>
          <w:tcPr>
            <w:tcW w:type="dxa" w:w="6300"/>
            <w:tcBorders>
              <w:top w:val="single" w:color="C8DCE0" w:sz="1"/>
              <w:left w:val="single" w:color="C8DCE0" w:sz="1"/>
              <w:bottom w:val="single" w:color="C8DCE0" w:sz="1"/>
              <w:right w:val="single" w:color="C8DCE0" w:sz="1"/>
            </w:tcBorders>
            <w:tcMar>
              <w:top w:type="dxa" w:w="100"/>
              <w:left w:type="dxa" w:w="150"/>
              <w:bottom w:type="dxa" w:w="100"/>
              <w:right w:type="dxa" w:w="150"/>
            </w:tcMar>
          </w:tcPr>
          <w:p>
            <w:r>
              <w:rPr>
                <w:rFonts w:ascii="Arial" w:cs="Arial" w:eastAsia="Arial" w:hAnsi="Arial"/>
                <w:color w:val="1A1A1A"/>
                <w:sz w:val="21"/>
                <w:szCs w:val="21"/>
              </w:rPr>
              <w:t xml:space="preserve">badalkumar88935@gmail.com</w:t>
            </w:r>
          </w:p>
        </w:tc>
      </w:tr>
      <w:tr>
        <w:tc>
          <w:tcPr>
            <w:tcW w:type="dxa" w:w="3000"/>
            <w:tcBorders>
              <w:top w:val="single" w:color="C8DCE0" w:sz="1"/>
              <w:left w:val="single" w:color="C8DCE0" w:sz="1"/>
              <w:bottom w:val="single" w:color="C8DCE0" w:sz="1"/>
              <w:right w:val="single" w:color="C8DCE0" w:sz="1"/>
            </w:tcBorders>
            <w:shd w:fill="D9E8EB" w:val="clear"/>
            <w:tcMar>
              <w:top w:type="dxa" w:w="100"/>
              <w:left w:type="dxa" w:w="150"/>
              <w:bottom w:type="dxa" w:w="100"/>
              <w:right w:type="dxa" w:w="150"/>
            </w:tcMar>
          </w:tcPr>
          <w:p>
            <w:r>
              <w:rPr>
                <w:rFonts w:ascii="Arial" w:cs="Arial" w:eastAsia="Arial" w:hAnsi="Arial"/>
                <w:b/>
                <w:bCs/>
                <w:color w:val="0A2342"/>
                <w:sz w:val="21"/>
                <w:szCs w:val="21"/>
              </w:rPr>
              <w:t xml:space="preserve">SDG Alignment</w:t>
            </w:r>
          </w:p>
        </w:tc>
        <w:tc>
          <w:tcPr>
            <w:tcW w:type="dxa" w:w="6300"/>
            <w:tcBorders>
              <w:top w:val="single" w:color="C8DCE0" w:sz="1"/>
              <w:left w:val="single" w:color="C8DCE0" w:sz="1"/>
              <w:bottom w:val="single" w:color="C8DCE0" w:sz="1"/>
              <w:right w:val="single" w:color="C8DCE0" w:sz="1"/>
            </w:tcBorders>
            <w:tcMar>
              <w:top w:type="dxa" w:w="100"/>
              <w:left w:type="dxa" w:w="150"/>
              <w:bottom w:type="dxa" w:w="100"/>
              <w:right w:type="dxa" w:w="150"/>
            </w:tcMar>
          </w:tcPr>
          <w:p>
            <w:r>
              <w:rPr>
                <w:rFonts w:ascii="Arial" w:cs="Arial" w:eastAsia="Arial" w:hAnsi="Arial"/>
                <w:color w:val="1A1A1A"/>
                <w:sz w:val="21"/>
                <w:szCs w:val="21"/>
              </w:rPr>
              <w:t xml:space="preserve">SDG 6 — Clean Water &amp; Sanitation  |  SDG 13 — Climate Action</w:t>
            </w:r>
          </w:p>
        </w:tc>
      </w:tr>
      <w:tr>
        <w:tc>
          <w:tcPr>
            <w:tcW w:type="dxa" w:w="3000"/>
            <w:tcBorders>
              <w:top w:val="single" w:color="C8DCE0" w:sz="1"/>
              <w:left w:val="single" w:color="C8DCE0" w:sz="1"/>
              <w:bottom w:val="single" w:color="C8DCE0" w:sz="1"/>
              <w:right w:val="single" w:color="C8DCE0" w:sz="1"/>
            </w:tcBorders>
            <w:shd w:fill="D9E8EB" w:val="clear"/>
            <w:tcMar>
              <w:top w:type="dxa" w:w="100"/>
              <w:left w:type="dxa" w:w="150"/>
              <w:bottom w:type="dxa" w:w="100"/>
              <w:right w:type="dxa" w:w="150"/>
            </w:tcMar>
          </w:tcPr>
          <w:p>
            <w:r>
              <w:rPr>
                <w:rFonts w:ascii="Arial" w:cs="Arial" w:eastAsia="Arial" w:hAnsi="Arial"/>
                <w:b/>
                <w:bCs/>
                <w:color w:val="0A2342"/>
                <w:sz w:val="21"/>
                <w:szCs w:val="21"/>
              </w:rPr>
              <w:t xml:space="preserve">Data Source</w:t>
            </w:r>
          </w:p>
        </w:tc>
        <w:tc>
          <w:tcPr>
            <w:tcW w:type="dxa" w:w="6300"/>
            <w:tcBorders>
              <w:top w:val="single" w:color="C8DCE0" w:sz="1"/>
              <w:left w:val="single" w:color="C8DCE0" w:sz="1"/>
              <w:bottom w:val="single" w:color="C8DCE0" w:sz="1"/>
              <w:right w:val="single" w:color="C8DCE0" w:sz="1"/>
            </w:tcBorders>
            <w:tcMar>
              <w:top w:type="dxa" w:w="100"/>
              <w:left w:type="dxa" w:w="150"/>
              <w:bottom w:type="dxa" w:w="100"/>
              <w:right w:type="dxa" w:w="150"/>
            </w:tcMar>
          </w:tcPr>
          <w:p>
            <w:r>
              <w:rPr>
                <w:rFonts w:ascii="Arial" w:cs="Arial" w:eastAsia="Arial" w:hAnsi="Arial"/>
                <w:color w:val="1A1A1A"/>
                <w:sz w:val="21"/>
                <w:szCs w:val="21"/>
              </w:rPr>
              <w:t xml:space="preserve">Central Ground Water Board (CGWB), 1996–2017</w:t>
            </w:r>
          </w:p>
        </w:tc>
      </w:tr>
      <w:tr>
        <w:tc>
          <w:tcPr>
            <w:tcW w:type="dxa" w:w="3000"/>
            <w:tcBorders>
              <w:top w:val="single" w:color="C8DCE0" w:sz="1"/>
              <w:left w:val="single" w:color="C8DCE0" w:sz="1"/>
              <w:bottom w:val="single" w:color="C8DCE0" w:sz="1"/>
              <w:right w:val="single" w:color="C8DCE0" w:sz="1"/>
            </w:tcBorders>
            <w:shd w:fill="D9E8EB" w:val="clear"/>
            <w:tcMar>
              <w:top w:type="dxa" w:w="100"/>
              <w:left w:type="dxa" w:w="150"/>
              <w:bottom w:type="dxa" w:w="100"/>
              <w:right w:type="dxa" w:w="150"/>
            </w:tcMar>
          </w:tcPr>
          <w:p>
            <w:r>
              <w:rPr>
                <w:rFonts w:ascii="Arial" w:cs="Arial" w:eastAsia="Arial" w:hAnsi="Arial"/>
                <w:b/>
                <w:bCs/>
                <w:color w:val="0A2342"/>
                <w:sz w:val="21"/>
                <w:szCs w:val="21"/>
              </w:rPr>
              <w:t xml:space="preserve">AI Technique</w:t>
            </w:r>
          </w:p>
        </w:tc>
        <w:tc>
          <w:tcPr>
            <w:tcW w:type="dxa" w:w="6300"/>
            <w:tcBorders>
              <w:top w:val="single" w:color="C8DCE0" w:sz="1"/>
              <w:left w:val="single" w:color="C8DCE0" w:sz="1"/>
              <w:bottom w:val="single" w:color="C8DCE0" w:sz="1"/>
              <w:right w:val="single" w:color="C8DCE0" w:sz="1"/>
            </w:tcBorders>
            <w:tcMar>
              <w:top w:type="dxa" w:w="100"/>
              <w:left w:type="dxa" w:w="150"/>
              <w:bottom w:type="dxa" w:w="100"/>
              <w:right w:type="dxa" w:w="150"/>
            </w:tcMar>
          </w:tcPr>
          <w:p>
            <w:r>
              <w:rPr>
                <w:rFonts w:ascii="Arial" w:cs="Arial" w:eastAsia="Arial" w:hAnsi="Arial"/>
                <w:color w:val="1A1A1A"/>
                <w:sz w:val="21"/>
                <w:szCs w:val="21"/>
              </w:rPr>
              <w:t xml:space="preserve">Random Forest (lag features) + Linear Trend Analysis</w:t>
            </w:r>
          </w:p>
        </w:tc>
      </w:tr>
      <w:tr>
        <w:tc>
          <w:tcPr>
            <w:tcW w:type="dxa" w:w="3000"/>
            <w:tcBorders>
              <w:top w:val="single" w:color="C8DCE0" w:sz="1"/>
              <w:left w:val="single" w:color="C8DCE0" w:sz="1"/>
              <w:bottom w:val="single" w:color="C8DCE0" w:sz="1"/>
              <w:right w:val="single" w:color="C8DCE0" w:sz="1"/>
            </w:tcBorders>
            <w:shd w:fill="D9E8EB" w:val="clear"/>
            <w:tcMar>
              <w:top w:type="dxa" w:w="100"/>
              <w:left w:type="dxa" w:w="150"/>
              <w:bottom w:type="dxa" w:w="100"/>
              <w:right w:type="dxa" w:w="150"/>
            </w:tcMar>
          </w:tcPr>
          <w:p>
            <w:r>
              <w:rPr>
                <w:rFonts w:ascii="Arial" w:cs="Arial" w:eastAsia="Arial" w:hAnsi="Arial"/>
                <w:b/>
                <w:bCs/>
                <w:color w:val="0A2342"/>
                <w:sz w:val="21"/>
                <w:szCs w:val="21"/>
              </w:rPr>
              <w:t xml:space="preserve">Study Area</w:t>
            </w:r>
          </w:p>
        </w:tc>
        <w:tc>
          <w:tcPr>
            <w:tcW w:type="dxa" w:w="6300"/>
            <w:tcBorders>
              <w:top w:val="single" w:color="C8DCE0" w:sz="1"/>
              <w:left w:val="single" w:color="C8DCE0" w:sz="1"/>
              <w:bottom w:val="single" w:color="C8DCE0" w:sz="1"/>
              <w:right w:val="single" w:color="C8DCE0" w:sz="1"/>
            </w:tcBorders>
            <w:tcMar>
              <w:top w:type="dxa" w:w="100"/>
              <w:left w:type="dxa" w:w="150"/>
              <w:bottom w:type="dxa" w:w="100"/>
              <w:right w:type="dxa" w:w="150"/>
            </w:tcMar>
          </w:tcPr>
          <w:p>
            <w:r>
              <w:rPr>
                <w:rFonts w:ascii="Arial" w:cs="Arial" w:eastAsia="Arial" w:hAnsi="Arial"/>
                <w:color w:val="1A1A1A"/>
                <w:sz w:val="21"/>
                <w:szCs w:val="21"/>
              </w:rPr>
              <w:t xml:space="preserve">Saharanpur, Muzaffarnagar, Meerut, Bijnor, Moradabad, Bareilly (UP)</w:t>
            </w:r>
          </w:p>
        </w:tc>
      </w:tr>
      <w:tr>
        <w:tc>
          <w:tcPr>
            <w:tcW w:type="dxa" w:w="3000"/>
            <w:tcBorders>
              <w:top w:val="single" w:color="C8DCE0" w:sz="1"/>
              <w:left w:val="single" w:color="C8DCE0" w:sz="1"/>
              <w:bottom w:val="single" w:color="C8DCE0" w:sz="1"/>
              <w:right w:val="single" w:color="C8DCE0" w:sz="1"/>
            </w:tcBorders>
            <w:shd w:fill="D9E8EB" w:val="clear"/>
            <w:tcMar>
              <w:top w:type="dxa" w:w="100"/>
              <w:left w:type="dxa" w:w="150"/>
              <w:bottom w:type="dxa" w:w="100"/>
              <w:right w:type="dxa" w:w="150"/>
            </w:tcMar>
          </w:tcPr>
          <w:p>
            <w:r>
              <w:rPr>
                <w:rFonts w:ascii="Arial" w:cs="Arial" w:eastAsia="Arial" w:hAnsi="Arial"/>
                <w:b/>
                <w:bCs/>
                <w:color w:val="0A2342"/>
                <w:sz w:val="21"/>
                <w:szCs w:val="21"/>
              </w:rPr>
              <w:t xml:space="preserve">Document Date</w:t>
            </w:r>
          </w:p>
        </w:tc>
        <w:tc>
          <w:tcPr>
            <w:tcW w:type="dxa" w:w="6300"/>
            <w:tcBorders>
              <w:top w:val="single" w:color="C8DCE0" w:sz="1"/>
              <w:left w:val="single" w:color="C8DCE0" w:sz="1"/>
              <w:bottom w:val="single" w:color="C8DCE0" w:sz="1"/>
              <w:right w:val="single" w:color="C8DCE0" w:sz="1"/>
            </w:tcBorders>
            <w:tcMar>
              <w:top w:type="dxa" w:w="100"/>
              <w:left w:type="dxa" w:w="150"/>
              <w:bottom w:type="dxa" w:w="100"/>
              <w:right w:type="dxa" w:w="150"/>
            </w:tcMar>
          </w:tcPr>
          <w:p>
            <w:r>
              <w:rPr>
                <w:rFonts w:ascii="Arial" w:cs="Arial" w:eastAsia="Arial" w:hAnsi="Arial"/>
                <w:color w:val="1A1A1A"/>
                <w:sz w:val="21"/>
                <w:szCs w:val="21"/>
              </w:rPr>
              <w:t xml:space="preserve">June 2026</w:t>
            </w:r>
          </w:p>
        </w:tc>
      </w:tr>
    </w:tbl>
    <w:p>
      <w:pPr>
        <w:pageBreakBefore/>
      </w:pPr>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1. Introduction</w:t>
      </w:r>
    </w:p>
    <w:p>
      <w:pPr>
        <w:pStyle w:val="Heading2"/>
        <w:spacing w:after="80" w:before="240"/>
      </w:pPr>
      <w:r>
        <w:rPr>
          <w:rFonts w:ascii="Arial" w:cs="Arial" w:eastAsia="Arial" w:hAnsi="Arial"/>
          <w:b/>
          <w:bCs/>
          <w:color w:val="126E82"/>
          <w:sz w:val="26"/>
          <w:szCs w:val="26"/>
        </w:rPr>
        <w:t xml:space="preserve">1.1 Background</w:t>
      </w:r>
    </w:p>
    <w:p>
      <w:pPr>
        <w:spacing w:after="80" w:before="60"/>
      </w:pPr>
      <w:r>
        <w:rPr>
          <w:rFonts w:ascii="Arial" w:cs="Arial" w:eastAsia="Arial" w:hAnsi="Arial"/>
          <w:color w:val="1A1A1A"/>
          <w:sz w:val="22"/>
          <w:szCs w:val="22"/>
        </w:rPr>
        <w:t xml:space="preserve">Groundwater is India's most critical water resource, supplying approximately 60% of all irrigation demand and over 85% of rural drinking water. India is the world's third-largest groundwater consumer, and several states — including Uttar Pradesh — have been classified as having critically over-exploited groundwater zones by the Central Ground Water Board (CGWB).</w:t>
      </w:r>
    </w:p>
    <w:p>
      <w:pPr>
        <w:spacing w:after="80" w:before="60"/>
      </w:pPr>
      <w:r>
        <w:rPr>
          <w:rFonts w:ascii="Arial" w:cs="Arial" w:eastAsia="Arial" w:hAnsi="Arial"/>
          <w:color w:val="1A1A1A"/>
          <w:sz w:val="22"/>
          <w:szCs w:val="22"/>
        </w:rPr>
        <w:t xml:space="preserve">Western Uttar Pradesh, encompassing districts like Saharanpur, Muzaffarnagar, Meerut, Bijnor, Moradabad, and Bareilly, has experienced significant groundwater depletion over the past two decades due to intensive agriculture, rapid urbanisation, and erratic monsoon recharge. Yet no accessible early-warning or forecasting tool exists at the district level for these communities.</w:t>
      </w:r>
    </w:p>
    <w:p>
      <w:pPr>
        <w:pStyle w:val="Heading2"/>
        <w:spacing w:after="80" w:before="240"/>
      </w:pPr>
      <w:r>
        <w:rPr>
          <w:rFonts w:ascii="Arial" w:cs="Arial" w:eastAsia="Arial" w:hAnsi="Arial"/>
          <w:b/>
          <w:bCs/>
          <w:color w:val="126E82"/>
          <w:sz w:val="26"/>
          <w:szCs w:val="26"/>
        </w:rPr>
        <w:t xml:space="preserve">1.2 Problem Statement</w:t>
      </w:r>
    </w:p>
    <w:p>
      <w:pPr>
        <w:spacing w:after="80" w:before="60"/>
      </w:pPr>
      <w:r>
        <w:rPr>
          <w:rFonts w:ascii="Arial" w:cs="Arial" w:eastAsia="Arial" w:hAnsi="Arial"/>
          <w:b/>
          <w:bCs/>
          <w:i/>
          <w:iCs/>
          <w:color w:val="0A2342"/>
          <w:sz w:val="22"/>
          <w:szCs w:val="22"/>
        </w:rPr>
        <w:t xml:space="preserve">How might we use AI to forecast groundwater depletion so that communities in Western Uttar Pradesh can plan water use more sustainably?</w:t>
      </w:r>
    </w:p>
    <w:p>
      <w:pPr>
        <w:spacing w:after="80" w:before="60"/>
      </w:pPr>
      <w:r>
        <w:rPr>
          <w:rFonts w:ascii="Arial" w:cs="Arial" w:eastAsia="Arial" w:hAnsi="Arial"/>
          <w:color w:val="1A1A1A"/>
          <w:sz w:val="22"/>
          <w:szCs w:val="22"/>
        </w:rPr>
        <w:t xml:space="preserve">This project addresses this question by building a machine-learning forecasting tool trained on two decades of real CGWB well-depth data, producing 3-year district-level predictions alongside interpretable risk classifications.</w:t>
      </w:r>
    </w:p>
    <w:p>
      <w:pPr>
        <w:pStyle w:val="Heading2"/>
        <w:spacing w:after="80" w:before="240"/>
      </w:pPr>
      <w:r>
        <w:rPr>
          <w:rFonts w:ascii="Arial" w:cs="Arial" w:eastAsia="Arial" w:hAnsi="Arial"/>
          <w:b/>
          <w:bCs/>
          <w:color w:val="126E82"/>
          <w:sz w:val="26"/>
          <w:szCs w:val="26"/>
        </w:rPr>
        <w:t xml:space="preserve">1.3 Objectives</w:t>
      </w:r>
    </w:p>
    <w:p>
      <w:pPr>
        <w:pStyle w:val="ListParagraph"/>
        <w:numPr>
          <w:ilvl w:val="0"/>
          <w:numId w:val="2"/>
        </w:numPr>
        <w:spacing w:after="40" w:before="40"/>
      </w:pPr>
      <w:r>
        <w:rPr>
          <w:rFonts w:ascii="Arial" w:cs="Arial" w:eastAsia="Arial" w:hAnsi="Arial"/>
          <w:color w:val="1A1A1A"/>
          <w:sz w:val="22"/>
          <w:szCs w:val="22"/>
        </w:rPr>
        <w:t xml:space="preserve">Analyse historical groundwater level trends (1996–2017) across 6 Western UP districts</w:t>
      </w:r>
    </w:p>
    <w:p>
      <w:pPr>
        <w:pStyle w:val="ListParagraph"/>
        <w:numPr>
          <w:ilvl w:val="0"/>
          <w:numId w:val="2"/>
        </w:numPr>
        <w:spacing w:after="40" w:before="40"/>
      </w:pPr>
      <w:r>
        <w:rPr>
          <w:rFonts w:ascii="Arial" w:cs="Arial" w:eastAsia="Arial" w:hAnsi="Arial"/>
          <w:color w:val="1A1A1A"/>
          <w:sz w:val="22"/>
          <w:szCs w:val="22"/>
        </w:rPr>
        <w:t xml:space="preserve">Build a Random Forest prediction model with lag features and seasonal indicators</w:t>
      </w:r>
    </w:p>
    <w:p>
      <w:pPr>
        <w:pStyle w:val="ListParagraph"/>
        <w:numPr>
          <w:ilvl w:val="0"/>
          <w:numId w:val="2"/>
        </w:numPr>
        <w:spacing w:after="40" w:before="40"/>
      </w:pPr>
      <w:r>
        <w:rPr>
          <w:rFonts w:ascii="Arial" w:cs="Arial" w:eastAsia="Arial" w:hAnsi="Arial"/>
          <w:color w:val="1A1A1A"/>
          <w:sz w:val="22"/>
          <w:szCs w:val="22"/>
        </w:rPr>
        <w:t xml:space="preserve">Produce a 3-year forecast of groundwater depth per district</w:t>
      </w:r>
    </w:p>
    <w:p>
      <w:pPr>
        <w:pStyle w:val="ListParagraph"/>
        <w:numPr>
          <w:ilvl w:val="0"/>
          <w:numId w:val="2"/>
        </w:numPr>
        <w:spacing w:after="40" w:before="40"/>
      </w:pPr>
      <w:r>
        <w:rPr>
          <w:rFonts w:ascii="Arial" w:cs="Arial" w:eastAsia="Arial" w:hAnsi="Arial"/>
          <w:color w:val="1A1A1A"/>
          <w:sz w:val="22"/>
          <w:szCs w:val="22"/>
        </w:rPr>
        <w:t xml:space="preserve">Classify each district's depletion risk as Low, Moderate, or High</w:t>
      </w:r>
    </w:p>
    <w:p>
      <w:pPr>
        <w:pStyle w:val="ListParagraph"/>
        <w:numPr>
          <w:ilvl w:val="0"/>
          <w:numId w:val="2"/>
        </w:numPr>
        <w:spacing w:after="40" w:before="40"/>
      </w:pPr>
      <w:r>
        <w:rPr>
          <w:rFonts w:ascii="Arial" w:cs="Arial" w:eastAsia="Arial" w:hAnsi="Arial"/>
          <w:color w:val="1A1A1A"/>
          <w:sz w:val="22"/>
          <w:szCs w:val="22"/>
        </w:rPr>
        <w:t xml:space="preserve">Deliver a self-contained offline web dashboard for visual exploration</w:t>
      </w:r>
    </w:p>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2. SDG Alignment</w:t>
      </w:r>
    </w:p>
    <w:p>
      <w:pPr>
        <w:spacing w:after="80" w:before="60"/>
      </w:pPr>
      <w:r>
        <w:rPr>
          <w:rFonts w:ascii="Arial" w:cs="Arial" w:eastAsia="Arial" w:hAnsi="Arial"/>
          <w:color w:val="1A1A1A"/>
          <w:sz w:val="22"/>
          <w:szCs w:val="22"/>
        </w:rPr>
        <w:t xml:space="preserve">This project directly contributes to two United Nations Sustainable Development Goals:</w:t>
      </w:r>
    </w:p>
    <w:p>
      <w:pPr>
        <w:pStyle w:val="Heading2"/>
        <w:spacing w:after="80" w:before="240"/>
      </w:pPr>
      <w:r>
        <w:rPr>
          <w:rFonts w:ascii="Arial" w:cs="Arial" w:eastAsia="Arial" w:hAnsi="Arial"/>
          <w:b/>
          <w:bCs/>
          <w:color w:val="126E82"/>
          <w:sz w:val="26"/>
          <w:szCs w:val="26"/>
        </w:rPr>
        <w:t xml:space="preserve">2.1 SDG 6 — Clean Water and Sanitation</w:t>
      </w:r>
    </w:p>
    <w:p>
      <w:pPr>
        <w:pStyle w:val="ListParagraph"/>
        <w:numPr>
          <w:ilvl w:val="0"/>
          <w:numId w:val="2"/>
        </w:numPr>
        <w:spacing w:after="40" w:before="40"/>
      </w:pPr>
      <w:r>
        <w:rPr>
          <w:rFonts w:ascii="Arial" w:cs="Arial" w:eastAsia="Arial" w:hAnsi="Arial"/>
          <w:color w:val="1A1A1A"/>
          <w:sz w:val="22"/>
          <w:szCs w:val="22"/>
        </w:rPr>
        <w:t xml:space="preserve">Forecasts groundwater depth trends to support sustainable water resource management</w:t>
      </w:r>
    </w:p>
    <w:p>
      <w:pPr>
        <w:pStyle w:val="ListParagraph"/>
        <w:numPr>
          <w:ilvl w:val="0"/>
          <w:numId w:val="2"/>
        </w:numPr>
        <w:spacing w:after="40" w:before="40"/>
      </w:pPr>
      <w:r>
        <w:rPr>
          <w:rFonts w:ascii="Arial" w:cs="Arial" w:eastAsia="Arial" w:hAnsi="Arial"/>
          <w:color w:val="1A1A1A"/>
          <w:sz w:val="22"/>
          <w:szCs w:val="22"/>
        </w:rPr>
        <w:t xml:space="preserve">Classifies depletion risk at the district level for informed extraction planning</w:t>
      </w:r>
    </w:p>
    <w:p>
      <w:pPr>
        <w:pStyle w:val="ListParagraph"/>
        <w:numPr>
          <w:ilvl w:val="0"/>
          <w:numId w:val="2"/>
        </w:numPr>
        <w:spacing w:after="40" w:before="40"/>
      </w:pPr>
      <w:r>
        <w:rPr>
          <w:rFonts w:ascii="Arial" w:cs="Arial" w:eastAsia="Arial" w:hAnsi="Arial"/>
          <w:color w:val="1A1A1A"/>
          <w:sz w:val="22"/>
          <w:szCs w:val="22"/>
        </w:rPr>
        <w:t xml:space="preserve">Provides a data-driven basis for groundwater conservation interventions</w:t>
      </w:r>
    </w:p>
    <w:p>
      <w:pPr>
        <w:pStyle w:val="ListParagraph"/>
        <w:numPr>
          <w:ilvl w:val="0"/>
          <w:numId w:val="2"/>
        </w:numPr>
        <w:spacing w:after="40" w:before="40"/>
      </w:pPr>
      <w:r>
        <w:rPr>
          <w:rFonts w:ascii="Arial" w:cs="Arial" w:eastAsia="Arial" w:hAnsi="Arial"/>
          <w:color w:val="1A1A1A"/>
          <w:sz w:val="22"/>
          <w:szCs w:val="22"/>
        </w:rPr>
        <w:t xml:space="preserve">Built entirely on 20+ years of verified public CGWB monitoring data</w:t>
      </w:r>
    </w:p>
    <w:p>
      <w:r>
        <w:t xml:space="preserve"/>
      </w:r>
    </w:p>
    <w:p>
      <w:pPr>
        <w:pStyle w:val="Heading2"/>
        <w:spacing w:after="80" w:before="240"/>
      </w:pPr>
      <w:r>
        <w:rPr>
          <w:rFonts w:ascii="Arial" w:cs="Arial" w:eastAsia="Arial" w:hAnsi="Arial"/>
          <w:b/>
          <w:bCs/>
          <w:color w:val="126E82"/>
          <w:sz w:val="26"/>
          <w:szCs w:val="26"/>
        </w:rPr>
        <w:t xml:space="preserve">2.2 SDG 13 — Climate Action</w:t>
      </w:r>
    </w:p>
    <w:p>
      <w:pPr>
        <w:pStyle w:val="ListParagraph"/>
        <w:numPr>
          <w:ilvl w:val="0"/>
          <w:numId w:val="2"/>
        </w:numPr>
        <w:spacing w:after="40" w:before="40"/>
      </w:pPr>
      <w:r>
        <w:rPr>
          <w:rFonts w:ascii="Arial" w:cs="Arial" w:eastAsia="Arial" w:hAnsi="Arial"/>
          <w:color w:val="1A1A1A"/>
          <w:sz w:val="22"/>
          <w:szCs w:val="22"/>
        </w:rPr>
        <w:t xml:space="preserve">Groundwater depletion is a direct and measurable indicator of climate stress</w:t>
      </w:r>
    </w:p>
    <w:p>
      <w:pPr>
        <w:pStyle w:val="ListParagraph"/>
        <w:numPr>
          <w:ilvl w:val="0"/>
          <w:numId w:val="2"/>
        </w:numPr>
        <w:spacing w:after="40" w:before="40"/>
      </w:pPr>
      <w:r>
        <w:rPr>
          <w:rFonts w:ascii="Arial" w:cs="Arial" w:eastAsia="Arial" w:hAnsi="Arial"/>
          <w:color w:val="1A1A1A"/>
          <w:sz w:val="22"/>
          <w:szCs w:val="22"/>
        </w:rPr>
        <w:t xml:space="preserve">Long-run trend analysis (linear slope in m/year) reveals climate-driven depletion patterns</w:t>
      </w:r>
    </w:p>
    <w:p>
      <w:pPr>
        <w:pStyle w:val="ListParagraph"/>
        <w:numPr>
          <w:ilvl w:val="0"/>
          <w:numId w:val="2"/>
        </w:numPr>
        <w:spacing w:after="40" w:before="40"/>
      </w:pPr>
      <w:r>
        <w:rPr>
          <w:rFonts w:ascii="Arial" w:cs="Arial" w:eastAsia="Arial" w:hAnsi="Arial"/>
          <w:color w:val="1A1A1A"/>
          <w:sz w:val="22"/>
          <w:szCs w:val="22"/>
        </w:rPr>
        <w:t xml:space="preserve">Enables data-driven climate adaptation by identifying at-risk regions early</w:t>
      </w:r>
    </w:p>
    <w:p>
      <w:pPr>
        <w:pStyle w:val="ListParagraph"/>
        <w:numPr>
          <w:ilvl w:val="0"/>
          <w:numId w:val="2"/>
        </w:numPr>
        <w:spacing w:after="40" w:before="40"/>
      </w:pPr>
      <w:r>
        <w:rPr>
          <w:rFonts w:ascii="Arial" w:cs="Arial" w:eastAsia="Arial" w:hAnsi="Arial"/>
          <w:color w:val="1A1A1A"/>
          <w:sz w:val="22"/>
          <w:szCs w:val="22"/>
        </w:rPr>
        <w:t xml:space="preserve">Demonstrates responsible use of AI as a tool for environmental monitoring</w:t>
      </w:r>
    </w:p>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3. Data Description</w:t>
      </w:r>
    </w:p>
    <w:p>
      <w:pPr>
        <w:pStyle w:val="Heading2"/>
        <w:spacing w:after="80" w:before="240"/>
      </w:pPr>
      <w:r>
        <w:rPr>
          <w:rFonts w:ascii="Arial" w:cs="Arial" w:eastAsia="Arial" w:hAnsi="Arial"/>
          <w:b/>
          <w:bCs/>
          <w:color w:val="126E82"/>
          <w:sz w:val="26"/>
          <w:szCs w:val="26"/>
        </w:rPr>
        <w:t xml:space="preserve">3.1 Source</w:t>
      </w:r>
    </w:p>
    <w:p>
      <w:pPr>
        <w:spacing w:after="80" w:before="60"/>
      </w:pPr>
      <w:r>
        <w:rPr>
          <w:rFonts w:ascii="Arial" w:cs="Arial" w:eastAsia="Arial" w:hAnsi="Arial"/>
          <w:color w:val="1A1A1A"/>
          <w:sz w:val="22"/>
          <w:szCs w:val="22"/>
        </w:rPr>
        <w:t xml:space="preserve">Data was obtained from the Central Ground Water Board (CGWB) open dataset, specifically the district-wise quarterly well-level monitoring records made available through the India-WRIS portal and the GitHub repository maintained by Craig D'Souza (github.com/craigdsouza/cgwb).</w:t>
      </w:r>
    </w:p>
    <w:p>
      <w:pPr>
        <w:pStyle w:val="Heading2"/>
        <w:spacing w:after="80" w:before="240"/>
      </w:pPr>
      <w:r>
        <w:rPr>
          <w:rFonts w:ascii="Arial" w:cs="Arial" w:eastAsia="Arial" w:hAnsi="Arial"/>
          <w:b/>
          <w:bCs/>
          <w:color w:val="126E82"/>
          <w:sz w:val="26"/>
          <w:szCs w:val="26"/>
        </w:rPr>
        <w:t xml:space="preserve">3.2 Dataset Overview</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Attribute</w:t>
            </w:r>
          </w:p>
        </w:tc>
        <w:tc>
          <w:tcPr>
            <w:tcW w:type="dxa" w:w="61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Detail</w:t>
            </w:r>
          </w:p>
        </w:tc>
      </w:tr>
      <w:tr>
        <w:tc>
          <w:tcPr>
            <w:tcW w:type="dxa" w:w="32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Coverage Period</w:t>
            </w:r>
          </w:p>
        </w:tc>
        <w:tc>
          <w:tcPr>
            <w:tcW w:type="dxa" w:w="61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1996 – 2017 (21 years)</w:t>
            </w:r>
          </w:p>
        </w:tc>
      </w:tr>
      <w:tr>
        <w:tc>
          <w:tcPr>
            <w:tcW w:type="dxa" w:w="32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Measurement Freq</w:t>
            </w:r>
          </w:p>
        </w:tc>
        <w:tc>
          <w:tcPr>
            <w:tcW w:type="dxa" w:w="61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Quarterly: Jan / May / Aug / Nov</w:t>
            </w:r>
          </w:p>
        </w:tc>
      </w:tr>
      <w:tr>
        <w:tc>
          <w:tcPr>
            <w:tcW w:type="dxa" w:w="32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Total Wells</w:t>
            </w:r>
          </w:p>
        </w:tc>
        <w:tc>
          <w:tcPr>
            <w:tcW w:type="dxa" w:w="61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~180 monitoring wells across 6 districts</w:t>
            </w:r>
          </w:p>
        </w:tc>
      </w:tr>
      <w:tr>
        <w:tc>
          <w:tcPr>
            <w:tcW w:type="dxa" w:w="32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Measurement Unit</w:t>
            </w:r>
          </w:p>
        </w:tc>
        <w:tc>
          <w:tcPr>
            <w:tcW w:type="dxa" w:w="61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Metres below ground level (mbgl)</w:t>
            </w:r>
          </w:p>
        </w:tc>
      </w:tr>
      <w:tr>
        <w:tc>
          <w:tcPr>
            <w:tcW w:type="dxa" w:w="32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Key Variable</w:t>
            </w:r>
          </w:p>
        </w:tc>
        <w:tc>
          <w:tcPr>
            <w:tcW w:type="dxa" w:w="61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Mean depth to water table per district per quarter</w:t>
            </w:r>
          </w:p>
        </w:tc>
      </w:tr>
      <w:tr>
        <w:tc>
          <w:tcPr>
            <w:tcW w:type="dxa" w:w="32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Spatial Scope</w:t>
            </w:r>
          </w:p>
        </w:tc>
        <w:tc>
          <w:tcPr>
            <w:tcW w:type="dxa" w:w="61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6 districts in Western Uttar Pradesh</w:t>
            </w:r>
          </w:p>
        </w:tc>
      </w:tr>
    </w:tbl>
    <w:p>
      <w:r>
        <w:t xml:space="preserve"/>
      </w:r>
    </w:p>
    <w:p>
      <w:pPr>
        <w:pStyle w:val="Heading2"/>
        <w:spacing w:after="80" w:before="240"/>
      </w:pPr>
      <w:r>
        <w:rPr>
          <w:rFonts w:ascii="Arial" w:cs="Arial" w:eastAsia="Arial" w:hAnsi="Arial"/>
          <w:b/>
          <w:bCs/>
          <w:color w:val="126E82"/>
          <w:sz w:val="26"/>
          <w:szCs w:val="26"/>
        </w:rPr>
        <w:t xml:space="preserve">3.3 District Coverage</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00"/>
      </w:tblGrid>
      <w:tr>
        <w:trPr>
          <w:tblHeader/>
        </w:trPr>
        <w:tc>
          <w:tcPr>
            <w:tcW w:type="dxa" w:w="22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District</w:t>
            </w:r>
          </w:p>
        </w:tc>
        <w:tc>
          <w:tcPr>
            <w:tcW w:type="dxa" w:w="18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No. of Wells</w:t>
            </w:r>
          </w:p>
        </w:tc>
        <w:tc>
          <w:tcPr>
            <w:tcW w:type="dxa" w:w="18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Data Points</w:t>
            </w:r>
          </w:p>
        </w:tc>
        <w:tc>
          <w:tcPr>
            <w:tcW w:type="dxa" w:w="35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Risk (Model Output)</w:t>
            </w:r>
          </w:p>
        </w:tc>
      </w:tr>
      <w:tr>
        <w:tc>
          <w:tcPr>
            <w:tcW w:type="dxa" w:w="22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Saharanpur</w:t>
            </w:r>
          </w:p>
        </w:tc>
        <w:tc>
          <w:tcPr>
            <w:tcW w:type="dxa" w:w="1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24</w:t>
            </w:r>
          </w:p>
        </w:tc>
        <w:tc>
          <w:tcPr>
            <w:tcW w:type="dxa" w:w="1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142</w:t>
            </w:r>
          </w:p>
        </w:tc>
        <w:tc>
          <w:tcPr>
            <w:tcW w:type="dxa" w:w="35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Low</w:t>
            </w:r>
          </w:p>
        </w:tc>
      </w:tr>
      <w:tr>
        <w:tc>
          <w:tcPr>
            <w:tcW w:type="dxa" w:w="22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Muzaffarnagar</w:t>
            </w:r>
          </w:p>
        </w:tc>
        <w:tc>
          <w:tcPr>
            <w:tcW w:type="dxa" w:w="18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34</w:t>
            </w:r>
          </w:p>
        </w:tc>
        <w:tc>
          <w:tcPr>
            <w:tcW w:type="dxa" w:w="18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142</w:t>
            </w:r>
          </w:p>
        </w:tc>
        <w:tc>
          <w:tcPr>
            <w:tcW w:type="dxa" w:w="35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Moderate</w:t>
            </w:r>
          </w:p>
        </w:tc>
      </w:tr>
      <w:tr>
        <w:tc>
          <w:tcPr>
            <w:tcW w:type="dxa" w:w="22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Meerut</w:t>
            </w:r>
          </w:p>
        </w:tc>
        <w:tc>
          <w:tcPr>
            <w:tcW w:type="dxa" w:w="1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27</w:t>
            </w:r>
          </w:p>
        </w:tc>
        <w:tc>
          <w:tcPr>
            <w:tcW w:type="dxa" w:w="1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142</w:t>
            </w:r>
          </w:p>
        </w:tc>
        <w:tc>
          <w:tcPr>
            <w:tcW w:type="dxa" w:w="35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Moderate</w:t>
            </w:r>
          </w:p>
        </w:tc>
      </w:tr>
      <w:tr>
        <w:tc>
          <w:tcPr>
            <w:tcW w:type="dxa" w:w="22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Bijnor</w:t>
            </w:r>
          </w:p>
        </w:tc>
        <w:tc>
          <w:tcPr>
            <w:tcW w:type="dxa" w:w="18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30</w:t>
            </w:r>
          </w:p>
        </w:tc>
        <w:tc>
          <w:tcPr>
            <w:tcW w:type="dxa" w:w="18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141</w:t>
            </w:r>
          </w:p>
        </w:tc>
        <w:tc>
          <w:tcPr>
            <w:tcW w:type="dxa" w:w="35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Low</w:t>
            </w:r>
          </w:p>
        </w:tc>
      </w:tr>
      <w:tr>
        <w:tc>
          <w:tcPr>
            <w:tcW w:type="dxa" w:w="22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Moradabad</w:t>
            </w:r>
          </w:p>
        </w:tc>
        <w:tc>
          <w:tcPr>
            <w:tcW w:type="dxa" w:w="1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31</w:t>
            </w:r>
          </w:p>
        </w:tc>
        <w:tc>
          <w:tcPr>
            <w:tcW w:type="dxa" w:w="1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143</w:t>
            </w:r>
          </w:p>
        </w:tc>
        <w:tc>
          <w:tcPr>
            <w:tcW w:type="dxa" w:w="35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Moderate</w:t>
            </w:r>
          </w:p>
        </w:tc>
      </w:tr>
      <w:tr>
        <w:tc>
          <w:tcPr>
            <w:tcW w:type="dxa" w:w="22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Bareilly</w:t>
            </w:r>
          </w:p>
        </w:tc>
        <w:tc>
          <w:tcPr>
            <w:tcW w:type="dxa" w:w="18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32</w:t>
            </w:r>
          </w:p>
        </w:tc>
        <w:tc>
          <w:tcPr>
            <w:tcW w:type="dxa" w:w="18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145</w:t>
            </w:r>
          </w:p>
        </w:tc>
        <w:tc>
          <w:tcPr>
            <w:tcW w:type="dxa" w:w="35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Low</w:t>
            </w:r>
          </w:p>
        </w:tc>
      </w:tr>
    </w:tbl>
    <w:p>
      <w:r>
        <w:t xml:space="preserve"/>
      </w:r>
    </w:p>
    <w:p>
      <w:pPr>
        <w:pStyle w:val="Heading2"/>
        <w:spacing w:after="80" w:before="240"/>
      </w:pPr>
      <w:r>
        <w:rPr>
          <w:rFonts w:ascii="Arial" w:cs="Arial" w:eastAsia="Arial" w:hAnsi="Arial"/>
          <w:b/>
          <w:bCs/>
          <w:color w:val="126E82"/>
          <w:sz w:val="26"/>
          <w:szCs w:val="26"/>
        </w:rPr>
        <w:t xml:space="preserve">3.4 Data Cleaning</w:t>
      </w:r>
    </w:p>
    <w:p>
      <w:pPr>
        <w:pStyle w:val="ListParagraph"/>
        <w:numPr>
          <w:ilvl w:val="0"/>
          <w:numId w:val="2"/>
        </w:numPr>
        <w:spacing w:after="40" w:before="40"/>
      </w:pPr>
      <w:r>
        <w:rPr>
          <w:rFonts w:ascii="Arial" w:cs="Arial" w:eastAsia="Arial" w:hAnsi="Arial"/>
          <w:color w:val="1A1A1A"/>
          <w:sz w:val="22"/>
          <w:szCs w:val="22"/>
        </w:rPr>
        <w:t xml:space="preserve">Raw data arrived in wide format (one row per well, one column per quarterly period)</w:t>
      </w:r>
    </w:p>
    <w:p>
      <w:pPr>
        <w:pStyle w:val="ListParagraph"/>
        <w:numPr>
          <w:ilvl w:val="0"/>
          <w:numId w:val="2"/>
        </w:numPr>
        <w:spacing w:after="40" w:before="40"/>
      </w:pPr>
      <w:r>
        <w:rPr>
          <w:rFonts w:ascii="Arial" w:cs="Arial" w:eastAsia="Arial" w:hAnsi="Arial"/>
          <w:color w:val="1A1A1A"/>
          <w:sz w:val="22"/>
          <w:szCs w:val="22"/>
        </w:rPr>
        <w:t xml:space="preserve">Wells were filtered to the 6 target districts and melted to long format</w:t>
      </w:r>
    </w:p>
    <w:p>
      <w:pPr>
        <w:pStyle w:val="ListParagraph"/>
        <w:numPr>
          <w:ilvl w:val="0"/>
          <w:numId w:val="2"/>
        </w:numPr>
        <w:spacing w:after="40" w:before="40"/>
      </w:pPr>
      <w:r>
        <w:rPr>
          <w:rFonts w:ascii="Arial" w:cs="Arial" w:eastAsia="Arial" w:hAnsi="Arial"/>
          <w:color w:val="1A1A1A"/>
          <w:sz w:val="22"/>
          <w:szCs w:val="22"/>
        </w:rPr>
        <w:t xml:space="preserve">District-level mean depth computed per quarter across all active wells</w:t>
      </w:r>
    </w:p>
    <w:p>
      <w:pPr>
        <w:pStyle w:val="ListParagraph"/>
        <w:numPr>
          <w:ilvl w:val="0"/>
          <w:numId w:val="2"/>
        </w:numPr>
        <w:spacing w:after="40" w:before="40"/>
      </w:pPr>
      <w:r>
        <w:rPr>
          <w:rFonts w:ascii="Arial" w:cs="Arial" w:eastAsia="Arial" w:hAnsi="Arial"/>
          <w:color w:val="1A1A1A"/>
          <w:sz w:val="22"/>
          <w:szCs w:val="22"/>
        </w:rPr>
        <w:t xml:space="preserve">Small gaps (≤2 consecutive missing quarters) filled by linear interpolation</w:t>
      </w:r>
    </w:p>
    <w:p>
      <w:pPr>
        <w:pStyle w:val="ListParagraph"/>
        <w:numPr>
          <w:ilvl w:val="0"/>
          <w:numId w:val="2"/>
        </w:numPr>
        <w:spacing w:after="40" w:before="40"/>
      </w:pPr>
      <w:r>
        <w:rPr>
          <w:rFonts w:ascii="Arial" w:cs="Arial" w:eastAsia="Arial" w:hAnsi="Arial"/>
          <w:color w:val="1A1A1A"/>
          <w:sz w:val="22"/>
          <w:szCs w:val="22"/>
        </w:rPr>
        <w:t xml:space="preserve">Final output: 855 district-quarter rows across 6 districts</w:t>
      </w:r>
    </w:p>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4. Methodology</w:t>
      </w:r>
    </w:p>
    <w:p>
      <w:pPr>
        <w:pStyle w:val="Heading2"/>
        <w:spacing w:after="80" w:before="240"/>
      </w:pPr>
      <w:r>
        <w:rPr>
          <w:rFonts w:ascii="Arial" w:cs="Arial" w:eastAsia="Arial" w:hAnsi="Arial"/>
          <w:b/>
          <w:bCs/>
          <w:color w:val="126E82"/>
          <w:sz w:val="26"/>
          <w:szCs w:val="26"/>
        </w:rPr>
        <w:t xml:space="preserve">4.1 Pipeline Overview</w:t>
      </w:r>
    </w:p>
    <w:p>
      <w:pPr>
        <w:spacing w:after="80" w:before="60"/>
      </w:pPr>
      <w:r>
        <w:rPr>
          <w:rFonts w:ascii="Arial" w:cs="Arial" w:eastAsia="Arial" w:hAnsi="Arial"/>
          <w:color w:val="1A1A1A"/>
          <w:sz w:val="22"/>
          <w:szCs w:val="22"/>
        </w:rPr>
        <w:t xml:space="preserve">The project follows a 5-step machine-learning pipeline:</w:t>
      </w:r>
    </w:p>
    <w:p>
      <w:pPr>
        <w:pStyle w:val="ListParagraph"/>
        <w:numPr>
          <w:ilvl w:val="0"/>
          <w:numId w:val="2"/>
        </w:numPr>
        <w:spacing w:after="40" w:before="40"/>
      </w:pPr>
      <w:r>
        <w:rPr>
          <w:rFonts w:ascii="Arial" w:cs="Arial" w:eastAsia="Arial" w:hAnsi="Arial"/>
          <w:color w:val="1A1A1A"/>
          <w:sz w:val="22"/>
          <w:szCs w:val="22"/>
        </w:rPr>
        <w:t xml:space="preserve">Step 01 — Data Collection: Raw CGWB CSV download and district filtering</w:t>
      </w:r>
    </w:p>
    <w:p>
      <w:pPr>
        <w:pStyle w:val="ListParagraph"/>
        <w:numPr>
          <w:ilvl w:val="0"/>
          <w:numId w:val="2"/>
        </w:numPr>
        <w:spacing w:after="40" w:before="40"/>
      </w:pPr>
      <w:r>
        <w:rPr>
          <w:rFonts w:ascii="Arial" w:cs="Arial" w:eastAsia="Arial" w:hAnsi="Arial"/>
          <w:color w:val="1A1A1A"/>
          <w:sz w:val="22"/>
          <w:szCs w:val="22"/>
        </w:rPr>
        <w:t xml:space="preserve">Step 02 — Data Cleaning: Aggregation to district-level quarterly means, interpolation</w:t>
      </w:r>
    </w:p>
    <w:p>
      <w:pPr>
        <w:pStyle w:val="ListParagraph"/>
        <w:numPr>
          <w:ilvl w:val="0"/>
          <w:numId w:val="2"/>
        </w:numPr>
        <w:spacing w:after="40" w:before="40"/>
      </w:pPr>
      <w:r>
        <w:rPr>
          <w:rFonts w:ascii="Arial" w:cs="Arial" w:eastAsia="Arial" w:hAnsi="Arial"/>
          <w:color w:val="1A1A1A"/>
          <w:sz w:val="22"/>
          <w:szCs w:val="22"/>
        </w:rPr>
        <w:t xml:space="preserve">Step 03 — Feature Engineering: Lag variables + seasonal quarter index</w:t>
      </w:r>
    </w:p>
    <w:p>
      <w:pPr>
        <w:pStyle w:val="ListParagraph"/>
        <w:numPr>
          <w:ilvl w:val="0"/>
          <w:numId w:val="2"/>
        </w:numPr>
        <w:spacing w:after="40" w:before="40"/>
      </w:pPr>
      <w:r>
        <w:rPr>
          <w:rFonts w:ascii="Arial" w:cs="Arial" w:eastAsia="Arial" w:hAnsi="Arial"/>
          <w:color w:val="1A1A1A"/>
          <w:sz w:val="22"/>
          <w:szCs w:val="22"/>
        </w:rPr>
        <w:t xml:space="preserve">Step 04 — Model Training: Random Forest Regressor (primary) + Linear Regression (baseline)</w:t>
      </w:r>
    </w:p>
    <w:p>
      <w:pPr>
        <w:pStyle w:val="ListParagraph"/>
        <w:numPr>
          <w:ilvl w:val="0"/>
          <w:numId w:val="2"/>
        </w:numPr>
        <w:spacing w:after="40" w:before="40"/>
      </w:pPr>
      <w:r>
        <w:rPr>
          <w:rFonts w:ascii="Arial" w:cs="Arial" w:eastAsia="Arial" w:hAnsi="Arial"/>
          <w:color w:val="1A1A1A"/>
          <w:sz w:val="22"/>
          <w:szCs w:val="22"/>
        </w:rPr>
        <w:t xml:space="preserve">Step 05 — Risk Classification: Slope-based threshold labelling</w:t>
      </w:r>
    </w:p>
    <w:p>
      <w:r>
        <w:t xml:space="preserve"/>
      </w:r>
    </w:p>
    <w:p>
      <w:pPr>
        <w:pStyle w:val="Heading2"/>
        <w:spacing w:after="80" w:before="240"/>
      </w:pPr>
      <w:r>
        <w:rPr>
          <w:rFonts w:ascii="Arial" w:cs="Arial" w:eastAsia="Arial" w:hAnsi="Arial"/>
          <w:b/>
          <w:bCs/>
          <w:color w:val="126E82"/>
          <w:sz w:val="26"/>
          <w:szCs w:val="26"/>
        </w:rPr>
        <w:t xml:space="preserve">4.2 Feature Engineering</w:t>
      </w:r>
    </w:p>
    <w:p>
      <w:pPr>
        <w:spacing w:after="80" w:before="60"/>
      </w:pPr>
      <w:r>
        <w:rPr>
          <w:rFonts w:ascii="Arial" w:cs="Arial" w:eastAsia="Arial" w:hAnsi="Arial"/>
          <w:color w:val="1A1A1A"/>
          <w:sz w:val="22"/>
          <w:szCs w:val="22"/>
        </w:rPr>
        <w:t xml:space="preserve">The core insight is that groundwater depth follows seasonal and trend patterns that can be captured by the depth values in recent quarters. We created:</w:t>
      </w:r>
    </w:p>
    <w:p>
      <w:pPr>
        <w:pStyle w:val="ListParagraph"/>
        <w:numPr>
          <w:ilvl w:val="0"/>
          <w:numId w:val="2"/>
        </w:numPr>
        <w:spacing w:after="40" w:before="40"/>
      </w:pPr>
      <w:r>
        <w:rPr>
          <w:rFonts w:ascii="Arial" w:cs="Arial" w:eastAsia="Arial" w:hAnsi="Arial"/>
          <w:color w:val="1A1A1A"/>
          <w:sz w:val="22"/>
          <w:szCs w:val="22"/>
        </w:rPr>
        <w:t xml:space="preserve">lag_1 through lag_4: depth values from the previous 1–4 quarters</w:t>
      </w:r>
    </w:p>
    <w:p>
      <w:pPr>
        <w:pStyle w:val="ListParagraph"/>
        <w:numPr>
          <w:ilvl w:val="0"/>
          <w:numId w:val="2"/>
        </w:numPr>
        <w:spacing w:after="40" w:before="40"/>
      </w:pPr>
      <w:r>
        <w:rPr>
          <w:rFonts w:ascii="Arial" w:cs="Arial" w:eastAsia="Arial" w:hAnsi="Arial"/>
          <w:color w:val="1A1A1A"/>
          <w:sz w:val="22"/>
          <w:szCs w:val="22"/>
        </w:rPr>
        <w:t xml:space="preserve">quarter_of_year: the seasonal quarter (1–4) to capture monsoon/pre-monsoon variation</w:t>
      </w:r>
    </w:p>
    <w:p>
      <w:pPr>
        <w:spacing w:after="80" w:before="60"/>
      </w:pPr>
      <w:r>
        <w:rPr>
          <w:rFonts w:ascii="Arial" w:cs="Arial" w:eastAsia="Arial" w:hAnsi="Arial"/>
          <w:color w:val="1A1A1A"/>
          <w:sz w:val="22"/>
          <w:szCs w:val="22"/>
        </w:rPr>
        <w:t xml:space="preserve">These 5 features make the model interpretable and directly relevant to the physical process — groundwater in the next season is predicted from the recent past plus seasonality.</w:t>
      </w:r>
    </w:p>
    <w:p>
      <w:pPr>
        <w:pStyle w:val="Heading2"/>
        <w:spacing w:after="80" w:before="240"/>
      </w:pPr>
      <w:r>
        <w:rPr>
          <w:rFonts w:ascii="Arial" w:cs="Arial" w:eastAsia="Arial" w:hAnsi="Arial"/>
          <w:b/>
          <w:bCs/>
          <w:color w:val="126E82"/>
          <w:sz w:val="26"/>
          <w:szCs w:val="26"/>
        </w:rPr>
        <w:t xml:space="preserve">4.3 Models</w:t>
      </w:r>
    </w:p>
    <w:p>
      <w:pPr>
        <w:pStyle w:val="Heading3"/>
        <w:spacing w:after="60" w:before="160"/>
      </w:pPr>
      <w:r>
        <w:rPr>
          <w:rFonts w:ascii="Arial" w:cs="Arial" w:eastAsia="Arial" w:hAnsi="Arial"/>
          <w:b/>
          <w:bCs/>
          <w:color w:val="3A8FAF"/>
          <w:sz w:val="24"/>
          <w:szCs w:val="24"/>
        </w:rPr>
        <w:t xml:space="preserve">4.3.1 Random Forest Regressor (Primary Model)</w:t>
      </w:r>
    </w:p>
    <w:p>
      <w:pPr>
        <w:pStyle w:val="ListParagraph"/>
        <w:numPr>
          <w:ilvl w:val="0"/>
          <w:numId w:val="2"/>
        </w:numPr>
        <w:spacing w:after="40" w:before="40"/>
      </w:pPr>
      <w:r>
        <w:rPr>
          <w:rFonts w:ascii="Arial" w:cs="Arial" w:eastAsia="Arial" w:hAnsi="Arial"/>
          <w:color w:val="1A1A1A"/>
          <w:sz w:val="22"/>
          <w:szCs w:val="22"/>
        </w:rPr>
        <w:t xml:space="preserve">300 decision trees, max depth 5, random state 42</w:t>
      </w:r>
    </w:p>
    <w:p>
      <w:pPr>
        <w:pStyle w:val="ListParagraph"/>
        <w:numPr>
          <w:ilvl w:val="0"/>
          <w:numId w:val="2"/>
        </w:numPr>
        <w:spacing w:after="40" w:before="40"/>
      </w:pPr>
      <w:r>
        <w:rPr>
          <w:rFonts w:ascii="Arial" w:cs="Arial" w:eastAsia="Arial" w:hAnsi="Arial"/>
          <w:color w:val="1A1A1A"/>
          <w:sz w:val="22"/>
          <w:szCs w:val="22"/>
        </w:rPr>
        <w:t xml:space="preserve">Trained on lag features and quarter-of-year index</w:t>
      </w:r>
    </w:p>
    <w:p>
      <w:pPr>
        <w:pStyle w:val="ListParagraph"/>
        <w:numPr>
          <w:ilvl w:val="0"/>
          <w:numId w:val="2"/>
        </w:numPr>
        <w:spacing w:after="40" w:before="40"/>
      </w:pPr>
      <w:r>
        <w:rPr>
          <w:rFonts w:ascii="Arial" w:cs="Arial" w:eastAsia="Arial" w:hAnsi="Arial"/>
          <w:color w:val="1A1A1A"/>
          <w:sz w:val="22"/>
          <w:szCs w:val="22"/>
        </w:rPr>
        <w:t xml:space="preserve">Recursive forward forecast: predicted value at t+1 fed back as lag input for t+2</w:t>
      </w:r>
    </w:p>
    <w:p>
      <w:pPr>
        <w:pStyle w:val="ListParagraph"/>
        <w:numPr>
          <w:ilvl w:val="0"/>
          <w:numId w:val="2"/>
        </w:numPr>
        <w:spacing w:after="40" w:before="40"/>
      </w:pPr>
      <w:r>
        <w:rPr>
          <w:rFonts w:ascii="Arial" w:cs="Arial" w:eastAsia="Arial" w:hAnsi="Arial"/>
          <w:color w:val="1A1A1A"/>
          <w:sz w:val="22"/>
          <w:szCs w:val="22"/>
        </w:rPr>
        <w:t xml:space="preserve">12 quarters (3 years) forecasted forward from January 2017</w:t>
      </w:r>
    </w:p>
    <w:p>
      <w:pPr>
        <w:pStyle w:val="ListParagraph"/>
        <w:numPr>
          <w:ilvl w:val="0"/>
          <w:numId w:val="2"/>
        </w:numPr>
        <w:spacing w:after="40" w:before="40"/>
      </w:pPr>
      <w:r>
        <w:rPr>
          <w:rFonts w:ascii="Arial" w:cs="Arial" w:eastAsia="Arial" w:hAnsi="Arial"/>
          <w:color w:val="1A1A1A"/>
          <w:sz w:val="22"/>
          <w:szCs w:val="22"/>
        </w:rPr>
        <w:t xml:space="preserve">Validated via holdout test (last 8 quarters withheld, ~2 years)</w:t>
      </w:r>
    </w:p>
    <w:p>
      <w:r>
        <w:t xml:space="preserve"/>
      </w:r>
    </w:p>
    <w:p>
      <w:pPr>
        <w:pStyle w:val="Heading3"/>
        <w:spacing w:after="60" w:before="160"/>
      </w:pPr>
      <w:r>
        <w:rPr>
          <w:rFonts w:ascii="Arial" w:cs="Arial" w:eastAsia="Arial" w:hAnsi="Arial"/>
          <w:b/>
          <w:bCs/>
          <w:color w:val="3A8FAF"/>
          <w:sz w:val="24"/>
          <w:szCs w:val="24"/>
        </w:rPr>
        <w:t xml:space="preserve">4.3.2 Linear Trend Analysis (Interpretable Baseline)</w:t>
      </w:r>
    </w:p>
    <w:p>
      <w:pPr>
        <w:pStyle w:val="ListParagraph"/>
        <w:numPr>
          <w:ilvl w:val="0"/>
          <w:numId w:val="2"/>
        </w:numPr>
        <w:spacing w:after="40" w:before="40"/>
      </w:pPr>
      <w:r>
        <w:rPr>
          <w:rFonts w:ascii="Arial" w:cs="Arial" w:eastAsia="Arial" w:hAnsi="Arial"/>
          <w:color w:val="1A1A1A"/>
          <w:sz w:val="22"/>
          <w:szCs w:val="22"/>
        </w:rPr>
        <w:t xml:space="preserve">Simple Ordinary Least Squares regression: depth ~ time index</w:t>
      </w:r>
    </w:p>
    <w:p>
      <w:pPr>
        <w:pStyle w:val="ListParagraph"/>
        <w:numPr>
          <w:ilvl w:val="0"/>
          <w:numId w:val="2"/>
        </w:numPr>
        <w:spacing w:after="40" w:before="40"/>
      </w:pPr>
      <w:r>
        <w:rPr>
          <w:rFonts w:ascii="Arial" w:cs="Arial" w:eastAsia="Arial" w:hAnsi="Arial"/>
          <w:color w:val="1A1A1A"/>
          <w:sz w:val="22"/>
          <w:szCs w:val="22"/>
        </w:rPr>
        <w:t xml:space="preserve">Slope (m/quarter) converted to m/year by multiplying by 4</w:t>
      </w:r>
    </w:p>
    <w:p>
      <w:pPr>
        <w:pStyle w:val="ListParagraph"/>
        <w:numPr>
          <w:ilvl w:val="0"/>
          <w:numId w:val="2"/>
        </w:numPr>
        <w:spacing w:after="40" w:before="40"/>
      </w:pPr>
      <w:r>
        <w:rPr>
          <w:rFonts w:ascii="Arial" w:cs="Arial" w:eastAsia="Arial" w:hAnsi="Arial"/>
          <w:color w:val="1A1A1A"/>
          <w:sz w:val="22"/>
          <w:szCs w:val="22"/>
        </w:rPr>
        <w:t xml:space="preserve">Positive slope = water table declining (deeper)</w:t>
      </w:r>
    </w:p>
    <w:p>
      <w:pPr>
        <w:pStyle w:val="ListParagraph"/>
        <w:numPr>
          <w:ilvl w:val="0"/>
          <w:numId w:val="2"/>
        </w:numPr>
        <w:spacing w:after="40" w:before="40"/>
      </w:pPr>
      <w:r>
        <w:rPr>
          <w:rFonts w:ascii="Arial" w:cs="Arial" w:eastAsia="Arial" w:hAnsi="Arial"/>
          <w:color w:val="1A1A1A"/>
          <w:sz w:val="22"/>
          <w:szCs w:val="22"/>
        </w:rPr>
        <w:t xml:space="preserve">Used as the basis for risk level classification due to its interpretability</w:t>
      </w:r>
    </w:p>
    <w:p>
      <w:r>
        <w:t xml:space="preserve"/>
      </w:r>
    </w:p>
    <w:p>
      <w:pPr>
        <w:pStyle w:val="Heading2"/>
        <w:spacing w:after="80" w:before="240"/>
      </w:pPr>
      <w:r>
        <w:rPr>
          <w:rFonts w:ascii="Arial" w:cs="Arial" w:eastAsia="Arial" w:hAnsi="Arial"/>
          <w:b/>
          <w:bCs/>
          <w:color w:val="126E82"/>
          <w:sz w:val="26"/>
          <w:szCs w:val="26"/>
        </w:rPr>
        <w:t xml:space="preserve">4.4 Risk Classification Thresholds</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00"/>
      </w:tblGrid>
      <w:tr>
        <w:trPr>
          <w:tblHeader/>
        </w:trPr>
        <w:tc>
          <w:tcPr>
            <w:tcW w:type="dxa" w:w="18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Risk Level</w:t>
            </w:r>
          </w:p>
        </w:tc>
        <w:tc>
          <w:tcPr>
            <w:tcW w:type="dxa" w:w="28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Linear Slope Criterion</w:t>
            </w:r>
          </w:p>
        </w:tc>
        <w:tc>
          <w:tcPr>
            <w:tcW w:type="dxa" w:w="47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Interpretation</w:t>
            </w:r>
          </w:p>
        </w:tc>
      </w:tr>
      <w:tr>
        <w:tc>
          <w:tcPr>
            <w:tcW w:type="dxa" w:w="1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High</w:t>
            </w:r>
          </w:p>
        </w:tc>
        <w:tc>
          <w:tcPr>
            <w:tcW w:type="dxa" w:w="2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 0.30 m/year</w:t>
            </w:r>
          </w:p>
        </w:tc>
        <w:tc>
          <w:tcPr>
            <w:tcW w:type="dxa" w:w="47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Rapid, sustained depletion — urgent intervention needed</w:t>
            </w:r>
          </w:p>
        </w:tc>
      </w:tr>
      <w:tr>
        <w:tc>
          <w:tcPr>
            <w:tcW w:type="dxa" w:w="18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Moderate</w:t>
            </w:r>
          </w:p>
        </w:tc>
        <w:tc>
          <w:tcPr>
            <w:tcW w:type="dxa" w:w="28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0.10 – 0.29 m/year</w:t>
            </w:r>
          </w:p>
        </w:tc>
        <w:tc>
          <w:tcPr>
            <w:tcW w:type="dxa" w:w="47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Gradual depletion — monitoring and conservation planning required</w:t>
            </w:r>
          </w:p>
        </w:tc>
      </w:tr>
      <w:tr>
        <w:tc>
          <w:tcPr>
            <w:tcW w:type="dxa" w:w="1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Low</w:t>
            </w:r>
          </w:p>
        </w:tc>
        <w:tc>
          <w:tcPr>
            <w:tcW w:type="dxa" w:w="28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&lt; 0.10 m/year</w:t>
            </w:r>
          </w:p>
        </w:tc>
        <w:tc>
          <w:tcPr>
            <w:tcW w:type="dxa" w:w="47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Stable or near-stable water table — continue monitoring</w:t>
            </w:r>
          </w:p>
        </w:tc>
      </w:tr>
    </w:tbl>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5. Results</w:t>
      </w:r>
    </w:p>
    <w:p>
      <w:pPr>
        <w:pStyle w:val="Heading2"/>
        <w:spacing w:after="80" w:before="240"/>
      </w:pPr>
      <w:r>
        <w:rPr>
          <w:rFonts w:ascii="Arial" w:cs="Arial" w:eastAsia="Arial" w:hAnsi="Arial"/>
          <w:b/>
          <w:bCs/>
          <w:color w:val="126E82"/>
          <w:sz w:val="26"/>
          <w:szCs w:val="26"/>
        </w:rPr>
        <w:t xml:space="preserve">5.1 Model Performance (Holdout MAE)</w:t>
      </w:r>
    </w:p>
    <w:p>
      <w:pPr>
        <w:spacing w:after="80" w:before="60"/>
      </w:pPr>
      <w:r>
        <w:rPr>
          <w:rFonts w:ascii="Arial" w:cs="Arial" w:eastAsia="Arial" w:hAnsi="Arial"/>
          <w:color w:val="1A1A1A"/>
          <w:sz w:val="22"/>
          <w:szCs w:val="22"/>
        </w:rPr>
        <w:t xml:space="preserve">Each model was evaluated by withholding the last 8 quarters (approximately 2 years) from training and computing Mean Absolute Error (MAE) on those held-out values:</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1900"/>
        <w:gridCol w:w="2300"/>
      </w:tblGrid>
      <w:tr>
        <w:trPr>
          <w:tblHeader/>
        </w:trPr>
        <w:tc>
          <w:tcPr>
            <w:tcW w:type="dxa" w:w="20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District</w:t>
            </w:r>
          </w:p>
        </w:tc>
        <w:tc>
          <w:tcPr>
            <w:tcW w:type="dxa" w:w="16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Trend (m/yr)</w:t>
            </w:r>
          </w:p>
        </w:tc>
        <w:tc>
          <w:tcPr>
            <w:tcW w:type="dxa" w:w="15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Risk Level</w:t>
            </w:r>
          </w:p>
        </w:tc>
        <w:tc>
          <w:tcPr>
            <w:tcW w:type="dxa" w:w="19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Holdout MAE (m)</w:t>
            </w:r>
          </w:p>
        </w:tc>
        <w:tc>
          <w:tcPr>
            <w:tcW w:type="dxa" w:w="23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Last Observed Depth (m)</w:t>
            </w:r>
          </w:p>
        </w:tc>
      </w:tr>
      <w:tr>
        <w:tc>
          <w:tcPr>
            <w:tcW w:type="dxa" w:w="20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Saharanpur</w:t>
            </w:r>
          </w:p>
        </w:tc>
        <w:tc>
          <w:tcPr>
            <w:tcW w:type="dxa" w:w="16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+0.002</w:t>
            </w:r>
          </w:p>
        </w:tc>
        <w:tc>
          <w:tcPr>
            <w:tcW w:type="dxa" w:w="15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Low</w:t>
            </w:r>
          </w:p>
        </w:tc>
        <w:tc>
          <w:tcPr>
            <w:tcW w:type="dxa" w:w="19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0.544 m</w:t>
            </w:r>
          </w:p>
        </w:tc>
        <w:tc>
          <w:tcPr>
            <w:tcW w:type="dxa" w:w="23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10.16 m</w:t>
            </w:r>
          </w:p>
        </w:tc>
      </w:tr>
      <w:tr>
        <w:tc>
          <w:tcPr>
            <w:tcW w:type="dxa" w:w="20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Muzaffarnagar</w:t>
            </w:r>
          </w:p>
        </w:tc>
        <w:tc>
          <w:tcPr>
            <w:tcW w:type="dxa" w:w="16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+0.216</w:t>
            </w:r>
          </w:p>
        </w:tc>
        <w:tc>
          <w:tcPr>
            <w:tcW w:type="dxa" w:w="15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Moderate</w:t>
            </w:r>
          </w:p>
        </w:tc>
        <w:tc>
          <w:tcPr>
            <w:tcW w:type="dxa" w:w="19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1.887 m</w:t>
            </w:r>
          </w:p>
        </w:tc>
        <w:tc>
          <w:tcPr>
            <w:tcW w:type="dxa" w:w="23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13.20 m</w:t>
            </w:r>
          </w:p>
        </w:tc>
      </w:tr>
      <w:tr>
        <w:tc>
          <w:tcPr>
            <w:tcW w:type="dxa" w:w="20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Meerut</w:t>
            </w:r>
          </w:p>
        </w:tc>
        <w:tc>
          <w:tcPr>
            <w:tcW w:type="dxa" w:w="16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+0.125</w:t>
            </w:r>
          </w:p>
        </w:tc>
        <w:tc>
          <w:tcPr>
            <w:tcW w:type="dxa" w:w="15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Moderate</w:t>
            </w:r>
          </w:p>
        </w:tc>
        <w:tc>
          <w:tcPr>
            <w:tcW w:type="dxa" w:w="19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0.590 m</w:t>
            </w:r>
          </w:p>
        </w:tc>
        <w:tc>
          <w:tcPr>
            <w:tcW w:type="dxa" w:w="23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9.62 m</w:t>
            </w:r>
          </w:p>
        </w:tc>
      </w:tr>
      <w:tr>
        <w:tc>
          <w:tcPr>
            <w:tcW w:type="dxa" w:w="20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Bijnor</w:t>
            </w:r>
          </w:p>
        </w:tc>
        <w:tc>
          <w:tcPr>
            <w:tcW w:type="dxa" w:w="16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+0.058</w:t>
            </w:r>
          </w:p>
        </w:tc>
        <w:tc>
          <w:tcPr>
            <w:tcW w:type="dxa" w:w="15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Low</w:t>
            </w:r>
          </w:p>
        </w:tc>
        <w:tc>
          <w:tcPr>
            <w:tcW w:type="dxa" w:w="19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0.771 m</w:t>
            </w:r>
          </w:p>
        </w:tc>
        <w:tc>
          <w:tcPr>
            <w:tcW w:type="dxa" w:w="23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8.97 m</w:t>
            </w:r>
          </w:p>
        </w:tc>
      </w:tr>
      <w:tr>
        <w:tc>
          <w:tcPr>
            <w:tcW w:type="dxa" w:w="20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Moradabad</w:t>
            </w:r>
          </w:p>
        </w:tc>
        <w:tc>
          <w:tcPr>
            <w:tcW w:type="dxa" w:w="16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+0.134</w:t>
            </w:r>
          </w:p>
        </w:tc>
        <w:tc>
          <w:tcPr>
            <w:tcW w:type="dxa" w:w="15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Moderate</w:t>
            </w:r>
          </w:p>
        </w:tc>
        <w:tc>
          <w:tcPr>
            <w:tcW w:type="dxa" w:w="19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2.721 m</w:t>
            </w:r>
          </w:p>
        </w:tc>
        <w:tc>
          <w:tcPr>
            <w:tcW w:type="dxa" w:w="23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10.44 m</w:t>
            </w:r>
          </w:p>
        </w:tc>
      </w:tr>
      <w:tr>
        <w:tc>
          <w:tcPr>
            <w:tcW w:type="dxa" w:w="20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Bareilly</w:t>
            </w:r>
          </w:p>
        </w:tc>
        <w:tc>
          <w:tcPr>
            <w:tcW w:type="dxa" w:w="16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+0.025</w:t>
            </w:r>
          </w:p>
        </w:tc>
        <w:tc>
          <w:tcPr>
            <w:tcW w:type="dxa" w:w="15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Low</w:t>
            </w:r>
          </w:p>
        </w:tc>
        <w:tc>
          <w:tcPr>
            <w:tcW w:type="dxa" w:w="19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0.368 m</w:t>
            </w:r>
          </w:p>
        </w:tc>
        <w:tc>
          <w:tcPr>
            <w:tcW w:type="dxa" w:w="23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6.50 m</w:t>
            </w:r>
          </w:p>
        </w:tc>
      </w:tr>
    </w:tbl>
    <w:p>
      <w:r>
        <w:t xml:space="preserve"/>
      </w:r>
    </w:p>
    <w:p>
      <w:pPr>
        <w:pStyle w:val="Heading2"/>
        <w:spacing w:after="80" w:before="240"/>
      </w:pPr>
      <w:r>
        <w:rPr>
          <w:rFonts w:ascii="Arial" w:cs="Arial" w:eastAsia="Arial" w:hAnsi="Arial"/>
          <w:b/>
          <w:bCs/>
          <w:color w:val="126E82"/>
          <w:sz w:val="26"/>
          <w:szCs w:val="26"/>
        </w:rPr>
        <w:t xml:space="preserve">5.2 Key Findings</w:t>
      </w:r>
    </w:p>
    <w:p>
      <w:pPr>
        <w:pStyle w:val="ListParagraph"/>
        <w:numPr>
          <w:ilvl w:val="0"/>
          <w:numId w:val="2"/>
        </w:numPr>
        <w:spacing w:after="40" w:before="40"/>
      </w:pPr>
      <w:r>
        <w:rPr>
          <w:rFonts w:ascii="Arial" w:cs="Arial" w:eastAsia="Arial" w:hAnsi="Arial"/>
          <w:color w:val="1A1A1A"/>
          <w:sz w:val="22"/>
          <w:szCs w:val="22"/>
        </w:rPr>
        <w:t xml:space="preserve">Muzaffarnagar shows the steepest long-run depletion at +0.216 m/year, the highest among all 6 districts</w:t>
      </w:r>
    </w:p>
    <w:p>
      <w:pPr>
        <w:pStyle w:val="ListParagraph"/>
        <w:numPr>
          <w:ilvl w:val="0"/>
          <w:numId w:val="2"/>
        </w:numPr>
        <w:spacing w:after="40" w:before="40"/>
      </w:pPr>
      <w:r>
        <w:rPr>
          <w:rFonts w:ascii="Arial" w:cs="Arial" w:eastAsia="Arial" w:hAnsi="Arial"/>
          <w:color w:val="1A1A1A"/>
          <w:sz w:val="22"/>
          <w:szCs w:val="22"/>
        </w:rPr>
        <w:t xml:space="preserve">Saharanpur is effectively stable at +0.002 m/year — nearly zero net change over 21 years</w:t>
      </w:r>
    </w:p>
    <w:p>
      <w:pPr>
        <w:pStyle w:val="ListParagraph"/>
        <w:numPr>
          <w:ilvl w:val="0"/>
          <w:numId w:val="2"/>
        </w:numPr>
        <w:spacing w:after="40" w:before="40"/>
      </w:pPr>
      <w:r>
        <w:rPr>
          <w:rFonts w:ascii="Arial" w:cs="Arial" w:eastAsia="Arial" w:hAnsi="Arial"/>
          <w:color w:val="1A1A1A"/>
          <w:sz w:val="22"/>
          <w:szCs w:val="22"/>
        </w:rPr>
        <w:t xml:space="preserve">Meerut and Moradabad are in the Moderate range, both declining at about 0.13 m/year</w:t>
      </w:r>
    </w:p>
    <w:p>
      <w:pPr>
        <w:pStyle w:val="ListParagraph"/>
        <w:numPr>
          <w:ilvl w:val="0"/>
          <w:numId w:val="2"/>
        </w:numPr>
        <w:spacing w:after="40" w:before="40"/>
      </w:pPr>
      <w:r>
        <w:rPr>
          <w:rFonts w:ascii="Arial" w:cs="Arial" w:eastAsia="Arial" w:hAnsi="Arial"/>
          <w:color w:val="1A1A1A"/>
          <w:sz w:val="22"/>
          <w:szCs w:val="22"/>
        </w:rPr>
        <w:t xml:space="preserve">Bareilly has the shallowest water table (6.50 m) and the lowest depletion rate (0.025 m/yr)</w:t>
      </w:r>
    </w:p>
    <w:p>
      <w:pPr>
        <w:pStyle w:val="ListParagraph"/>
        <w:numPr>
          <w:ilvl w:val="0"/>
          <w:numId w:val="2"/>
        </w:numPr>
        <w:spacing w:after="40" w:before="40"/>
      </w:pPr>
      <w:r>
        <w:rPr>
          <w:rFonts w:ascii="Arial" w:cs="Arial" w:eastAsia="Arial" w:hAnsi="Arial"/>
          <w:color w:val="1A1A1A"/>
          <w:sz w:val="22"/>
          <w:szCs w:val="22"/>
        </w:rPr>
        <w:t xml:space="preserve">All districts show clear seasonal oscillation (deeper in summer, shallower post-monsoon)</w:t>
      </w:r>
    </w:p>
    <w:p>
      <w:pPr>
        <w:pStyle w:val="ListParagraph"/>
        <w:numPr>
          <w:ilvl w:val="0"/>
          <w:numId w:val="2"/>
        </w:numPr>
        <w:spacing w:after="40" w:before="40"/>
      </w:pPr>
      <w:r>
        <w:rPr>
          <w:rFonts w:ascii="Arial" w:cs="Arial" w:eastAsia="Arial" w:hAnsi="Arial"/>
          <w:color w:val="1A1A1A"/>
          <w:sz w:val="22"/>
          <w:szCs w:val="22"/>
        </w:rPr>
        <w:t xml:space="preserve">3 out of 6 districts classified as Moderate risk — warranting attention at policy level</w:t>
      </w:r>
    </w:p>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6. Prototype — Groundwater Watch Dashboard</w:t>
      </w:r>
    </w:p>
    <w:p>
      <w:pPr>
        <w:pStyle w:val="Heading2"/>
        <w:spacing w:after="80" w:before="240"/>
      </w:pPr>
      <w:r>
        <w:rPr>
          <w:rFonts w:ascii="Arial" w:cs="Arial" w:eastAsia="Arial" w:hAnsi="Arial"/>
          <w:b/>
          <w:bCs/>
          <w:color w:val="126E82"/>
          <w:sz w:val="26"/>
          <w:szCs w:val="26"/>
        </w:rPr>
        <w:t xml:space="preserve">6.1 Overview</w:t>
      </w:r>
    </w:p>
    <w:p>
      <w:pPr>
        <w:spacing w:after="80" w:before="60"/>
      </w:pPr>
      <w:r>
        <w:rPr>
          <w:rFonts w:ascii="Arial" w:cs="Arial" w:eastAsia="Arial" w:hAnsi="Arial"/>
          <w:color w:val="1A1A1A"/>
          <w:sz w:val="22"/>
          <w:szCs w:val="22"/>
        </w:rPr>
        <w:t xml:space="preserve">The project deliverable is a self-contained single-file HTML dashboard (groundwater_watch.html) that requires no internet connection, no server, and no installation. It opens directly in any modern browser by double-clicking the file.</w:t>
      </w:r>
    </w:p>
    <w:p>
      <w:pPr>
        <w:pStyle w:val="Heading2"/>
        <w:spacing w:after="80" w:before="240"/>
      </w:pPr>
      <w:r>
        <w:rPr>
          <w:rFonts w:ascii="Arial" w:cs="Arial" w:eastAsia="Arial" w:hAnsi="Arial"/>
          <w:b/>
          <w:bCs/>
          <w:color w:val="126E82"/>
          <w:sz w:val="26"/>
          <w:szCs w:val="26"/>
        </w:rPr>
        <w:t xml:space="preserve">6.2 Features</w:t>
      </w:r>
    </w:p>
    <w:p>
      <w:pPr>
        <w:pStyle w:val="ListParagraph"/>
        <w:numPr>
          <w:ilvl w:val="0"/>
          <w:numId w:val="2"/>
        </w:numPr>
        <w:spacing w:after="40" w:before="40"/>
      </w:pPr>
      <w:r>
        <w:rPr>
          <w:rFonts w:ascii="Arial" w:cs="Arial" w:eastAsia="Arial" w:hAnsi="Arial"/>
          <w:color w:val="1A1A1A"/>
          <w:sz w:val="22"/>
          <w:szCs w:val="22"/>
        </w:rPr>
        <w:t xml:space="preserve">District Selector: Switch between all 6 districts with one click</w:t>
      </w:r>
    </w:p>
    <w:p>
      <w:pPr>
        <w:pStyle w:val="ListParagraph"/>
        <w:numPr>
          <w:ilvl w:val="0"/>
          <w:numId w:val="2"/>
        </w:numPr>
        <w:spacing w:after="40" w:before="40"/>
      </w:pPr>
      <w:r>
        <w:rPr>
          <w:rFonts w:ascii="Arial" w:cs="Arial" w:eastAsia="Arial" w:hAnsi="Arial"/>
          <w:color w:val="1A1A1A"/>
          <w:sz w:val="22"/>
          <w:szCs w:val="22"/>
        </w:rPr>
        <w:t xml:space="preserve">Borehole Cross-section Visual: Animated graphic showing current water table depth in metres below ground level — designed to be intuitive for non-technical users such as farmers or local officials</w:t>
      </w:r>
    </w:p>
    <w:p>
      <w:pPr>
        <w:pStyle w:val="ListParagraph"/>
        <w:numPr>
          <w:ilvl w:val="0"/>
          <w:numId w:val="2"/>
        </w:numPr>
        <w:spacing w:after="40" w:before="40"/>
      </w:pPr>
      <w:r>
        <w:rPr>
          <w:rFonts w:ascii="Arial" w:cs="Arial" w:eastAsia="Arial" w:hAnsi="Arial"/>
          <w:color w:val="1A1A1A"/>
          <w:sz w:val="22"/>
          <w:szCs w:val="22"/>
        </w:rPr>
        <w:t xml:space="preserve">Risk Badge: Colour-coded Low / Moderate / High badge derived from the linear trend slope</w:t>
      </w:r>
    </w:p>
    <w:p>
      <w:pPr>
        <w:pStyle w:val="ListParagraph"/>
        <w:numPr>
          <w:ilvl w:val="0"/>
          <w:numId w:val="2"/>
        </w:numPr>
        <w:spacing w:after="40" w:before="40"/>
      </w:pPr>
      <w:r>
        <w:rPr>
          <w:rFonts w:ascii="Arial" w:cs="Arial" w:eastAsia="Arial" w:hAnsi="Arial"/>
          <w:color w:val="1A1A1A"/>
          <w:sz w:val="22"/>
          <w:szCs w:val="22"/>
        </w:rPr>
        <w:t xml:space="preserve">Trend Indicator: Shows the computed depletion rate in m/year</w:t>
      </w:r>
    </w:p>
    <w:p>
      <w:pPr>
        <w:pStyle w:val="ListParagraph"/>
        <w:numPr>
          <w:ilvl w:val="0"/>
          <w:numId w:val="2"/>
        </w:numPr>
        <w:spacing w:after="40" w:before="40"/>
      </w:pPr>
      <w:r>
        <w:rPr>
          <w:rFonts w:ascii="Arial" w:cs="Arial" w:eastAsia="Arial" w:hAnsi="Arial"/>
          <w:color w:val="1A1A1A"/>
          <w:sz w:val="22"/>
          <w:szCs w:val="22"/>
        </w:rPr>
        <w:t xml:space="preserve">Monitoring Wells Count: Displays number of CGWB wells used for that district</w:t>
      </w:r>
    </w:p>
    <w:p>
      <w:pPr>
        <w:pStyle w:val="ListParagraph"/>
        <w:numPr>
          <w:ilvl w:val="0"/>
          <w:numId w:val="2"/>
        </w:numPr>
        <w:spacing w:after="40" w:before="40"/>
      </w:pPr>
      <w:r>
        <w:rPr>
          <w:rFonts w:ascii="Arial" w:cs="Arial" w:eastAsia="Arial" w:hAnsi="Arial"/>
          <w:color w:val="1A1A1A"/>
          <w:sz w:val="22"/>
          <w:szCs w:val="22"/>
        </w:rPr>
        <w:t xml:space="preserve">Historical Trend Chart: Interactive Chart.js line chart of 20-year quarterly depth time series (1996–2017)</w:t>
      </w:r>
    </w:p>
    <w:p>
      <w:pPr>
        <w:pStyle w:val="ListParagraph"/>
        <w:numPr>
          <w:ilvl w:val="0"/>
          <w:numId w:val="2"/>
        </w:numPr>
        <w:spacing w:after="40" w:before="40"/>
      </w:pPr>
      <w:r>
        <w:rPr>
          <w:rFonts w:ascii="Arial" w:cs="Arial" w:eastAsia="Arial" w:hAnsi="Arial"/>
          <w:color w:val="1A1A1A"/>
          <w:sz w:val="22"/>
          <w:szCs w:val="22"/>
        </w:rPr>
        <w:t xml:space="preserve">3-Year Forecast Line: Dashed line extending from 2017 to 2020 representing the Random Forest recursive forecast</w:t>
      </w:r>
    </w:p>
    <w:p>
      <w:pPr>
        <w:pStyle w:val="ListParagraph"/>
        <w:numPr>
          <w:ilvl w:val="0"/>
          <w:numId w:val="2"/>
        </w:numPr>
        <w:spacing w:after="40" w:before="40"/>
      </w:pPr>
      <w:r>
        <w:rPr>
          <w:rFonts w:ascii="Arial" w:cs="Arial" w:eastAsia="Arial" w:hAnsi="Arial"/>
          <w:color w:val="1A1A1A"/>
          <w:sz w:val="22"/>
          <w:szCs w:val="22"/>
        </w:rPr>
        <w:t xml:space="preserve">Offline &amp; Portable: All data (855 historical data points + forecasts) are embedded as JSON in the HTML file</w:t>
      </w:r>
    </w:p>
    <w:p>
      <w:pPr>
        <w:pStyle w:val="Heading2"/>
        <w:spacing w:after="80" w:before="240"/>
      </w:pPr>
      <w:r>
        <w:rPr>
          <w:rFonts w:ascii="Arial" w:cs="Arial" w:eastAsia="Arial" w:hAnsi="Arial"/>
          <w:b/>
          <w:bCs/>
          <w:color w:val="126E82"/>
          <w:sz w:val="26"/>
          <w:szCs w:val="26"/>
        </w:rPr>
        <w:t xml:space="preserve">6.3 Technology Stack</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Component</w:t>
            </w:r>
          </w:p>
        </w:tc>
        <w:tc>
          <w:tcPr>
            <w:tcW w:type="dxa" w:w="63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Technology</w:t>
            </w:r>
          </w:p>
        </w:tc>
      </w:tr>
      <w:tr>
        <w:tc>
          <w:tcPr>
            <w:tcW w:type="dxa" w:w="30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Frontend</w:t>
            </w:r>
          </w:p>
        </w:tc>
        <w:tc>
          <w:tcPr>
            <w:tcW w:type="dxa" w:w="63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HTML5, CSS3, Vanilla JavaScript</w:t>
            </w:r>
          </w:p>
        </w:tc>
      </w:tr>
      <w:tr>
        <w:tc>
          <w:tcPr>
            <w:tcW w:type="dxa" w:w="30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Charts</w:t>
            </w:r>
          </w:p>
        </w:tc>
        <w:tc>
          <w:tcPr>
            <w:tcW w:type="dxa" w:w="63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Chart.js 4.4.1 (CDN)</w:t>
            </w:r>
          </w:p>
        </w:tc>
      </w:tr>
      <w:tr>
        <w:tc>
          <w:tcPr>
            <w:tcW w:type="dxa" w:w="30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Fonts</w:t>
            </w:r>
          </w:p>
        </w:tc>
        <w:tc>
          <w:tcPr>
            <w:tcW w:type="dxa" w:w="63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IBM Plex Sans, IBM Plex Mono, Spectral (Google Fonts)</w:t>
            </w:r>
          </w:p>
        </w:tc>
      </w:tr>
      <w:tr>
        <w:tc>
          <w:tcPr>
            <w:tcW w:type="dxa" w:w="30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Data Format</w:t>
            </w:r>
          </w:p>
        </w:tc>
        <w:tc>
          <w:tcPr>
            <w:tcW w:type="dxa" w:w="63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Embedded JSON (35KB compact)</w:t>
            </w:r>
          </w:p>
        </w:tc>
      </w:tr>
      <w:tr>
        <w:tc>
          <w:tcPr>
            <w:tcW w:type="dxa" w:w="30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ML Pipeline</w:t>
            </w:r>
          </w:p>
        </w:tc>
        <w:tc>
          <w:tcPr>
            <w:tcW w:type="dxa" w:w="63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Python 3.12, scikit-learn 1.x, pandas, numpy</w:t>
            </w:r>
          </w:p>
        </w:tc>
      </w:tr>
      <w:tr>
        <w:tc>
          <w:tcPr>
            <w:tcW w:type="dxa" w:w="30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Model</w:t>
            </w:r>
          </w:p>
        </w:tc>
        <w:tc>
          <w:tcPr>
            <w:tcW w:type="dxa" w:w="63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RandomForestRegressor (sklearn), LinearRegression (sklearn)</w:t>
            </w:r>
          </w:p>
        </w:tc>
      </w:tr>
      <w:tr>
        <w:tc>
          <w:tcPr>
            <w:tcW w:type="dxa" w:w="30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No. of Files</w:t>
            </w:r>
          </w:p>
        </w:tc>
        <w:tc>
          <w:tcPr>
            <w:tcW w:type="dxa" w:w="63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1 HTML file (self-contained)</w:t>
            </w:r>
          </w:p>
        </w:tc>
      </w:tr>
    </w:tbl>
    <w:p>
      <w:r>
        <w:t xml:space="preserve"/>
      </w:r>
    </w:p>
    <w:p>
      <w:pPr>
        <w:pStyle w:val="Heading2"/>
        <w:spacing w:after="80" w:before="240"/>
      </w:pPr>
      <w:r>
        <w:rPr>
          <w:rFonts w:ascii="Arial" w:cs="Arial" w:eastAsia="Arial" w:hAnsi="Arial"/>
          <w:b/>
          <w:bCs/>
          <w:color w:val="126E82"/>
          <w:sz w:val="26"/>
          <w:szCs w:val="26"/>
        </w:rPr>
        <w:t xml:space="preserve">6.4 How to Run</w:t>
      </w:r>
    </w:p>
    <w:p>
      <w:pPr>
        <w:pStyle w:val="ListParagraph"/>
        <w:numPr>
          <w:ilvl w:val="0"/>
          <w:numId w:val="2"/>
        </w:numPr>
        <w:spacing w:after="40" w:before="40"/>
      </w:pPr>
      <w:r>
        <w:rPr>
          <w:rFonts w:ascii="Arial" w:cs="Arial" w:eastAsia="Arial" w:hAnsi="Arial"/>
          <w:color w:val="1A1A1A"/>
          <w:sz w:val="22"/>
          <w:szCs w:val="22"/>
        </w:rPr>
        <w:t xml:space="preserve">Download groundwater_watch.html to any folder on your computer</w:t>
      </w:r>
    </w:p>
    <w:p>
      <w:pPr>
        <w:pStyle w:val="ListParagraph"/>
        <w:numPr>
          <w:ilvl w:val="0"/>
          <w:numId w:val="2"/>
        </w:numPr>
        <w:spacing w:after="40" w:before="40"/>
      </w:pPr>
      <w:r>
        <w:rPr>
          <w:rFonts w:ascii="Arial" w:cs="Arial" w:eastAsia="Arial" w:hAnsi="Arial"/>
          <w:color w:val="1A1A1A"/>
          <w:sz w:val="22"/>
          <w:szCs w:val="22"/>
        </w:rPr>
        <w:t xml:space="preserve">Double-click the file — it opens in Chrome, Firefox, Edge, or any modern browser</w:t>
      </w:r>
    </w:p>
    <w:p>
      <w:pPr>
        <w:pStyle w:val="ListParagraph"/>
        <w:numPr>
          <w:ilvl w:val="0"/>
          <w:numId w:val="2"/>
        </w:numPr>
        <w:spacing w:after="40" w:before="40"/>
      </w:pPr>
      <w:r>
        <w:rPr>
          <w:rFonts w:ascii="Arial" w:cs="Arial" w:eastAsia="Arial" w:hAnsi="Arial"/>
          <w:color w:val="1A1A1A"/>
          <w:sz w:val="22"/>
          <w:szCs w:val="22"/>
        </w:rPr>
        <w:t xml:space="preserve">Click any district button to switch the view — all charts and the borehole visual update instantly</w:t>
      </w:r>
    </w:p>
    <w:p>
      <w:pPr>
        <w:pStyle w:val="ListParagraph"/>
        <w:numPr>
          <w:ilvl w:val="0"/>
          <w:numId w:val="2"/>
        </w:numPr>
        <w:spacing w:after="40" w:before="40"/>
      </w:pPr>
      <w:r>
        <w:rPr>
          <w:rFonts w:ascii="Arial" w:cs="Arial" w:eastAsia="Arial" w:hAnsi="Arial"/>
          <w:color w:val="1A1A1A"/>
          <w:sz w:val="22"/>
          <w:szCs w:val="22"/>
        </w:rPr>
        <w:t xml:space="preserve">Works completely offline after download — no internet required</w:t>
      </w:r>
    </w:p>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7. Responsible AI Considerations</w:t>
      </w:r>
    </w:p>
    <w:p>
      <w:pPr>
        <w:pStyle w:val="Heading2"/>
        <w:spacing w:after="80" w:before="240"/>
      </w:pPr>
      <w:r>
        <w:rPr>
          <w:rFonts w:ascii="Arial" w:cs="Arial" w:eastAsia="Arial" w:hAnsi="Arial"/>
          <w:b/>
          <w:bCs/>
          <w:color w:val="126E82"/>
          <w:sz w:val="26"/>
          <w:szCs w:val="26"/>
        </w:rPr>
        <w:t xml:space="preserve">7.1 Fairness</w:t>
      </w:r>
    </w:p>
    <w:p>
      <w:pPr>
        <w:pStyle w:val="ListParagraph"/>
        <w:numPr>
          <w:ilvl w:val="0"/>
          <w:numId w:val="2"/>
        </w:numPr>
        <w:spacing w:after="40" w:before="40"/>
      </w:pPr>
      <w:r>
        <w:rPr>
          <w:rFonts w:ascii="Arial" w:cs="Arial" w:eastAsia="Arial" w:hAnsi="Arial"/>
          <w:color w:val="1A1A1A"/>
          <w:sz w:val="22"/>
          <w:szCs w:val="22"/>
        </w:rPr>
        <w:t xml:space="preserve">Data covers all 6 districts with equal representation — no geographic bias in model training</w:t>
      </w:r>
    </w:p>
    <w:p>
      <w:pPr>
        <w:pStyle w:val="ListParagraph"/>
        <w:numPr>
          <w:ilvl w:val="0"/>
          <w:numId w:val="2"/>
        </w:numPr>
        <w:spacing w:after="40" w:before="40"/>
      </w:pPr>
      <w:r>
        <w:rPr>
          <w:rFonts w:ascii="Arial" w:cs="Arial" w:eastAsia="Arial" w:hAnsi="Arial"/>
          <w:color w:val="1A1A1A"/>
          <w:sz w:val="22"/>
          <w:szCs w:val="22"/>
        </w:rPr>
        <w:t xml:space="preserve">Risk labels use objective, explainable thresholds based on the physical depletion rate in m/year</w:t>
      </w:r>
    </w:p>
    <w:p>
      <w:pPr>
        <w:pStyle w:val="ListParagraph"/>
        <w:numPr>
          <w:ilvl w:val="0"/>
          <w:numId w:val="2"/>
        </w:numPr>
        <w:spacing w:after="40" w:before="40"/>
      </w:pPr>
      <w:r>
        <w:rPr>
          <w:rFonts w:ascii="Arial" w:cs="Arial" w:eastAsia="Arial" w:hAnsi="Arial"/>
          <w:color w:val="1A1A1A"/>
          <w:sz w:val="22"/>
          <w:szCs w:val="22"/>
        </w:rPr>
        <w:t xml:space="preserve">No demographic or personally identifiable data is used at any stage of the project</w:t>
      </w:r>
    </w:p>
    <w:p>
      <w:pPr>
        <w:pStyle w:val="ListParagraph"/>
        <w:numPr>
          <w:ilvl w:val="0"/>
          <w:numId w:val="2"/>
        </w:numPr>
        <w:spacing w:after="40" w:before="40"/>
      </w:pPr>
      <w:r>
        <w:rPr>
          <w:rFonts w:ascii="Arial" w:cs="Arial" w:eastAsia="Arial" w:hAnsi="Arial"/>
          <w:color w:val="1A1A1A"/>
          <w:sz w:val="22"/>
          <w:szCs w:val="22"/>
        </w:rPr>
        <w:t xml:space="preserve">No social group is disadvantaged by the model's outputs</w:t>
      </w:r>
    </w:p>
    <w:p>
      <w:pPr>
        <w:pStyle w:val="Heading2"/>
        <w:spacing w:after="80" w:before="240"/>
      </w:pPr>
      <w:r>
        <w:rPr>
          <w:rFonts w:ascii="Arial" w:cs="Arial" w:eastAsia="Arial" w:hAnsi="Arial"/>
          <w:b/>
          <w:bCs/>
          <w:color w:val="126E82"/>
          <w:sz w:val="26"/>
          <w:szCs w:val="26"/>
        </w:rPr>
        <w:t xml:space="preserve">7.2 Transparency</w:t>
      </w:r>
    </w:p>
    <w:p>
      <w:pPr>
        <w:pStyle w:val="ListParagraph"/>
        <w:numPr>
          <w:ilvl w:val="0"/>
          <w:numId w:val="2"/>
        </w:numPr>
        <w:spacing w:after="40" w:before="40"/>
      </w:pPr>
      <w:r>
        <w:rPr>
          <w:rFonts w:ascii="Arial" w:cs="Arial" w:eastAsia="Arial" w:hAnsi="Arial"/>
          <w:color w:val="1A1A1A"/>
          <w:sz w:val="22"/>
          <w:szCs w:val="22"/>
        </w:rPr>
        <w:t xml:space="preserve">Both models (Random Forest and Linear Trend) are fully documented in this report</w:t>
      </w:r>
    </w:p>
    <w:p>
      <w:pPr>
        <w:pStyle w:val="ListParagraph"/>
        <w:numPr>
          <w:ilvl w:val="0"/>
          <w:numId w:val="2"/>
        </w:numPr>
        <w:spacing w:after="40" w:before="40"/>
      </w:pPr>
      <w:r>
        <w:rPr>
          <w:rFonts w:ascii="Arial" w:cs="Arial" w:eastAsia="Arial" w:hAnsi="Arial"/>
          <w:color w:val="1A1A1A"/>
          <w:sz w:val="22"/>
          <w:szCs w:val="22"/>
        </w:rPr>
        <w:t xml:space="preserve">Holdout MAE values are published per district — no hidden accuracy claims</w:t>
      </w:r>
    </w:p>
    <w:p>
      <w:pPr>
        <w:pStyle w:val="ListParagraph"/>
        <w:numPr>
          <w:ilvl w:val="0"/>
          <w:numId w:val="2"/>
        </w:numPr>
        <w:spacing w:after="40" w:before="40"/>
      </w:pPr>
      <w:r>
        <w:rPr>
          <w:rFonts w:ascii="Arial" w:cs="Arial" w:eastAsia="Arial" w:hAnsi="Arial"/>
          <w:color w:val="1A1A1A"/>
          <w:sz w:val="22"/>
          <w:szCs w:val="22"/>
        </w:rPr>
        <w:t xml:space="preserve">The dashboard footer explicitly states the data time period and model scope</w:t>
      </w:r>
    </w:p>
    <w:p>
      <w:pPr>
        <w:pStyle w:val="ListParagraph"/>
        <w:numPr>
          <w:ilvl w:val="0"/>
          <w:numId w:val="2"/>
        </w:numPr>
        <w:spacing w:after="40" w:before="40"/>
      </w:pPr>
      <w:r>
        <w:rPr>
          <w:rFonts w:ascii="Arial" w:cs="Arial" w:eastAsia="Arial" w:hAnsi="Arial"/>
          <w:color w:val="1A1A1A"/>
          <w:sz w:val="22"/>
          <w:szCs w:val="22"/>
        </w:rPr>
        <w:t xml:space="preserve">Source code is structured and commented for full reproducibility</w:t>
      </w:r>
    </w:p>
    <w:p>
      <w:pPr>
        <w:pStyle w:val="Heading2"/>
        <w:spacing w:after="80" w:before="240"/>
      </w:pPr>
      <w:r>
        <w:rPr>
          <w:rFonts w:ascii="Arial" w:cs="Arial" w:eastAsia="Arial" w:hAnsi="Arial"/>
          <w:b/>
          <w:bCs/>
          <w:color w:val="126E82"/>
          <w:sz w:val="26"/>
          <w:szCs w:val="26"/>
        </w:rPr>
        <w:t xml:space="preserve">7.3 Ethics and Privacy</w:t>
      </w:r>
    </w:p>
    <w:p>
      <w:pPr>
        <w:pStyle w:val="ListParagraph"/>
        <w:numPr>
          <w:ilvl w:val="0"/>
          <w:numId w:val="2"/>
        </w:numPr>
        <w:spacing w:after="40" w:before="40"/>
      </w:pPr>
      <w:r>
        <w:rPr>
          <w:rFonts w:ascii="Arial" w:cs="Arial" w:eastAsia="Arial" w:hAnsi="Arial"/>
          <w:color w:val="1A1A1A"/>
          <w:sz w:val="22"/>
          <w:szCs w:val="22"/>
        </w:rPr>
        <w:t xml:space="preserve">All data used is publicly available government records (CGWB) — no private data involved</w:t>
      </w:r>
    </w:p>
    <w:p>
      <w:pPr>
        <w:pStyle w:val="ListParagraph"/>
        <w:numPr>
          <w:ilvl w:val="0"/>
          <w:numId w:val="2"/>
        </w:numPr>
        <w:spacing w:after="40" w:before="40"/>
      </w:pPr>
      <w:r>
        <w:rPr>
          <w:rFonts w:ascii="Arial" w:cs="Arial" w:eastAsia="Arial" w:hAnsi="Arial"/>
          <w:color w:val="1A1A1A"/>
          <w:sz w:val="22"/>
          <w:szCs w:val="22"/>
        </w:rPr>
        <w:t xml:space="preserve">The forecast is explicitly framed as an indicative trend, not a precise operational prediction</w:t>
      </w:r>
    </w:p>
    <w:p>
      <w:pPr>
        <w:pStyle w:val="ListParagraph"/>
        <w:numPr>
          <w:ilvl w:val="0"/>
          <w:numId w:val="2"/>
        </w:numPr>
        <w:spacing w:after="40" w:before="40"/>
      </w:pPr>
      <w:r>
        <w:rPr>
          <w:rFonts w:ascii="Arial" w:cs="Arial" w:eastAsia="Arial" w:hAnsi="Arial"/>
          <w:color w:val="1A1A1A"/>
          <w:sz w:val="22"/>
          <w:szCs w:val="22"/>
        </w:rPr>
        <w:t xml:space="preserve">The tool has no commercial purpose — it is a public-good academic project</w:t>
      </w:r>
    </w:p>
    <w:p>
      <w:pPr>
        <w:pStyle w:val="ListParagraph"/>
        <w:numPr>
          <w:ilvl w:val="0"/>
          <w:numId w:val="2"/>
        </w:numPr>
        <w:spacing w:after="40" w:before="40"/>
      </w:pPr>
      <w:r>
        <w:rPr>
          <w:rFonts w:ascii="Arial" w:cs="Arial" w:eastAsia="Arial" w:hAnsi="Arial"/>
          <w:color w:val="1A1A1A"/>
          <w:sz w:val="22"/>
          <w:szCs w:val="22"/>
        </w:rPr>
        <w:t xml:space="preserve">No risk of misuse as a surveillance or personal tracking tool</w:t>
      </w:r>
    </w:p>
    <w:p>
      <w:pPr>
        <w:pStyle w:val="Heading2"/>
        <w:spacing w:after="80" w:before="240"/>
      </w:pPr>
      <w:r>
        <w:rPr>
          <w:rFonts w:ascii="Arial" w:cs="Arial" w:eastAsia="Arial" w:hAnsi="Arial"/>
          <w:b/>
          <w:bCs/>
          <w:color w:val="126E82"/>
          <w:sz w:val="26"/>
          <w:szCs w:val="26"/>
        </w:rPr>
        <w:t xml:space="preserve">7.4 Limitations (Honest Disclosure)</w:t>
      </w:r>
    </w:p>
    <w:p>
      <w:pPr>
        <w:pStyle w:val="ListParagraph"/>
        <w:numPr>
          <w:ilvl w:val="0"/>
          <w:numId w:val="2"/>
        </w:numPr>
        <w:spacing w:after="40" w:before="40"/>
      </w:pPr>
      <w:r>
        <w:rPr>
          <w:rFonts w:ascii="Arial" w:cs="Arial" w:eastAsia="Arial" w:hAnsi="Arial"/>
          <w:color w:val="1A1A1A"/>
          <w:sz w:val="22"/>
          <w:szCs w:val="22"/>
        </w:rPr>
        <w:t xml:space="preserve">The data cuts off at January 2017 — post-2017 depletion trends are not captured or validated</w:t>
      </w:r>
    </w:p>
    <w:p>
      <w:pPr>
        <w:pStyle w:val="ListParagraph"/>
        <w:numPr>
          <w:ilvl w:val="0"/>
          <w:numId w:val="2"/>
        </w:numPr>
        <w:spacing w:after="40" w:before="40"/>
      </w:pPr>
      <w:r>
        <w:rPr>
          <w:rFonts w:ascii="Arial" w:cs="Arial" w:eastAsia="Arial" w:hAnsi="Arial"/>
          <w:color w:val="1A1A1A"/>
          <w:sz w:val="22"/>
          <w:szCs w:val="22"/>
        </w:rPr>
        <w:t xml:space="preserve">Some quarters have sparse well coverage (as few as 9–10 wells) which may affect district averages</w:t>
      </w:r>
    </w:p>
    <w:p>
      <w:pPr>
        <w:pStyle w:val="ListParagraph"/>
        <w:numPr>
          <w:ilvl w:val="0"/>
          <w:numId w:val="2"/>
        </w:numPr>
        <w:spacing w:after="40" w:before="40"/>
      </w:pPr>
      <w:r>
        <w:rPr>
          <w:rFonts w:ascii="Arial" w:cs="Arial" w:eastAsia="Arial" w:hAnsi="Arial"/>
          <w:color w:val="1A1A1A"/>
          <w:sz w:val="22"/>
          <w:szCs w:val="22"/>
        </w:rPr>
        <w:t xml:space="preserve">Random Forest with lag features may underestimate extreme depletion events not seen in training data</w:t>
      </w:r>
    </w:p>
    <w:p>
      <w:pPr>
        <w:pStyle w:val="ListParagraph"/>
        <w:numPr>
          <w:ilvl w:val="0"/>
          <w:numId w:val="2"/>
        </w:numPr>
        <w:spacing w:after="40" w:before="40"/>
      </w:pPr>
      <w:r>
        <w:rPr>
          <w:rFonts w:ascii="Arial" w:cs="Arial" w:eastAsia="Arial" w:hAnsi="Arial"/>
          <w:color w:val="1A1A1A"/>
          <w:sz w:val="22"/>
          <w:szCs w:val="22"/>
        </w:rPr>
        <w:t xml:space="preserve">The recursive forecast compounds prediction error over time — the 3-year projection should be treated as a directional trend, not a precise value</w:t>
      </w:r>
    </w:p>
    <w:p>
      <w:pPr>
        <w:pStyle w:val="ListParagraph"/>
        <w:numPr>
          <w:ilvl w:val="0"/>
          <w:numId w:val="2"/>
        </w:numPr>
        <w:spacing w:after="40" w:before="40"/>
      </w:pPr>
      <w:r>
        <w:rPr>
          <w:rFonts w:ascii="Arial" w:cs="Arial" w:eastAsia="Arial" w:hAnsi="Arial"/>
          <w:color w:val="1A1A1A"/>
          <w:sz w:val="22"/>
          <w:szCs w:val="22"/>
        </w:rPr>
        <w:t xml:space="preserve">Western UP coverage is good; this methodology should be re-validated before applying to other regions</w:t>
      </w:r>
    </w:p>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8. Expected Impact</w:t>
      </w:r>
    </w:p>
    <w:p>
      <w:pPr>
        <w:pStyle w:val="Heading2"/>
        <w:spacing w:after="80" w:before="240"/>
      </w:pPr>
      <w:r>
        <w:rPr>
          <w:rFonts w:ascii="Arial" w:cs="Arial" w:eastAsia="Arial" w:hAnsi="Arial"/>
          <w:b/>
          <w:bCs/>
          <w:color w:val="126E82"/>
          <w:sz w:val="26"/>
          <w:szCs w:val="26"/>
        </w:rPr>
        <w:t xml:space="preserve">8.1 For Farmers</w:t>
      </w:r>
    </w:p>
    <w:p>
      <w:pPr>
        <w:spacing w:after="80" w:before="60"/>
      </w:pPr>
      <w:r>
        <w:rPr>
          <w:rFonts w:ascii="Arial" w:cs="Arial" w:eastAsia="Arial" w:hAnsi="Arial"/>
          <w:color w:val="1A1A1A"/>
          <w:sz w:val="22"/>
          <w:szCs w:val="22"/>
        </w:rPr>
        <w:t xml:space="preserve">Farmers in Western UP depend on groundwater for pre-monsoon irrigation (rabi crop season). A district-level depletion forecast enables them to plan irrigation cycles and borewell usage before the growing season, potentially reducing water waste and improving yield planning.</w:t>
      </w:r>
    </w:p>
    <w:p>
      <w:pPr>
        <w:pStyle w:val="Heading2"/>
        <w:spacing w:after="80" w:before="240"/>
      </w:pPr>
      <w:r>
        <w:rPr>
          <w:rFonts w:ascii="Arial" w:cs="Arial" w:eastAsia="Arial" w:hAnsi="Arial"/>
          <w:b/>
          <w:bCs/>
          <w:color w:val="126E82"/>
          <w:sz w:val="26"/>
          <w:szCs w:val="26"/>
        </w:rPr>
        <w:t xml:space="preserve">8.2 For District Authorities and Jal Board UP</w:t>
      </w:r>
    </w:p>
    <w:p>
      <w:pPr>
        <w:spacing w:after="80" w:before="60"/>
      </w:pPr>
      <w:r>
        <w:rPr>
          <w:rFonts w:ascii="Arial" w:cs="Arial" w:eastAsia="Arial" w:hAnsi="Arial"/>
          <w:color w:val="1A1A1A"/>
          <w:sz w:val="22"/>
          <w:szCs w:val="22"/>
        </w:rPr>
        <w:t xml:space="preserve">Moderate-risk districts like Muzaffarnagar, Meerut, and Moradabad can be prioritised for targeted groundwater recharge schemes, no-objection-certificate (NOC) restrictions on new borewells, and extraction permit planning. The risk classification provides a clear, defensible basis for such decisions.</w:t>
      </w:r>
    </w:p>
    <w:p>
      <w:pPr>
        <w:pStyle w:val="Heading2"/>
        <w:spacing w:after="80" w:before="240"/>
      </w:pPr>
      <w:r>
        <w:rPr>
          <w:rFonts w:ascii="Arial" w:cs="Arial" w:eastAsia="Arial" w:hAnsi="Arial"/>
          <w:b/>
          <w:bCs/>
          <w:color w:val="126E82"/>
          <w:sz w:val="26"/>
          <w:szCs w:val="26"/>
        </w:rPr>
        <w:t xml:space="preserve">8.3 For Environmental Planners and Policymakers</w:t>
      </w:r>
    </w:p>
    <w:p>
      <w:pPr>
        <w:spacing w:after="80" w:before="60"/>
      </w:pPr>
      <w:r>
        <w:rPr>
          <w:rFonts w:ascii="Arial" w:cs="Arial" w:eastAsia="Arial" w:hAnsi="Arial"/>
          <w:color w:val="1A1A1A"/>
          <w:sz w:val="22"/>
          <w:szCs w:val="22"/>
        </w:rPr>
        <w:t xml:space="preserve">The depletion rate map across 6 districts provides a quantitative baseline for groundwater conservation zone designation, land-use planning decisions, and budget allocation for water conservation programmes at state level.</w:t>
      </w:r>
    </w:p>
    <w:p>
      <w:pPr>
        <w:pStyle w:val="Heading2"/>
        <w:spacing w:after="80" w:before="240"/>
      </w:pPr>
      <w:r>
        <w:rPr>
          <w:rFonts w:ascii="Arial" w:cs="Arial" w:eastAsia="Arial" w:hAnsi="Arial"/>
          <w:b/>
          <w:bCs/>
          <w:color w:val="126E82"/>
          <w:sz w:val="26"/>
          <w:szCs w:val="26"/>
        </w:rPr>
        <w:t xml:space="preserve">8.4 For Researchers</w:t>
      </w:r>
    </w:p>
    <w:p>
      <w:pPr>
        <w:spacing w:after="80" w:before="60"/>
      </w:pPr>
      <w:r>
        <w:rPr>
          <w:rFonts w:ascii="Arial" w:cs="Arial" w:eastAsia="Arial" w:hAnsi="Arial"/>
          <w:color w:val="1A1A1A"/>
          <w:sz w:val="22"/>
          <w:szCs w:val="22"/>
        </w:rPr>
        <w:t xml:space="preserve">The pipeline (Python scripts + clean CSV + forecast JSON) is fully reproducible and can serve as a baseline model to be extended with post-2017 CGWB data, additional districts, or more advanced models (LSTM, SARIMA) as follow-on work.</w:t>
      </w:r>
    </w:p>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9. File Structure &amp; Deliverables</w:t>
      </w:r>
    </w:p>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File</w:t>
            </w:r>
          </w:p>
        </w:tc>
        <w:tc>
          <w:tcPr>
            <w:tcW w:type="dxa" w:w="5900"/>
            <w:tcBorders>
              <w:top w:val="single" w:color="126E82" w:sz="1"/>
              <w:left w:val="single" w:color="126E82" w:sz="1"/>
              <w:bottom w:val="single" w:color="126E82" w:sz="1"/>
              <w:right w:val="single" w:color="126E82" w:sz="1"/>
            </w:tcBorders>
            <w:shd w:fill="0A234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Description</w:t>
            </w:r>
          </w:p>
        </w:tc>
      </w:tr>
      <w:tr>
        <w:tc>
          <w:tcPr>
            <w:tcW w:type="dxa" w:w="34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groundwater_watch.html</w:t>
            </w:r>
          </w:p>
        </w:tc>
        <w:tc>
          <w:tcPr>
            <w:tcW w:type="dxa" w:w="59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Self-contained offline dashboard — open in any browser</w:t>
            </w:r>
          </w:p>
        </w:tc>
      </w:tr>
      <w:tr>
        <w:tc>
          <w:tcPr>
            <w:tcW w:type="dxa" w:w="34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01_data_prep.py</w:t>
            </w:r>
          </w:p>
        </w:tc>
        <w:tc>
          <w:tcPr>
            <w:tcW w:type="dxa" w:w="59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Python script: raw CGWB CSV → clean district quarterly CSV</w:t>
            </w:r>
          </w:p>
        </w:tc>
      </w:tr>
      <w:tr>
        <w:tc>
          <w:tcPr>
            <w:tcW w:type="dxa" w:w="34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02_train_forecast.py</w:t>
            </w:r>
          </w:p>
        </w:tc>
        <w:tc>
          <w:tcPr>
            <w:tcW w:type="dxa" w:w="59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Python script: trains Random Forest &amp; Linear model, outputs forecast JSON</w:t>
            </w:r>
          </w:p>
        </w:tc>
      </w:tr>
      <w:tr>
        <w:tc>
          <w:tcPr>
            <w:tcW w:type="dxa" w:w="34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district_quarterly_clean.csv</w:t>
            </w:r>
          </w:p>
        </w:tc>
        <w:tc>
          <w:tcPr>
            <w:tcW w:type="dxa" w:w="59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Cleaned dataset: 855 rows, 6 districts, 1996–2017</w:t>
            </w:r>
          </w:p>
        </w:tc>
      </w:tr>
      <w:tr>
        <w:tc>
          <w:tcPr>
            <w:tcW w:type="dxa" w:w="34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forecast_results.json</w:t>
            </w:r>
          </w:p>
        </w:tc>
        <w:tc>
          <w:tcPr>
            <w:tcW w:type="dxa" w:w="59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Model output: historical + 3-year forecast per district with risk labels</w:t>
            </w:r>
          </w:p>
        </w:tc>
      </w:tr>
      <w:tr>
        <w:tc>
          <w:tcPr>
            <w:tcW w:type="dxa" w:w="34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Groundwater_Forecasting.pptx</w:t>
            </w:r>
          </w:p>
        </w:tc>
        <w:tc>
          <w:tcPr>
            <w:tcW w:type="dxa" w:w="5900"/>
            <w:tcBorders>
              <w:top w:val="single" w:color="C8DCE0" w:sz="1"/>
              <w:left w:val="single" w:color="C8DCE0" w:sz="1"/>
              <w:bottom w:val="single" w:color="C8DCE0" w:sz="1"/>
              <w:right w:val="single" w:color="C8DCE0" w:sz="1"/>
            </w:tcBorders>
            <w:shd w:fill="FFFFFF" w:val="clear"/>
            <w:tcMar>
              <w:top w:type="dxa" w:w="80"/>
              <w:left w:type="dxa" w:w="130"/>
              <w:bottom w:type="dxa" w:w="80"/>
              <w:right w:type="dxa" w:w="130"/>
            </w:tcMar>
          </w:tcPr>
          <w:p>
            <w:pPr>
              <w:jc w:val="center"/>
            </w:pPr>
            <w:r>
              <w:rPr>
                <w:rFonts w:ascii="Arial" w:cs="Arial" w:eastAsia="Arial" w:hAnsi="Arial"/>
                <w:color w:val="1A1A1A"/>
                <w:sz w:val="20"/>
                <w:szCs w:val="20"/>
              </w:rPr>
              <w:t xml:space="preserve">9-slide presentation covering all guideline-required sections</w:t>
            </w:r>
          </w:p>
        </w:tc>
      </w:tr>
      <w:tr>
        <w:tc>
          <w:tcPr>
            <w:tcW w:type="dxa" w:w="34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Project_Documentation.docx</w:t>
            </w:r>
          </w:p>
        </w:tc>
        <w:tc>
          <w:tcPr>
            <w:tcW w:type="dxa" w:w="5900"/>
            <w:tcBorders>
              <w:top w:val="single" w:color="C8DCE0" w:sz="1"/>
              <w:left w:val="single" w:color="C8DCE0" w:sz="1"/>
              <w:bottom w:val="single" w:color="C8DCE0" w:sz="1"/>
              <w:right w:val="single" w:color="C8DCE0" w:sz="1"/>
            </w:tcBorders>
            <w:shd w:fill="F0F8F9" w:val="clear"/>
            <w:tcMar>
              <w:top w:type="dxa" w:w="80"/>
              <w:left w:type="dxa" w:w="130"/>
              <w:bottom w:type="dxa" w:w="80"/>
              <w:right w:type="dxa" w:w="130"/>
            </w:tcMar>
          </w:tcPr>
          <w:p>
            <w:pPr>
              <w:jc w:val="center"/>
            </w:pPr>
            <w:r>
              <w:rPr>
                <w:rFonts w:ascii="Arial" w:cs="Arial" w:eastAsia="Arial" w:hAnsi="Arial"/>
                <w:color w:val="1A1A1A"/>
                <w:sz w:val="20"/>
                <w:szCs w:val="20"/>
              </w:rPr>
              <w:t xml:space="preserve">This document — full project report</w:t>
            </w:r>
          </w:p>
        </w:tc>
      </w:tr>
    </w:tbl>
    <w:p>
      <w:r>
        <w:t xml:space="preserve"/>
      </w:r>
    </w:p>
    <w:p>
      <w:pPr>
        <w:pStyle w:val="Heading1"/>
        <w:pBdr>
          <w:bottom w:val="single" w:color="126E82" w:sz="6" w:space="4"/>
        </w:pBdr>
        <w:spacing w:after="120" w:before="360"/>
      </w:pPr>
      <w:r>
        <w:rPr>
          <w:rFonts w:ascii="Arial" w:cs="Arial" w:eastAsia="Arial" w:hAnsi="Arial"/>
          <w:b/>
          <w:bCs/>
          <w:color w:val="0A2342"/>
          <w:sz w:val="32"/>
          <w:szCs w:val="32"/>
        </w:rPr>
        <w:t xml:space="preserve">10. Conclusion</w:t>
      </w:r>
    </w:p>
    <w:p>
      <w:pPr>
        <w:spacing w:after="80" w:before="60"/>
      </w:pPr>
      <w:r>
        <w:rPr>
          <w:rFonts w:ascii="Arial" w:cs="Arial" w:eastAsia="Arial" w:hAnsi="Arial"/>
          <w:color w:val="1A1A1A"/>
          <w:sz w:val="22"/>
          <w:szCs w:val="22"/>
        </w:rPr>
        <w:t xml:space="preserve">This project demonstrates that AI can be applied responsibly and meaningfully to a real-world sustainability challenge — groundwater depletion in Western Uttar Pradesh — using publicly available data and interpretable machine learning techniques.</w:t>
      </w:r>
    </w:p>
    <w:p>
      <w:pPr>
        <w:spacing w:after="80" w:before="60"/>
      </w:pPr>
      <w:r>
        <w:rPr>
          <w:rFonts w:ascii="Arial" w:cs="Arial" w:eastAsia="Arial" w:hAnsi="Arial"/>
          <w:color w:val="1A1A1A"/>
          <w:sz w:val="22"/>
          <w:szCs w:val="22"/>
        </w:rPr>
        <w:t xml:space="preserve">Key accomplishments:</w:t>
      </w:r>
    </w:p>
    <w:p>
      <w:pPr>
        <w:pStyle w:val="ListParagraph"/>
        <w:numPr>
          <w:ilvl w:val="0"/>
          <w:numId w:val="2"/>
        </w:numPr>
        <w:spacing w:after="40" w:before="40"/>
      </w:pPr>
      <w:r>
        <w:rPr>
          <w:rFonts w:ascii="Arial" w:cs="Arial" w:eastAsia="Arial" w:hAnsi="Arial"/>
          <w:color w:val="1A1A1A"/>
          <w:sz w:val="22"/>
          <w:szCs w:val="22"/>
        </w:rPr>
        <w:t xml:space="preserve">Processed 21 years of quarterly CGWB well data across 6 UP districts (~180 monitoring wells)</w:t>
      </w:r>
    </w:p>
    <w:p>
      <w:pPr>
        <w:pStyle w:val="ListParagraph"/>
        <w:numPr>
          <w:ilvl w:val="0"/>
          <w:numId w:val="2"/>
        </w:numPr>
        <w:spacing w:after="40" w:before="40"/>
      </w:pPr>
      <w:r>
        <w:rPr>
          <w:rFonts w:ascii="Arial" w:cs="Arial" w:eastAsia="Arial" w:hAnsi="Arial"/>
          <w:color w:val="1A1A1A"/>
          <w:sz w:val="22"/>
          <w:szCs w:val="22"/>
        </w:rPr>
        <w:t xml:space="preserve">Built a two-model pipeline (Random Forest + Linear Trend) producing 3-year depletion forecasts</w:t>
      </w:r>
    </w:p>
    <w:p>
      <w:pPr>
        <w:pStyle w:val="ListParagraph"/>
        <w:numPr>
          <w:ilvl w:val="0"/>
          <w:numId w:val="2"/>
        </w:numPr>
        <w:spacing w:after="40" w:before="40"/>
      </w:pPr>
      <w:r>
        <w:rPr>
          <w:rFonts w:ascii="Arial" w:cs="Arial" w:eastAsia="Arial" w:hAnsi="Arial"/>
          <w:color w:val="1A1A1A"/>
          <w:sz w:val="22"/>
          <w:szCs w:val="22"/>
        </w:rPr>
        <w:t xml:space="preserve">Derived objective, explainable risk levels (Low / Moderate / High) for each district</w:t>
      </w:r>
    </w:p>
    <w:p>
      <w:pPr>
        <w:pStyle w:val="ListParagraph"/>
        <w:numPr>
          <w:ilvl w:val="0"/>
          <w:numId w:val="2"/>
        </w:numPr>
        <w:spacing w:after="40" w:before="40"/>
      </w:pPr>
      <w:r>
        <w:rPr>
          <w:rFonts w:ascii="Arial" w:cs="Arial" w:eastAsia="Arial" w:hAnsi="Arial"/>
          <w:color w:val="1A1A1A"/>
          <w:sz w:val="22"/>
          <w:szCs w:val="22"/>
        </w:rPr>
        <w:t xml:space="preserve">Delivered a fully self-contained, offline-capable web dashboard requiring no installation</w:t>
      </w:r>
    </w:p>
    <w:p>
      <w:pPr>
        <w:pStyle w:val="ListParagraph"/>
        <w:numPr>
          <w:ilvl w:val="0"/>
          <w:numId w:val="2"/>
        </w:numPr>
        <w:spacing w:after="40" w:before="40"/>
      </w:pPr>
      <w:r>
        <w:rPr>
          <w:rFonts w:ascii="Arial" w:cs="Arial" w:eastAsia="Arial" w:hAnsi="Arial"/>
          <w:color w:val="1A1A1A"/>
          <w:sz w:val="22"/>
          <w:szCs w:val="22"/>
        </w:rPr>
        <w:t xml:space="preserve">Documented all limitations honestly in line with responsible AI principles</w:t>
      </w:r>
    </w:p>
    <w:p>
      <w:pPr>
        <w:spacing w:after="80" w:before="60"/>
      </w:pPr>
      <w:r>
        <w:rPr>
          <w:rFonts w:ascii="Arial" w:cs="Arial" w:eastAsia="Arial" w:hAnsi="Arial"/>
          <w:color w:val="1A1A1A"/>
          <w:sz w:val="22"/>
          <w:szCs w:val="22"/>
        </w:rPr>
        <w:t xml:space="preserve">The tool aligns with SDG 6 and SDG 13, is grounded in the local geography of Western UP, and is built with clarity, reproducibility, and real-world usability in mind — reflecting the core values of the 1M1B AI for Sustainability Internship.</w:t>
      </w:r>
    </w:p>
    <w:p>
      <w:r>
        <w:t xml:space="preserve"/>
      </w:r>
    </w:p>
    <w:p>
      <w:r>
        <w:t xml:space="preserve"/>
      </w:r>
    </w:p>
    <w:p>
      <w:pPr>
        <w:pBdr>
          <w:top w:val="single" w:color="126E82" w:sz="4" w:space="8"/>
        </w:pBdr>
        <w:spacing w:after="0" w:before="240"/>
        <w:jc w:val="center"/>
      </w:pPr>
      <w:r>
        <w:rPr>
          <w:rFonts w:ascii="Arial" w:cs="Arial" w:eastAsia="Arial" w:hAnsi="Arial"/>
          <w:b/>
          <w:bCs/>
          <w:color w:val="0A2342"/>
          <w:sz w:val="20"/>
          <w:szCs w:val="20"/>
        </w:rPr>
        <w:t xml:space="preserve">Badal Kumar  ·  Quantum University, Roorkee  ·  June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8EB" w:sz="4" w:space="4"/>
      </w:pBdr>
      <w:tabs>
        <w:tab w:val="right" w:pos="9026"/>
      </w:tabs>
      <w:spacing w:before="0"/>
    </w:pPr>
    <w:r>
      <w:rPr>
        <w:rFonts w:ascii="Arial" w:cs="Arial" w:eastAsia="Arial" w:hAnsi="Arial"/>
        <w:color w:val="888888"/>
        <w:sz w:val="18"/>
        <w:szCs w:val="18"/>
      </w:rPr>
      <w:t xml:space="preserve">1M1B AI for Sustainability  ·  IBM SkillsBuild &amp; AICTE</w:t>
    </w:r>
    <w:r>
      <w:rPr>
        <w:rFonts w:ascii="Arial" w:cs="Arial" w:eastAsia="Arial" w:hAnsi="Arial"/>
        <w:sz w:val="18"/>
        <w:szCs w:val="18"/>
      </w:rPr>
      <w:t xml:space="preserve">	</w:t>
    </w:r>
    <w:r>
      <w:rPr>
        <w:rFonts w:ascii="Arial" w:cs="Arial" w:eastAsia="Arial" w:hAnsi="Arial"/>
        <w:color w:val="0A234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26E82" w:sz="4" w:space="4"/>
      </w:pBdr>
      <w:tabs>
        <w:tab w:val="right" w:pos="9026"/>
      </w:tabs>
      <w:spacing w:after="0"/>
    </w:pPr>
    <w:r>
      <w:rPr>
        <w:rFonts w:ascii="Arial" w:cs="Arial" w:eastAsia="Arial" w:hAnsi="Arial"/>
        <w:color w:val="126E82"/>
        <w:sz w:val="18"/>
        <w:szCs w:val="18"/>
      </w:rPr>
      <w:t xml:space="preserve">Groundwater Level Depletion Forecasting  ·  Project Documentation</w:t>
    </w:r>
    <w:r>
      <w:rPr>
        <w:rFonts w:ascii="Arial" w:cs="Arial" w:eastAsia="Arial" w:hAnsi="Arial"/>
        <w:sz w:val="18"/>
        <w:szCs w:val="18"/>
      </w:rPr>
      <w:t xml:space="preserve">	</w:t>
    </w:r>
    <w:r>
      <w:rPr>
        <w:rFonts w:ascii="Arial" w:cs="Arial" w:eastAsia="Arial" w:hAnsi="Arial"/>
        <w:color w:val="888888"/>
        <w:sz w:val="18"/>
        <w:szCs w:val="18"/>
      </w:rPr>
      <w:t xml:space="preserve">Badal Kumar  ·  Quantum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234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26E82"/>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A8F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2026-06-25T03:51:53.258Z</dcterms:created>
  <dcterms:modified xsi:type="dcterms:W3CDTF">2026-06-25T03:51:53.258Z</dcterms:modified>
</cp:coreProperties>
</file>

<file path=docProps/custom.xml><?xml version="1.0" encoding="utf-8"?>
<Properties xmlns="http://schemas.openxmlformats.org/officeDocument/2006/custom-properties" xmlns:vt="http://schemas.openxmlformats.org/officeDocument/2006/docPropsVTypes"/>
</file>