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PZ Nigeria Limited</w:t>
      </w:r>
    </w:p>
    <w:p>
      <w:pPr>
        <w:pBdr>
          <w:top w:val="single" w:color="C55A11" w:sz="18" w:space="8"/>
        </w:pBdr>
        <w:spacing w:after="60" w:before="120"/>
      </w:pPr>
      <w:r>
        <w:rPr>
          <w:color w:val="404040"/>
          <w:sz w:val="28"/>
          <w:szCs w:val="28"/>
        </w:rPr>
        <w:t xml:space="preserve">PESTLE, SWOT and Industry Analysis</w:t>
      </w:r>
    </w:p>
    <w:p>
      <w:pPr>
        <w:spacing w:after="60"/>
      </w:pPr>
      <w:r>
        <w:t xml:space="preserve">Marketing Department, Ilupeju, Lagos</w:t>
      </w:r>
    </w:p>
    <w:p>
      <w:pPr>
        <w:spacing w:after="240"/>
      </w:pPr>
      <w:r>
        <w:rPr>
          <w:b/>
          <w:bCs/>
        </w:rPr>
        <w:t xml:space="preserve">Prepared by: </w:t>
      </w:r>
      <w:r>
        <w:t xml:space="preserve">______________________________</w:t>
      </w:r>
      <w:r>
        <w:rPr>
          <w:b/>
          <w:bCs/>
        </w:rPr>
        <w:t xml:space="preserve">        Date: </w:t>
      </w:r>
      <w:r>
        <w:t xml:space="preserve">____________________</w:t>
      </w:r>
    </w:p>
    <w:p>
      <w:pPr>
        <w:pStyle w:val="Heading1"/>
      </w:pPr>
      <w:r>
        <w:t xml:space="preserve">1. Introduction</w:t>
      </w:r>
    </w:p>
    <w:p>
      <w:r>
        <w:t xml:space="preserve">PZ Nigeria Limited is part of the PZ Cussons group, which is based in the United Kingdom. The company has two businesses:</w:t>
      </w:r>
    </w:p>
    <w:p>
      <w:pPr>
        <w:pStyle w:val="ListParagraph"/>
        <w:numPr>
          <w:ilvl w:val="0"/>
          <w:numId w:val="2"/>
        </w:numPr>
        <w:spacing w:after="60"/>
      </w:pPr>
      <w:r>
        <w:rPr>
          <w:b/>
          <w:bCs/>
          <w:color w:val="1F4E79"/>
        </w:rPr>
        <w:t xml:space="preserve">Family Care (consumer): </w:t>
      </w:r>
      <w:r>
        <w:t xml:space="preserve">Imperial Leather, Premier Cool, Joy, Morning Fresh.</w:t>
      </w:r>
    </w:p>
    <w:p>
      <w:pPr>
        <w:pStyle w:val="ListParagraph"/>
        <w:numPr>
          <w:ilvl w:val="0"/>
          <w:numId w:val="2"/>
        </w:numPr>
        <w:spacing w:after="60"/>
      </w:pPr>
      <w:r>
        <w:rPr>
          <w:b/>
          <w:bCs/>
          <w:color w:val="1F4E79"/>
        </w:rPr>
        <w:t xml:space="preserve">Electrical: </w:t>
      </w:r>
      <w:r>
        <w:t xml:space="preserve">Air conditioners, fridges and freezers, washing machines.</w:t>
      </w:r>
    </w:p>
    <w:p>
      <w:pPr>
        <w:spacing w:before="120"/>
      </w:pPr>
      <w:r>
        <w:t xml:space="preserve">The company is led by Mr Oghale Ogueni, the Managing Director, and Mr Oladare Oresukan, the Chief Financial Officer. It uses a product and brand structure: the Managing Director, supported by the CFO and the HR Director, leads the category managers; each brand has its own brand manager, supported by assistant brand managers; and shared departments serve all the brands.</w:t>
      </w:r>
    </w:p>
    <w:p>
      <w:r>
        <w:t xml:space="preserve">This report looks at PZ Nigeria's business environment with a PESTLE analysis, at the company itself with a SWOT analysis, and at its industry with Porter's Five Forces, and ends with recommendations. The scores were calculated in Microsoft Excel (PZ_Nigeria_Analysis.xlsx) and are presented in PZ_Nigeria_Analysis.pptx.</w:t>
      </w:r>
    </w:p>
    <w:p>
      <w:pPr>
        <w:pStyle w:val="Heading1"/>
      </w:pPr>
      <w:r>
        <w:t xml:space="preserve">2. PESTLE Analysis</w:t>
      </w:r>
    </w:p>
    <w:p>
      <w:r>
        <w:t xml:space="preserve">A PESTLE analysis looks at the Political, Economic, Social, Technological, Legal and Environmental factors outside the company that affect it. Each issue was rated for its impact on PZ (1 = low, 5 = high) and for how likely it is (1 = unlikely, 5 = almost certain). The score is impact × likelihood, out of 25: 16 or more is high priority, 9 to 15 is medium and below 9 is low.</w:t>
      </w:r>
    </w:p>
    <w:p>
      <w:pPr>
        <w:pStyle w:val="Heading2"/>
      </w:pPr>
      <w:r>
        <w:t xml:space="preserve">2.1 Political factors</w:t>
      </w:r>
    </w:p>
    <w:p>
      <w:r>
        <w:rPr>
          <w:b/>
          <w:bCs/>
          <w:color w:val="1F4E79"/>
        </w:rPr>
        <w:t xml:space="preserve">Average score: </w:t>
      </w:r>
      <w:r>
        <w:t xml:space="preserve">13.7 out of 25 (rank 4 of 6)</w:t>
      </w:r>
    </w:p>
    <w:p>
      <w:pPr>
        <w:pStyle w:val="ListParagraph"/>
        <w:numPr>
          <w:ilvl w:val="0"/>
          <w:numId w:val="2"/>
        </w:numPr>
        <w:spacing w:after="60"/>
      </w:pPr>
      <w:r>
        <w:rPr>
          <w:b/>
          <w:bCs/>
        </w:rPr>
        <w:t xml:space="preserve">Fuel subsidy removal and FX reforms: </w:t>
      </w:r>
      <w:r>
        <w:t xml:space="preserve">Higher fuel and transport costs; easier access to dollars over time. Score 20, </w:t>
      </w:r>
      <w:r>
        <w:rPr>
          <w:b/>
          <w:bCs/>
          <w:color w:val="C55A11"/>
        </w:rPr>
        <w:t xml:space="preserve">High</w:t>
      </w:r>
      <w:r>
        <w:t xml:space="preserve"> priority.</w:t>
      </w:r>
    </w:p>
    <w:p>
      <w:pPr>
        <w:pStyle w:val="ListParagraph"/>
        <w:numPr>
          <w:ilvl w:val="0"/>
          <w:numId w:val="2"/>
        </w:numPr>
        <w:spacing w:after="60"/>
      </w:pPr>
      <w:r>
        <w:rPr>
          <w:b/>
          <w:bCs/>
        </w:rPr>
        <w:t xml:space="preserve">Import duties and levies: </w:t>
      </w:r>
      <w:r>
        <w:t xml:space="preserve">Imported raw materials and parts cost more. Score 12, </w:t>
      </w:r>
      <w:r>
        <w:t xml:space="preserve">Medium</w:t>
      </w:r>
      <w:r>
        <w:t xml:space="preserve"> priority.</w:t>
      </w:r>
    </w:p>
    <w:p>
      <w:pPr>
        <w:pStyle w:val="ListParagraph"/>
        <w:numPr>
          <w:ilvl w:val="0"/>
          <w:numId w:val="2"/>
        </w:numPr>
        <w:spacing w:after="60"/>
      </w:pPr>
      <w:r>
        <w:rPr>
          <w:b/>
          <w:bCs/>
        </w:rPr>
        <w:t xml:space="preserve">2027 elections and policy changes: </w:t>
      </w:r>
      <w:r>
        <w:t xml:space="preserve">Uncertainty can delay investment and change the rules. Score 9, </w:t>
      </w:r>
      <w:r>
        <w:t xml:space="preserve">Medium</w:t>
      </w:r>
      <w:r>
        <w:t xml:space="preserve"> priority.</w:t>
      </w:r>
    </w:p>
    <w:p>
      <w:pPr>
        <w:spacing w:before="120"/>
      </w:pPr>
      <w:r>
        <w:t xml:space="preserve">PZ needs to follow government policy closely and plan for higher costs.</w:t>
      </w:r>
    </w:p>
    <w:p>
      <w:pPr>
        <w:pStyle w:val="Heading2"/>
      </w:pPr>
      <w:r>
        <w:t xml:space="preserve">2.2 Economic factors</w:t>
      </w:r>
    </w:p>
    <w:p>
      <w:r>
        <w:rPr>
          <w:b/>
          <w:bCs/>
          <w:color w:val="1F4E79"/>
        </w:rPr>
        <w:t xml:space="preserve">Average score: </w:t>
      </w:r>
      <w:r>
        <w:t xml:space="preserve">20.7 out of 25 (rank 1 of 6)</w:t>
      </w:r>
    </w:p>
    <w:p>
      <w:pPr>
        <w:pStyle w:val="ListParagraph"/>
        <w:numPr>
          <w:ilvl w:val="0"/>
          <w:numId w:val="2"/>
        </w:numPr>
        <w:spacing w:after="60"/>
      </w:pPr>
      <w:r>
        <w:rPr>
          <w:b/>
          <w:bCs/>
        </w:rPr>
        <w:t xml:space="preserve">Naira devaluation and FX shortages: </w:t>
      </w:r>
      <w:r>
        <w:t xml:space="preserve">Imported raw materials cost much more; losses on foreign-currency debts. Score 25, </w:t>
      </w:r>
      <w:r>
        <w:rPr>
          <w:b/>
          <w:bCs/>
          <w:color w:val="C55A11"/>
        </w:rPr>
        <w:t xml:space="preserve">High</w:t>
      </w:r>
      <w:r>
        <w:t xml:space="preserve"> priority.</w:t>
      </w:r>
    </w:p>
    <w:p>
      <w:pPr>
        <w:pStyle w:val="ListParagraph"/>
        <w:numPr>
          <w:ilvl w:val="0"/>
          <w:numId w:val="2"/>
        </w:numPr>
        <w:spacing w:after="60"/>
      </w:pPr>
      <w:r>
        <w:rPr>
          <w:b/>
          <w:bCs/>
        </w:rPr>
        <w:t xml:space="preserve">High inflation: </w:t>
      </w:r>
      <w:r>
        <w:t xml:space="preserve">Shoppers buy less or switch to cheaper brands. Score 25, </w:t>
      </w:r>
      <w:r>
        <w:rPr>
          <w:b/>
          <w:bCs/>
          <w:color w:val="C55A11"/>
        </w:rPr>
        <w:t xml:space="preserve">High</w:t>
      </w:r>
      <w:r>
        <w:t xml:space="preserve"> priority.</w:t>
      </w:r>
    </w:p>
    <w:p>
      <w:pPr>
        <w:pStyle w:val="ListParagraph"/>
        <w:numPr>
          <w:ilvl w:val="0"/>
          <w:numId w:val="2"/>
        </w:numPr>
        <w:spacing w:after="60"/>
      </w:pPr>
      <w:r>
        <w:rPr>
          <w:b/>
          <w:bCs/>
        </w:rPr>
        <w:t xml:space="preserve">High interest rates: </w:t>
      </w:r>
      <w:r>
        <w:t xml:space="preserve">Borrowing is expensive; fewer appliances bought on credit. Score 12, </w:t>
      </w:r>
      <w:r>
        <w:t xml:space="preserve">Medium</w:t>
      </w:r>
      <w:r>
        <w:t xml:space="preserve"> priority.</w:t>
      </w:r>
    </w:p>
    <w:p>
      <w:pPr>
        <w:spacing w:before="120"/>
      </w:pPr>
      <w:r>
        <w:t xml:space="preserve">A weak naira raises PZ's costs, while high inflation and interest rates reduce what shoppers can spend.</w:t>
      </w:r>
    </w:p>
    <w:p>
      <w:pPr>
        <w:pStyle w:val="Heading2"/>
      </w:pPr>
      <w:r>
        <w:t xml:space="preserve">2.3 Social factors</w:t>
      </w:r>
    </w:p>
    <w:p>
      <w:r>
        <w:rPr>
          <w:b/>
          <w:bCs/>
          <w:color w:val="1F4E79"/>
        </w:rPr>
        <w:t xml:space="preserve">Average score: </w:t>
      </w:r>
      <w:r>
        <w:t xml:space="preserve">16.0 out of 25 (rank 2 of 6)</w:t>
      </w:r>
    </w:p>
    <w:p>
      <w:pPr>
        <w:pStyle w:val="ListParagraph"/>
        <w:numPr>
          <w:ilvl w:val="0"/>
          <w:numId w:val="2"/>
        </w:numPr>
        <w:spacing w:after="60"/>
      </w:pPr>
      <w:r>
        <w:rPr>
          <w:b/>
          <w:bCs/>
        </w:rPr>
        <w:t xml:space="preserve">Large, young, growing population: </w:t>
      </w:r>
      <w:r>
        <w:t xml:space="preserve">A big and growing market for soaps, detergents and appliances. Score 20, </w:t>
      </w:r>
      <w:r>
        <w:rPr>
          <w:b/>
          <w:bCs/>
          <w:color w:val="C55A11"/>
        </w:rPr>
        <w:t xml:space="preserve">High</w:t>
      </w:r>
      <w:r>
        <w:t xml:space="preserve"> priority.</w:t>
      </w:r>
    </w:p>
    <w:p>
      <w:pPr>
        <w:pStyle w:val="ListParagraph"/>
        <w:numPr>
          <w:ilvl w:val="0"/>
          <w:numId w:val="2"/>
        </w:numPr>
        <w:spacing w:after="60"/>
      </w:pPr>
      <w:r>
        <w:rPr>
          <w:b/>
          <w:bCs/>
        </w:rPr>
        <w:t xml:space="preserve">Price-sensitive shoppers: </w:t>
      </w:r>
      <w:r>
        <w:t xml:space="preserve">Demand for smaller, cheaper packs. Score 16, </w:t>
      </w:r>
      <w:r>
        <w:rPr>
          <w:b/>
          <w:bCs/>
          <w:color w:val="C55A11"/>
        </w:rPr>
        <w:t xml:space="preserve">High</w:t>
      </w:r>
      <w:r>
        <w:t xml:space="preserve"> priority.</w:t>
      </w:r>
    </w:p>
    <w:p>
      <w:pPr>
        <w:pStyle w:val="ListParagraph"/>
        <w:numPr>
          <w:ilvl w:val="0"/>
          <w:numId w:val="2"/>
        </w:numPr>
        <w:spacing w:after="60"/>
      </w:pPr>
      <w:r>
        <w:rPr>
          <w:b/>
          <w:bCs/>
        </w:rPr>
        <w:t xml:space="preserve">Growing hygiene awareness: </w:t>
      </w:r>
      <w:r>
        <w:t xml:space="preserve">More demand for soaps and cleaning products. Score 12, </w:t>
      </w:r>
      <w:r>
        <w:t xml:space="preserve">Medium</w:t>
      </w:r>
      <w:r>
        <w:t xml:space="preserve"> priority.</w:t>
      </w:r>
    </w:p>
    <w:p>
      <w:pPr>
        <w:spacing w:before="120"/>
      </w:pPr>
      <w:r>
        <w:t xml:space="preserve">Nigeria's young and growing population is a large market, but shoppers want value for money.</w:t>
      </w:r>
    </w:p>
    <w:p>
      <w:pPr>
        <w:pStyle w:val="Heading2"/>
      </w:pPr>
      <w:r>
        <w:t xml:space="preserve">2.4 Technological factors</w:t>
      </w:r>
    </w:p>
    <w:p>
      <w:r>
        <w:rPr>
          <w:b/>
          <w:bCs/>
          <w:color w:val="1F4E79"/>
        </w:rPr>
        <w:t xml:space="preserve">Average score: </w:t>
      </w:r>
      <w:r>
        <w:t xml:space="preserve">14.3 out of 25 (rank 3 of 6)</w:t>
      </w:r>
    </w:p>
    <w:p>
      <w:pPr>
        <w:pStyle w:val="ListParagraph"/>
        <w:numPr>
          <w:ilvl w:val="0"/>
          <w:numId w:val="2"/>
        </w:numPr>
        <w:spacing w:after="60"/>
      </w:pPr>
      <w:r>
        <w:rPr>
          <w:b/>
          <w:bCs/>
        </w:rPr>
        <w:t xml:space="preserve">Social media and digital marketing: </w:t>
      </w:r>
      <w:r>
        <w:t xml:space="preserve">Cheaper, targeted adverts that reach young buyers. Score 15, </w:t>
      </w:r>
      <w:r>
        <w:t xml:space="preserve">Medium</w:t>
      </w:r>
      <w:r>
        <w:t xml:space="preserve"> priority.</w:t>
      </w:r>
    </w:p>
    <w:p>
      <w:pPr>
        <w:pStyle w:val="ListParagraph"/>
        <w:numPr>
          <w:ilvl w:val="0"/>
          <w:numId w:val="2"/>
        </w:numPr>
        <w:spacing w:after="60"/>
      </w:pPr>
      <w:r>
        <w:rPr>
          <w:b/>
          <w:bCs/>
        </w:rPr>
        <w:t xml:space="preserve">E-commerce and modern retail: </w:t>
      </w:r>
      <w:r>
        <w:t xml:space="preserve">New ways to sell: online stores and supermarkets. Score 12, </w:t>
      </w:r>
      <w:r>
        <w:t xml:space="preserve">Medium</w:t>
      </w:r>
      <w:r>
        <w:t xml:space="preserve"> priority.</w:t>
      </w:r>
    </w:p>
    <w:p>
      <w:pPr>
        <w:pStyle w:val="ListParagraph"/>
        <w:numPr>
          <w:ilvl w:val="0"/>
          <w:numId w:val="2"/>
        </w:numPr>
        <w:spacing w:after="60"/>
      </w:pPr>
      <w:r>
        <w:rPr>
          <w:b/>
          <w:bCs/>
        </w:rPr>
        <w:t xml:space="preserve">Poor power supply: </w:t>
      </w:r>
      <w:r>
        <w:t xml:space="preserve">Factories spend more on diesel and solar; demand for energy-saving appliances. Score 16, </w:t>
      </w:r>
      <w:r>
        <w:rPr>
          <w:b/>
          <w:bCs/>
          <w:color w:val="C55A11"/>
        </w:rPr>
        <w:t xml:space="preserve">High</w:t>
      </w:r>
      <w:r>
        <w:t xml:space="preserve"> priority.</w:t>
      </w:r>
    </w:p>
    <w:p>
      <w:pPr>
        <w:spacing w:before="120"/>
      </w:pPr>
      <w:r>
        <w:t xml:space="preserve">Digital channels are a cheap way to reach young buyers, but poor power supply raises costs.</w:t>
      </w:r>
    </w:p>
    <w:p>
      <w:pPr>
        <w:pStyle w:val="Heading2"/>
      </w:pPr>
      <w:r>
        <w:t xml:space="preserve">2.5 Legal factors</w:t>
      </w:r>
    </w:p>
    <w:p>
      <w:r>
        <w:rPr>
          <w:b/>
          <w:bCs/>
          <w:color w:val="1F4E79"/>
        </w:rPr>
        <w:t xml:space="preserve">Average score: </w:t>
      </w:r>
      <w:r>
        <w:t xml:space="preserve">11.7 out of 25 (rank 5 of 6)</w:t>
      </w:r>
    </w:p>
    <w:p>
      <w:pPr>
        <w:pStyle w:val="ListParagraph"/>
        <w:numPr>
          <w:ilvl w:val="0"/>
          <w:numId w:val="2"/>
        </w:numPr>
        <w:spacing w:after="60"/>
      </w:pPr>
      <w:r>
        <w:rPr>
          <w:b/>
          <w:bCs/>
        </w:rPr>
        <w:t xml:space="preserve">NAFDAC and SON product rules: </w:t>
      </w:r>
      <w:r>
        <w:t xml:space="preserve">Every product must be registered and meet standards. Score 15, </w:t>
      </w:r>
      <w:r>
        <w:t xml:space="preserve">Medium</w:t>
      </w:r>
      <w:r>
        <w:t xml:space="preserve"> priority.</w:t>
      </w:r>
    </w:p>
    <w:p>
      <w:pPr>
        <w:pStyle w:val="ListParagraph"/>
        <w:numPr>
          <w:ilvl w:val="0"/>
          <w:numId w:val="2"/>
        </w:numPr>
        <w:spacing w:after="60"/>
      </w:pPr>
      <w:r>
        <w:rPr>
          <w:b/>
          <w:bCs/>
        </w:rPr>
        <w:t xml:space="preserve">FCCPC and ARCON rules: </w:t>
      </w:r>
      <w:r>
        <w:t xml:space="preserve">Adverts need approval; fair prices and clear labels. Score 8, </w:t>
      </w:r>
      <w:r>
        <w:t xml:space="preserve">Low</w:t>
      </w:r>
      <w:r>
        <w:t xml:space="preserve"> priority.</w:t>
      </w:r>
    </w:p>
    <w:p>
      <w:pPr>
        <w:pStyle w:val="ListParagraph"/>
        <w:numPr>
          <w:ilvl w:val="0"/>
          <w:numId w:val="2"/>
        </w:numPr>
        <w:spacing w:after="60"/>
      </w:pPr>
      <w:r>
        <w:rPr>
          <w:b/>
          <w:bCs/>
        </w:rPr>
        <w:t xml:space="preserve">Tax reforms and ₦70,000 minimum wage: </w:t>
      </w:r>
      <w:r>
        <w:t xml:space="preserve">Higher staff costs and new tax rules to follow. Score 12, </w:t>
      </w:r>
      <w:r>
        <w:t xml:space="preserve">Medium</w:t>
      </w:r>
      <w:r>
        <w:t xml:space="preserve"> priority.</w:t>
      </w:r>
    </w:p>
    <w:p>
      <w:pPr>
        <w:spacing w:before="120"/>
      </w:pPr>
      <w:r>
        <w:t xml:space="preserve">PZ must register its products and follow advertising, consumer and tax rules, which adds cost and time.</w:t>
      </w:r>
    </w:p>
    <w:p>
      <w:pPr>
        <w:pStyle w:val="Heading2"/>
      </w:pPr>
      <w:r>
        <w:t xml:space="preserve">2.6 Environmental factors</w:t>
      </w:r>
    </w:p>
    <w:p>
      <w:r>
        <w:rPr>
          <w:b/>
          <w:bCs/>
          <w:color w:val="1F4E79"/>
        </w:rPr>
        <w:t xml:space="preserve">Average score: </w:t>
      </w:r>
      <w:r>
        <w:t xml:space="preserve">9.0 out of 25 (rank 6 of 6)</w:t>
      </w:r>
    </w:p>
    <w:p>
      <w:pPr>
        <w:pStyle w:val="ListParagraph"/>
        <w:numPr>
          <w:ilvl w:val="0"/>
          <w:numId w:val="2"/>
        </w:numPr>
        <w:spacing w:after="60"/>
      </w:pPr>
      <w:r>
        <w:rPr>
          <w:b/>
          <w:bCs/>
        </w:rPr>
        <w:t xml:space="preserve">Plastic waste rules: </w:t>
      </w:r>
      <w:r>
        <w:t xml:space="preserve">Must change packaging and pay for recycling (EPR). Score 12, </w:t>
      </w:r>
      <w:r>
        <w:t xml:space="preserve">Medium</w:t>
      </w:r>
      <w:r>
        <w:t xml:space="preserve"> priority.</w:t>
      </w:r>
    </w:p>
    <w:p>
      <w:pPr>
        <w:pStyle w:val="ListParagraph"/>
        <w:numPr>
          <w:ilvl w:val="0"/>
          <w:numId w:val="2"/>
        </w:numPr>
        <w:spacing w:after="60"/>
      </w:pPr>
      <w:r>
        <w:rPr>
          <w:b/>
          <w:bCs/>
        </w:rPr>
        <w:t xml:space="preserve">Flooding and climate change: </w:t>
      </w:r>
      <w:r>
        <w:t xml:space="preserve">Floods disrupt deliveries and damage stock. Score 9, </w:t>
      </w:r>
      <w:r>
        <w:t xml:space="preserve">Medium</w:t>
      </w:r>
      <w:r>
        <w:t xml:space="preserve"> priority.</w:t>
      </w:r>
    </w:p>
    <w:p>
      <w:pPr>
        <w:pStyle w:val="ListParagraph"/>
        <w:numPr>
          <w:ilvl w:val="0"/>
          <w:numId w:val="2"/>
        </w:numPr>
        <w:spacing w:after="60"/>
      </w:pPr>
      <w:r>
        <w:rPr>
          <w:b/>
          <w:bCs/>
        </w:rPr>
        <w:t xml:space="preserve">Demand for eco-friendly products: </w:t>
      </w:r>
      <w:r>
        <w:t xml:space="preserve">A chance to launch greener packs and appliances. Score 6, </w:t>
      </w:r>
      <w:r>
        <w:t xml:space="preserve">Low</w:t>
      </w:r>
      <w:r>
        <w:t xml:space="preserve"> priority.</w:t>
      </w:r>
    </w:p>
    <w:p>
      <w:pPr>
        <w:spacing w:before="120"/>
      </w:pPr>
      <w:r>
        <w:t xml:space="preserve">Plastic rules and climate risks mean PZ must plan greener packaging and protect its deliveries.</w:t>
      </w:r>
    </w:p>
    <w:p>
      <w:pPr>
        <w:pStyle w:val="Heading2"/>
      </w:pPr>
      <w:r>
        <w:t xml:space="preserve">2.7 PESTLE summary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3069"/>
        <w:gridCol w:w="1986"/>
        <w:gridCol w:w="2347"/>
        <w:gridCol w:w="1624"/>
      </w:tblGrid>
      <w:tr>
        <w:trPr>
          <w:cantSplit/>
          <w:tblHeader/>
        </w:trPr>
        <w:tc>
          <w:tcPr>
            <w:tcW w:type="dxa" w:w="3069"/>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Factor</w:t>
            </w:r>
          </w:p>
        </w:tc>
        <w:tc>
          <w:tcPr>
            <w:tcW w:type="dxa" w:w="1986"/>
            <w:tcBorders>
              <w:top w:val="single" w:color="BFBFBF" w:sz="4"/>
              <w:left w:val="single" w:color="BFBFBF" w:sz="4"/>
              <w:bottom w:val="single" w:color="BFBFBF" w:sz="4"/>
              <w:right w:val="single" w:color="BFBFBF" w:sz="4"/>
            </w:tcBorders>
            <w:shd w:fill="1F4E79" w:color="auto" w:val="clear"/>
            <w:vAlign w:val="center"/>
          </w:tcPr>
          <w:p>
            <w:pPr>
              <w:spacing w:after="0" w:line="240"/>
              <w:jc w:val="center"/>
            </w:pPr>
            <w:r>
              <w:rPr>
                <w:b/>
                <w:bCs/>
                <w:color w:val="FFFFFF"/>
              </w:rPr>
              <w:t xml:space="preserve">Average score (of 25)</w:t>
            </w:r>
          </w:p>
        </w:tc>
        <w:tc>
          <w:tcPr>
            <w:tcW w:type="dxa" w:w="2347"/>
            <w:tcBorders>
              <w:top w:val="single" w:color="BFBFBF" w:sz="4"/>
              <w:left w:val="single" w:color="BFBFBF" w:sz="4"/>
              <w:bottom w:val="single" w:color="BFBFBF" w:sz="4"/>
              <w:right w:val="single" w:color="BFBFBF" w:sz="4"/>
            </w:tcBorders>
            <w:shd w:fill="1F4E79" w:color="auto" w:val="clear"/>
            <w:vAlign w:val="center"/>
          </w:tcPr>
          <w:p>
            <w:pPr>
              <w:spacing w:after="0" w:line="240"/>
              <w:jc w:val="center"/>
            </w:pPr>
            <w:r>
              <w:rPr>
                <w:b/>
                <w:bCs/>
                <w:color w:val="FFFFFF"/>
              </w:rPr>
              <w:t xml:space="preserve">High-priority issues</w:t>
            </w:r>
          </w:p>
        </w:tc>
        <w:tc>
          <w:tcPr>
            <w:tcW w:type="dxa" w:w="1624"/>
            <w:tcBorders>
              <w:top w:val="single" w:color="BFBFBF" w:sz="4"/>
              <w:left w:val="single" w:color="BFBFBF" w:sz="4"/>
              <w:bottom w:val="single" w:color="BFBFBF" w:sz="4"/>
              <w:right w:val="single" w:color="BFBFBF" w:sz="4"/>
            </w:tcBorders>
            <w:shd w:fill="1F4E79" w:color="auto" w:val="clear"/>
            <w:vAlign w:val="center"/>
          </w:tcPr>
          <w:p>
            <w:pPr>
              <w:spacing w:after="0" w:line="240"/>
              <w:jc w:val="center"/>
            </w:pPr>
            <w:r>
              <w:rPr>
                <w:b/>
                <w:bCs/>
                <w:color w:val="FFFFFF"/>
              </w:rPr>
              <w:t xml:space="preserve">Rank</w:t>
            </w:r>
          </w:p>
        </w:tc>
      </w:tr>
      <w:tr>
        <w:trPr>
          <w:cantSplit/>
          <w:tblHeader w:val="false"/>
        </w:trPr>
        <w:tc>
          <w:tcPr>
            <w:tcW w:type="dxa" w:w="3069"/>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Political</w:t>
            </w:r>
          </w:p>
        </w:tc>
        <w:tc>
          <w:tcPr>
            <w:tcW w:type="dxa" w:w="1986"/>
            <w:tcBorders>
              <w:top w:val="single" w:color="BFBFBF" w:sz="4"/>
              <w:left w:val="single" w:color="BFBFBF" w:sz="4"/>
              <w:bottom w:val="single" w:color="BFBFBF" w:sz="4"/>
              <w:right w:val="single" w:color="BFBFBF" w:sz="4"/>
            </w:tcBorders>
            <w:vAlign w:val="center"/>
          </w:tcPr>
          <w:p>
            <w:pPr>
              <w:spacing w:after="0" w:line="240"/>
              <w:jc w:val="center"/>
            </w:pPr>
            <w:r>
              <w:t xml:space="preserve">13.7</w:t>
            </w:r>
          </w:p>
        </w:tc>
        <w:tc>
          <w:tcPr>
            <w:tcW w:type="dxa" w:w="2347"/>
            <w:tcBorders>
              <w:top w:val="single" w:color="BFBFBF" w:sz="4"/>
              <w:left w:val="single" w:color="BFBFBF" w:sz="4"/>
              <w:bottom w:val="single" w:color="BFBFBF" w:sz="4"/>
              <w:right w:val="single" w:color="BFBFBF" w:sz="4"/>
            </w:tcBorders>
            <w:vAlign w:val="center"/>
          </w:tcPr>
          <w:p>
            <w:pPr>
              <w:spacing w:after="0" w:line="240"/>
              <w:jc w:val="center"/>
            </w:pPr>
            <w:r>
              <w:t xml:space="preserve">1</w:t>
            </w:r>
          </w:p>
        </w:tc>
        <w:tc>
          <w:tcPr>
            <w:tcW w:type="dxa" w:w="1624"/>
            <w:tcBorders>
              <w:top w:val="single" w:color="BFBFBF" w:sz="4"/>
              <w:left w:val="single" w:color="BFBFBF" w:sz="4"/>
              <w:bottom w:val="single" w:color="BFBFBF" w:sz="4"/>
              <w:right w:val="single" w:color="BFBFBF" w:sz="4"/>
            </w:tcBorders>
            <w:vAlign w:val="center"/>
          </w:tcPr>
          <w:p>
            <w:pPr>
              <w:spacing w:after="0" w:line="240"/>
              <w:jc w:val="center"/>
            </w:pPr>
            <w:r>
              <w:t xml:space="preserve">4</w:t>
            </w:r>
          </w:p>
        </w:tc>
      </w:tr>
      <w:tr>
        <w:trPr>
          <w:cantSplit/>
          <w:tblHeader w:val="false"/>
        </w:trPr>
        <w:tc>
          <w:tcPr>
            <w:tcW w:type="dxa" w:w="3069"/>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Economic</w:t>
            </w:r>
          </w:p>
        </w:tc>
        <w:tc>
          <w:tcPr>
            <w:tcW w:type="dxa" w:w="1986"/>
            <w:tcBorders>
              <w:top w:val="single" w:color="BFBFBF" w:sz="4"/>
              <w:left w:val="single" w:color="BFBFBF" w:sz="4"/>
              <w:bottom w:val="single" w:color="BFBFBF" w:sz="4"/>
              <w:right w:val="single" w:color="BFBFBF" w:sz="4"/>
            </w:tcBorders>
            <w:vAlign w:val="center"/>
          </w:tcPr>
          <w:p>
            <w:pPr>
              <w:spacing w:after="0" w:line="240"/>
              <w:jc w:val="center"/>
            </w:pPr>
            <w:r>
              <w:t xml:space="preserve">20.7</w:t>
            </w:r>
          </w:p>
        </w:tc>
        <w:tc>
          <w:tcPr>
            <w:tcW w:type="dxa" w:w="2347"/>
            <w:tcBorders>
              <w:top w:val="single" w:color="BFBFBF" w:sz="4"/>
              <w:left w:val="single" w:color="BFBFBF" w:sz="4"/>
              <w:bottom w:val="single" w:color="BFBFBF" w:sz="4"/>
              <w:right w:val="single" w:color="BFBFBF" w:sz="4"/>
            </w:tcBorders>
            <w:vAlign w:val="center"/>
          </w:tcPr>
          <w:p>
            <w:pPr>
              <w:spacing w:after="0" w:line="240"/>
              <w:jc w:val="center"/>
            </w:pPr>
            <w:r>
              <w:t xml:space="preserve">2</w:t>
            </w:r>
          </w:p>
        </w:tc>
        <w:tc>
          <w:tcPr>
            <w:tcW w:type="dxa" w:w="1624"/>
            <w:tcBorders>
              <w:top w:val="single" w:color="BFBFBF" w:sz="4"/>
              <w:left w:val="single" w:color="BFBFBF" w:sz="4"/>
              <w:bottom w:val="single" w:color="BFBFBF" w:sz="4"/>
              <w:right w:val="single" w:color="BFBFBF" w:sz="4"/>
            </w:tcBorders>
            <w:vAlign w:val="center"/>
          </w:tcPr>
          <w:p>
            <w:pPr>
              <w:spacing w:after="0" w:line="240"/>
              <w:jc w:val="center"/>
            </w:pPr>
            <w:r>
              <w:t xml:space="preserve">1</w:t>
            </w:r>
          </w:p>
        </w:tc>
      </w:tr>
      <w:tr>
        <w:trPr>
          <w:cantSplit/>
          <w:tblHeader w:val="false"/>
        </w:trPr>
        <w:tc>
          <w:tcPr>
            <w:tcW w:type="dxa" w:w="3069"/>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Social</w:t>
            </w:r>
          </w:p>
        </w:tc>
        <w:tc>
          <w:tcPr>
            <w:tcW w:type="dxa" w:w="1986"/>
            <w:tcBorders>
              <w:top w:val="single" w:color="BFBFBF" w:sz="4"/>
              <w:left w:val="single" w:color="BFBFBF" w:sz="4"/>
              <w:bottom w:val="single" w:color="BFBFBF" w:sz="4"/>
              <w:right w:val="single" w:color="BFBFBF" w:sz="4"/>
            </w:tcBorders>
            <w:vAlign w:val="center"/>
          </w:tcPr>
          <w:p>
            <w:pPr>
              <w:spacing w:after="0" w:line="240"/>
              <w:jc w:val="center"/>
            </w:pPr>
            <w:r>
              <w:t xml:space="preserve">16.0</w:t>
            </w:r>
          </w:p>
        </w:tc>
        <w:tc>
          <w:tcPr>
            <w:tcW w:type="dxa" w:w="2347"/>
            <w:tcBorders>
              <w:top w:val="single" w:color="BFBFBF" w:sz="4"/>
              <w:left w:val="single" w:color="BFBFBF" w:sz="4"/>
              <w:bottom w:val="single" w:color="BFBFBF" w:sz="4"/>
              <w:right w:val="single" w:color="BFBFBF" w:sz="4"/>
            </w:tcBorders>
            <w:vAlign w:val="center"/>
          </w:tcPr>
          <w:p>
            <w:pPr>
              <w:spacing w:after="0" w:line="240"/>
              <w:jc w:val="center"/>
            </w:pPr>
            <w:r>
              <w:t xml:space="preserve">2</w:t>
            </w:r>
          </w:p>
        </w:tc>
        <w:tc>
          <w:tcPr>
            <w:tcW w:type="dxa" w:w="1624"/>
            <w:tcBorders>
              <w:top w:val="single" w:color="BFBFBF" w:sz="4"/>
              <w:left w:val="single" w:color="BFBFBF" w:sz="4"/>
              <w:bottom w:val="single" w:color="BFBFBF" w:sz="4"/>
              <w:right w:val="single" w:color="BFBFBF" w:sz="4"/>
            </w:tcBorders>
            <w:vAlign w:val="center"/>
          </w:tcPr>
          <w:p>
            <w:pPr>
              <w:spacing w:after="0" w:line="240"/>
              <w:jc w:val="center"/>
            </w:pPr>
            <w:r>
              <w:t xml:space="preserve">2</w:t>
            </w:r>
          </w:p>
        </w:tc>
      </w:tr>
      <w:tr>
        <w:trPr>
          <w:cantSplit/>
          <w:tblHeader w:val="false"/>
        </w:trPr>
        <w:tc>
          <w:tcPr>
            <w:tcW w:type="dxa" w:w="3069"/>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Technological</w:t>
            </w:r>
          </w:p>
        </w:tc>
        <w:tc>
          <w:tcPr>
            <w:tcW w:type="dxa" w:w="1986"/>
            <w:tcBorders>
              <w:top w:val="single" w:color="BFBFBF" w:sz="4"/>
              <w:left w:val="single" w:color="BFBFBF" w:sz="4"/>
              <w:bottom w:val="single" w:color="BFBFBF" w:sz="4"/>
              <w:right w:val="single" w:color="BFBFBF" w:sz="4"/>
            </w:tcBorders>
            <w:vAlign w:val="center"/>
          </w:tcPr>
          <w:p>
            <w:pPr>
              <w:spacing w:after="0" w:line="240"/>
              <w:jc w:val="center"/>
            </w:pPr>
            <w:r>
              <w:t xml:space="preserve">14.3</w:t>
            </w:r>
          </w:p>
        </w:tc>
        <w:tc>
          <w:tcPr>
            <w:tcW w:type="dxa" w:w="2347"/>
            <w:tcBorders>
              <w:top w:val="single" w:color="BFBFBF" w:sz="4"/>
              <w:left w:val="single" w:color="BFBFBF" w:sz="4"/>
              <w:bottom w:val="single" w:color="BFBFBF" w:sz="4"/>
              <w:right w:val="single" w:color="BFBFBF" w:sz="4"/>
            </w:tcBorders>
            <w:vAlign w:val="center"/>
          </w:tcPr>
          <w:p>
            <w:pPr>
              <w:spacing w:after="0" w:line="240"/>
              <w:jc w:val="center"/>
            </w:pPr>
            <w:r>
              <w:t xml:space="preserve">1</w:t>
            </w:r>
          </w:p>
        </w:tc>
        <w:tc>
          <w:tcPr>
            <w:tcW w:type="dxa" w:w="1624"/>
            <w:tcBorders>
              <w:top w:val="single" w:color="BFBFBF" w:sz="4"/>
              <w:left w:val="single" w:color="BFBFBF" w:sz="4"/>
              <w:bottom w:val="single" w:color="BFBFBF" w:sz="4"/>
              <w:right w:val="single" w:color="BFBFBF" w:sz="4"/>
            </w:tcBorders>
            <w:vAlign w:val="center"/>
          </w:tcPr>
          <w:p>
            <w:pPr>
              <w:spacing w:after="0" w:line="240"/>
              <w:jc w:val="center"/>
            </w:pPr>
            <w:r>
              <w:t xml:space="preserve">3</w:t>
            </w:r>
          </w:p>
        </w:tc>
      </w:tr>
      <w:tr>
        <w:trPr>
          <w:cantSplit/>
          <w:tblHeader w:val="false"/>
        </w:trPr>
        <w:tc>
          <w:tcPr>
            <w:tcW w:type="dxa" w:w="3069"/>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Legal</w:t>
            </w:r>
          </w:p>
        </w:tc>
        <w:tc>
          <w:tcPr>
            <w:tcW w:type="dxa" w:w="1986"/>
            <w:tcBorders>
              <w:top w:val="single" w:color="BFBFBF" w:sz="4"/>
              <w:left w:val="single" w:color="BFBFBF" w:sz="4"/>
              <w:bottom w:val="single" w:color="BFBFBF" w:sz="4"/>
              <w:right w:val="single" w:color="BFBFBF" w:sz="4"/>
            </w:tcBorders>
            <w:vAlign w:val="center"/>
          </w:tcPr>
          <w:p>
            <w:pPr>
              <w:spacing w:after="0" w:line="240"/>
              <w:jc w:val="center"/>
            </w:pPr>
            <w:r>
              <w:t xml:space="preserve">11.7</w:t>
            </w:r>
          </w:p>
        </w:tc>
        <w:tc>
          <w:tcPr>
            <w:tcW w:type="dxa" w:w="2347"/>
            <w:tcBorders>
              <w:top w:val="single" w:color="BFBFBF" w:sz="4"/>
              <w:left w:val="single" w:color="BFBFBF" w:sz="4"/>
              <w:bottom w:val="single" w:color="BFBFBF" w:sz="4"/>
              <w:right w:val="single" w:color="BFBFBF" w:sz="4"/>
            </w:tcBorders>
            <w:vAlign w:val="center"/>
          </w:tcPr>
          <w:p>
            <w:pPr>
              <w:spacing w:after="0" w:line="240"/>
              <w:jc w:val="center"/>
            </w:pPr>
            <w:r>
              <w:t xml:space="preserve">0</w:t>
            </w:r>
          </w:p>
        </w:tc>
        <w:tc>
          <w:tcPr>
            <w:tcW w:type="dxa" w:w="1624"/>
            <w:tcBorders>
              <w:top w:val="single" w:color="BFBFBF" w:sz="4"/>
              <w:left w:val="single" w:color="BFBFBF" w:sz="4"/>
              <w:bottom w:val="single" w:color="BFBFBF" w:sz="4"/>
              <w:right w:val="single" w:color="BFBFBF" w:sz="4"/>
            </w:tcBorders>
            <w:vAlign w:val="center"/>
          </w:tcPr>
          <w:p>
            <w:pPr>
              <w:spacing w:after="0" w:line="240"/>
              <w:jc w:val="center"/>
            </w:pPr>
            <w:r>
              <w:t xml:space="preserve">5</w:t>
            </w:r>
          </w:p>
        </w:tc>
      </w:tr>
      <w:tr>
        <w:trPr>
          <w:cantSplit/>
          <w:tblHeader w:val="false"/>
        </w:trPr>
        <w:tc>
          <w:tcPr>
            <w:tcW w:type="dxa" w:w="3069"/>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Environmental</w:t>
            </w:r>
          </w:p>
        </w:tc>
        <w:tc>
          <w:tcPr>
            <w:tcW w:type="dxa" w:w="1986"/>
            <w:tcBorders>
              <w:top w:val="single" w:color="BFBFBF" w:sz="4"/>
              <w:left w:val="single" w:color="BFBFBF" w:sz="4"/>
              <w:bottom w:val="single" w:color="BFBFBF" w:sz="4"/>
              <w:right w:val="single" w:color="BFBFBF" w:sz="4"/>
            </w:tcBorders>
            <w:vAlign w:val="center"/>
          </w:tcPr>
          <w:p>
            <w:pPr>
              <w:spacing w:after="0" w:line="240"/>
              <w:jc w:val="center"/>
            </w:pPr>
            <w:r>
              <w:t xml:space="preserve">9.0</w:t>
            </w:r>
          </w:p>
        </w:tc>
        <w:tc>
          <w:tcPr>
            <w:tcW w:type="dxa" w:w="2347"/>
            <w:tcBorders>
              <w:top w:val="single" w:color="BFBFBF" w:sz="4"/>
              <w:left w:val="single" w:color="BFBFBF" w:sz="4"/>
              <w:bottom w:val="single" w:color="BFBFBF" w:sz="4"/>
              <w:right w:val="single" w:color="BFBFBF" w:sz="4"/>
            </w:tcBorders>
            <w:vAlign w:val="center"/>
          </w:tcPr>
          <w:p>
            <w:pPr>
              <w:spacing w:after="0" w:line="240"/>
              <w:jc w:val="center"/>
            </w:pPr>
            <w:r>
              <w:t xml:space="preserve">0</w:t>
            </w:r>
          </w:p>
        </w:tc>
        <w:tc>
          <w:tcPr>
            <w:tcW w:type="dxa" w:w="1624"/>
            <w:tcBorders>
              <w:top w:val="single" w:color="BFBFBF" w:sz="4"/>
              <w:left w:val="single" w:color="BFBFBF" w:sz="4"/>
              <w:bottom w:val="single" w:color="BFBFBF" w:sz="4"/>
              <w:right w:val="single" w:color="BFBFBF" w:sz="4"/>
            </w:tcBorders>
            <w:vAlign w:val="center"/>
          </w:tcPr>
          <w:p>
            <w:pPr>
              <w:spacing w:after="0" w:line="240"/>
              <w:jc w:val="center"/>
            </w:pPr>
            <w:r>
              <w:t xml:space="preserve">6</w:t>
            </w:r>
          </w:p>
        </w:tc>
      </w:tr>
      <w:tr>
        <w:trPr>
          <w:cantSplit/>
          <w:tblHeader w:val="false"/>
        </w:trPr>
        <w:tc>
          <w:tcPr>
            <w:tcW w:type="dxa" w:w="3069"/>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All factors</w:t>
            </w:r>
          </w:p>
        </w:tc>
        <w:tc>
          <w:tcPr>
            <w:tcW w:type="dxa" w:w="1986"/>
            <w:tcBorders>
              <w:top w:val="single" w:color="BFBFBF" w:sz="4"/>
              <w:left w:val="single" w:color="BFBFBF" w:sz="4"/>
              <w:bottom w:val="single" w:color="BFBFBF" w:sz="4"/>
              <w:right w:val="single" w:color="BFBFBF" w:sz="4"/>
            </w:tcBorders>
            <w:vAlign w:val="center"/>
          </w:tcPr>
          <w:p>
            <w:pPr>
              <w:spacing w:after="0" w:line="240"/>
              <w:jc w:val="center"/>
            </w:pPr>
            <w:r>
              <w:rPr>
                <w:b/>
                <w:bCs/>
              </w:rPr>
              <w:t xml:space="preserve">14.2</w:t>
            </w:r>
          </w:p>
        </w:tc>
        <w:tc>
          <w:tcPr>
            <w:tcW w:type="dxa" w:w="2347"/>
            <w:tcBorders>
              <w:top w:val="single" w:color="BFBFBF" w:sz="4"/>
              <w:left w:val="single" w:color="BFBFBF" w:sz="4"/>
              <w:bottom w:val="single" w:color="BFBFBF" w:sz="4"/>
              <w:right w:val="single" w:color="BFBFBF" w:sz="4"/>
            </w:tcBorders>
            <w:vAlign w:val="center"/>
          </w:tcPr>
          <w:p>
            <w:pPr>
              <w:spacing w:after="0" w:line="240"/>
              <w:jc w:val="center"/>
            </w:pPr>
            <w:r>
              <w:rPr>
                <w:b/>
                <w:bCs/>
              </w:rPr>
              <w:t xml:space="preserve">6</w:t>
            </w:r>
          </w:p>
        </w:tc>
        <w:tc>
          <w:tcPr>
            <w:tcW w:type="dxa" w:w="1624"/>
            <w:tcBorders>
              <w:top w:val="single" w:color="BFBFBF" w:sz="4"/>
              <w:left w:val="single" w:color="BFBFBF" w:sz="4"/>
              <w:bottom w:val="single" w:color="BFBFBF" w:sz="4"/>
              <w:right w:val="single" w:color="BFBFBF" w:sz="4"/>
            </w:tcBorders>
            <w:vAlign w:val="center"/>
          </w:tcPr>
          <w:p>
            <w:pPr>
              <w:spacing w:after="0" w:line="240"/>
              <w:jc w:val="center"/>
            </w:pPr>
            <w:r>
              <w:t xml:space="preserve"/>
            </w:r>
          </w:p>
        </w:tc>
      </w:tr>
    </w:tbl>
    <w:p>
      <w:pPr>
        <w:spacing w:after="120"/>
      </w:pPr>
      <w:r>
        <w:t xml:space="preserve"/>
      </w:r>
    </w:p>
    <w:p>
      <w:r>
        <w:t xml:space="preserve">Economic factors matter most, with an average of 20.7 out of 25, and the biggest single issue is naira devaluation and FX shortages, which scores the maximum of 25. Environmental factors matter least (9.0). In total 6 of the 18 issues are high priority, and there are 12 threats against 6 opportunities, so PZ's business environment is difficult, mainly because of the economy.</w:t>
      </w:r>
    </w:p>
    <w:p>
      <w:pPr>
        <w:pStyle w:val="Heading1"/>
      </w:pPr>
      <w:r>
        <w:t xml:space="preserve">3. SWOT Analysis</w:t>
      </w:r>
    </w:p>
    <w:p>
      <w:r>
        <w:t xml:space="preserve">A SWOT analysis sums up the company's internal strengths and weaknesses, and the external opportunities and threats it faces.</w:t>
      </w:r>
    </w:p>
    <w:p>
      <w:pPr>
        <w:pStyle w:val="Heading2"/>
      </w:pPr>
      <w:r>
        <w:t xml:space="preserve">3.1 Strengths</w:t>
      </w:r>
    </w:p>
    <w:p>
      <w:r>
        <w:t xml:space="preserve">PZ's strengths come from its brands, its long history in Nigeria and the way it is organised.</w:t>
      </w:r>
    </w:p>
    <w:p>
      <w:pPr>
        <w:pStyle w:val="ListParagraph"/>
        <w:numPr>
          <w:ilvl w:val="0"/>
          <w:numId w:val="2"/>
        </w:numPr>
        <w:spacing w:after="60"/>
      </w:pPr>
      <w:r>
        <w:t xml:space="preserve">Well-known brands such as Imperial Leather and Joy.</w:t>
      </w:r>
    </w:p>
    <w:p>
      <w:pPr>
        <w:pStyle w:val="ListParagraph"/>
        <w:numPr>
          <w:ilvl w:val="0"/>
          <w:numId w:val="2"/>
        </w:numPr>
        <w:spacing w:after="60"/>
      </w:pPr>
      <w:r>
        <w:t xml:space="preserve">More than 100 years in Nigeria; trusted by buyers.</w:t>
      </w:r>
    </w:p>
    <w:p>
      <w:pPr>
        <w:pStyle w:val="ListParagraph"/>
        <w:numPr>
          <w:ilvl w:val="0"/>
          <w:numId w:val="2"/>
        </w:numPr>
        <w:spacing w:after="60"/>
      </w:pPr>
      <w:r>
        <w:t xml:space="preserve">Wide distribution network across Nigeria.</w:t>
      </w:r>
    </w:p>
    <w:p>
      <w:pPr>
        <w:pStyle w:val="ListParagraph"/>
        <w:numPr>
          <w:ilvl w:val="0"/>
          <w:numId w:val="2"/>
        </w:numPr>
        <w:spacing w:after="60"/>
      </w:pPr>
      <w:r>
        <w:t xml:space="preserve">Each business focuses on its own customers.</w:t>
      </w:r>
    </w:p>
    <w:p>
      <w:pPr>
        <w:pStyle w:val="ListParagraph"/>
        <w:numPr>
          <w:ilvl w:val="0"/>
          <w:numId w:val="2"/>
        </w:numPr>
        <w:spacing w:after="60"/>
      </w:pPr>
      <w:r>
        <w:t xml:space="preserve">One manager per brand; shared teams save money.</w:t>
      </w:r>
    </w:p>
    <w:p>
      <w:pPr>
        <w:pStyle w:val="ListParagraph"/>
        <w:numPr>
          <w:ilvl w:val="0"/>
          <w:numId w:val="2"/>
        </w:numPr>
        <w:spacing w:after="60"/>
      </w:pPr>
      <w:r>
        <w:t xml:space="preserve">Support from the UK owner (PZ Cussons).</w:t>
      </w:r>
    </w:p>
    <w:p>
      <w:pPr>
        <w:pStyle w:val="Heading2"/>
      </w:pPr>
      <w:r>
        <w:t xml:space="preserve">3.2 Weaknesses</w:t>
      </w:r>
    </w:p>
    <w:p>
      <w:r>
        <w:t xml:space="preserve">Most of PZ's weaknesses slow it down or raise its costs.</w:t>
      </w:r>
    </w:p>
    <w:p>
      <w:pPr>
        <w:pStyle w:val="ListParagraph"/>
        <w:numPr>
          <w:ilvl w:val="0"/>
          <w:numId w:val="2"/>
        </w:numPr>
        <w:spacing w:after="60"/>
      </w:pPr>
      <w:r>
        <w:t xml:space="preserve">Waiting for the UK owner's approval can slow work.</w:t>
      </w:r>
    </w:p>
    <w:p>
      <w:pPr>
        <w:pStyle w:val="ListParagraph"/>
        <w:numPr>
          <w:ilvl w:val="0"/>
          <w:numId w:val="2"/>
        </w:numPr>
        <w:spacing w:after="60"/>
      </w:pPr>
      <w:r>
        <w:t xml:space="preserve">Too many management levels can cause delays.</w:t>
      </w:r>
    </w:p>
    <w:p>
      <w:pPr>
        <w:pStyle w:val="ListParagraph"/>
        <w:numPr>
          <w:ilvl w:val="0"/>
          <w:numId w:val="2"/>
        </w:numPr>
        <w:spacing w:after="60"/>
      </w:pPr>
      <w:r>
        <w:t xml:space="preserve">Brands may fight over the same marketing money.</w:t>
      </w:r>
    </w:p>
    <w:p>
      <w:pPr>
        <w:pStyle w:val="ListParagraph"/>
        <w:numPr>
          <w:ilvl w:val="0"/>
          <w:numId w:val="2"/>
        </w:numPr>
        <w:spacing w:after="60"/>
      </w:pPr>
      <w:r>
        <w:t xml:space="preserve">Naira problems force hard decisions on imports.</w:t>
      </w:r>
    </w:p>
    <w:p>
      <w:pPr>
        <w:pStyle w:val="ListParagraph"/>
        <w:numPr>
          <w:ilvl w:val="0"/>
          <w:numId w:val="2"/>
        </w:numPr>
        <w:spacing w:after="60"/>
      </w:pPr>
      <w:r>
        <w:t xml:space="preserve">Prices often higher than local low-cost brands.</w:t>
      </w:r>
    </w:p>
    <w:p>
      <w:pPr>
        <w:pStyle w:val="Heading2"/>
      </w:pPr>
      <w:r>
        <w:t xml:space="preserve">3.3 Opportunities</w:t>
      </w:r>
    </w:p>
    <w:p>
      <w:r>
        <w:t xml:space="preserve">The opportunities come from Nigeria's large market and from changes among competitors.</w:t>
      </w:r>
    </w:p>
    <w:p>
      <w:pPr>
        <w:pStyle w:val="ListParagraph"/>
        <w:numPr>
          <w:ilvl w:val="0"/>
          <w:numId w:val="2"/>
        </w:numPr>
        <w:spacing w:after="60"/>
      </w:pPr>
      <w:r>
        <w:t xml:space="preserve">Large, young and growing population.</w:t>
      </w:r>
    </w:p>
    <w:p>
      <w:pPr>
        <w:pStyle w:val="ListParagraph"/>
        <w:numPr>
          <w:ilvl w:val="0"/>
          <w:numId w:val="2"/>
        </w:numPr>
        <w:spacing w:after="60"/>
      </w:pPr>
      <w:r>
        <w:t xml:space="preserve">Social media, e-commerce and modern retail.</w:t>
      </w:r>
    </w:p>
    <w:p>
      <w:pPr>
        <w:pStyle w:val="ListParagraph"/>
        <w:numPr>
          <w:ilvl w:val="0"/>
          <w:numId w:val="2"/>
        </w:numPr>
        <w:spacing w:after="60"/>
      </w:pPr>
      <w:r>
        <w:t xml:space="preserve">Smaller, affordable packs for shoppers on a budget.</w:t>
      </w:r>
    </w:p>
    <w:p>
      <w:pPr>
        <w:pStyle w:val="ListParagraph"/>
        <w:numPr>
          <w:ilvl w:val="0"/>
          <w:numId w:val="2"/>
        </w:numPr>
        <w:spacing w:after="60"/>
      </w:pPr>
      <w:r>
        <w:t xml:space="preserve">Customers left by Unilever and P&amp;G since 2023.</w:t>
      </w:r>
    </w:p>
    <w:p>
      <w:pPr>
        <w:pStyle w:val="ListParagraph"/>
        <w:numPr>
          <w:ilvl w:val="0"/>
          <w:numId w:val="2"/>
        </w:numPr>
        <w:spacing w:after="60"/>
      </w:pPr>
      <w:r>
        <w:t xml:space="preserve">Exports to other African countries under AfCFTA.</w:t>
      </w:r>
    </w:p>
    <w:p>
      <w:pPr>
        <w:pStyle w:val="ListParagraph"/>
        <w:numPr>
          <w:ilvl w:val="0"/>
          <w:numId w:val="2"/>
        </w:numPr>
        <w:spacing w:after="60"/>
      </w:pPr>
      <w:r>
        <w:t xml:space="preserve">Buying raw materials locally to cut dollar costs.</w:t>
      </w:r>
    </w:p>
    <w:p>
      <w:pPr>
        <w:pStyle w:val="Heading2"/>
      </w:pPr>
      <w:r>
        <w:t xml:space="preserve">3.4 Threats</w:t>
      </w:r>
    </w:p>
    <w:p>
      <w:r>
        <w:t xml:space="preserve">The threats come mainly from the economy and from competition.</w:t>
      </w:r>
    </w:p>
    <w:p>
      <w:pPr>
        <w:pStyle w:val="ListParagraph"/>
        <w:numPr>
          <w:ilvl w:val="0"/>
          <w:numId w:val="2"/>
        </w:numPr>
        <w:spacing w:after="60"/>
      </w:pPr>
      <w:r>
        <w:t xml:space="preserve">Naira devaluation and foreign-exchange shortages.</w:t>
      </w:r>
    </w:p>
    <w:p>
      <w:pPr>
        <w:pStyle w:val="ListParagraph"/>
        <w:numPr>
          <w:ilvl w:val="0"/>
          <w:numId w:val="2"/>
        </w:numPr>
        <w:spacing w:after="60"/>
      </w:pPr>
      <w:r>
        <w:t xml:space="preserve">High inflation reduces what consumers can spend.</w:t>
      </w:r>
    </w:p>
    <w:p>
      <w:pPr>
        <w:pStyle w:val="ListParagraph"/>
        <w:numPr>
          <w:ilvl w:val="0"/>
          <w:numId w:val="2"/>
        </w:numPr>
        <w:spacing w:after="60"/>
      </w:pPr>
      <w:r>
        <w:t xml:space="preserve">Strong competition and cheap imports.</w:t>
      </w:r>
    </w:p>
    <w:p>
      <w:pPr>
        <w:pStyle w:val="ListParagraph"/>
        <w:numPr>
          <w:ilvl w:val="0"/>
          <w:numId w:val="2"/>
        </w:numPr>
        <w:spacing w:after="60"/>
      </w:pPr>
      <w:r>
        <w:t xml:space="preserve">Fake (counterfeit) products.</w:t>
      </w:r>
    </w:p>
    <w:p>
      <w:pPr>
        <w:pStyle w:val="ListParagraph"/>
        <w:numPr>
          <w:ilvl w:val="0"/>
          <w:numId w:val="2"/>
        </w:numPr>
        <w:spacing w:after="60"/>
      </w:pPr>
      <w:r>
        <w:t xml:space="preserve">High energy and transport costs.</w:t>
      </w:r>
    </w:p>
    <w:p>
      <w:pPr>
        <w:pStyle w:val="ListParagraph"/>
        <w:numPr>
          <w:ilvl w:val="0"/>
          <w:numId w:val="2"/>
        </w:numPr>
        <w:spacing w:after="60"/>
      </w:pPr>
      <w:r>
        <w:t xml:space="preserve">Policy changes and insecurity.</w:t>
      </w:r>
    </w:p>
    <w:p>
      <w:pPr>
        <w:pStyle w:val="Heading2"/>
      </w:pPr>
      <w:r>
        <w:t xml:space="preserve">3.5 SWOT scoring (IFE and EFE)</w:t>
      </w:r>
    </w:p>
    <w:p>
      <w:pPr>
        <w:keepNext/>
      </w:pPr>
      <w:r>
        <w:t xml:space="preserve">To see which points matter most, each one was given a weight for its importance (each set of weights adds up to 1.00) and a rating from 1 to 4. For the internal factors (IFE), strengths are rated 3 or 4 and weaknesses 1 or 2; for the external factors (EFE), the rating shows how well PZ responds today. Weight × rating gives the weighted score, and a total of 2.50 is average.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5416"/>
        <w:gridCol w:w="3610"/>
      </w:tblGrid>
      <w:tr>
        <w:trPr>
          <w:cantSplit/>
          <w:tblHeader/>
        </w:trPr>
        <w:tc>
          <w:tcPr>
            <w:tcW w:type="dxa" w:w="5416"/>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Group</w:t>
            </w:r>
          </w:p>
        </w:tc>
        <w:tc>
          <w:tcPr>
            <w:tcW w:type="dxa" w:w="3610"/>
            <w:tcBorders>
              <w:top w:val="single" w:color="BFBFBF" w:sz="4"/>
              <w:left w:val="single" w:color="BFBFBF" w:sz="4"/>
              <w:bottom w:val="single" w:color="BFBFBF" w:sz="4"/>
              <w:right w:val="single" w:color="BFBFBF" w:sz="4"/>
            </w:tcBorders>
            <w:shd w:fill="1F4E79" w:color="auto" w:val="clear"/>
            <w:vAlign w:val="center"/>
          </w:tcPr>
          <w:p>
            <w:pPr>
              <w:spacing w:after="0" w:line="240"/>
              <w:jc w:val="center"/>
            </w:pPr>
            <w:r>
              <w:rPr>
                <w:b/>
                <w:bCs/>
                <w:color w:val="FFFFFF"/>
              </w:rPr>
              <w:t xml:space="preserve">Weighted score</w:t>
            </w:r>
          </w:p>
        </w:tc>
      </w:tr>
      <w:tr>
        <w:trPr>
          <w:cantSplit/>
          <w:tblHeader w:val="false"/>
        </w:trPr>
        <w:tc>
          <w:tcPr>
            <w:tcW w:type="dxa" w:w="5416"/>
            <w:tcBorders>
              <w:top w:val="single" w:color="BFBFBF" w:sz="4"/>
              <w:left w:val="single" w:color="BFBFBF" w:sz="4"/>
              <w:bottom w:val="single" w:color="BFBFBF" w:sz="4"/>
              <w:right w:val="single" w:color="BFBFBF" w:sz="4"/>
            </w:tcBorders>
            <w:vAlign w:val="center"/>
          </w:tcPr>
          <w:p>
            <w:pPr>
              <w:spacing w:after="0" w:line="240"/>
              <w:jc w:val="left"/>
            </w:pPr>
            <w:r>
              <w:t xml:space="preserve">Strengths</w:t>
            </w:r>
          </w:p>
        </w:tc>
        <w:tc>
          <w:tcPr>
            <w:tcW w:type="dxa" w:w="3610"/>
            <w:tcBorders>
              <w:top w:val="single" w:color="BFBFBF" w:sz="4"/>
              <w:left w:val="single" w:color="BFBFBF" w:sz="4"/>
              <w:bottom w:val="single" w:color="BFBFBF" w:sz="4"/>
              <w:right w:val="single" w:color="BFBFBF" w:sz="4"/>
            </w:tcBorders>
            <w:vAlign w:val="center"/>
          </w:tcPr>
          <w:p>
            <w:pPr>
              <w:spacing w:after="0" w:line="240"/>
              <w:jc w:val="center"/>
            </w:pPr>
            <w:r>
              <w:t xml:space="preserve">2.05</w:t>
            </w:r>
          </w:p>
        </w:tc>
      </w:tr>
      <w:tr>
        <w:trPr>
          <w:cantSplit/>
          <w:tblHeader w:val="false"/>
        </w:trPr>
        <w:tc>
          <w:tcPr>
            <w:tcW w:type="dxa" w:w="5416"/>
            <w:tcBorders>
              <w:top w:val="single" w:color="BFBFBF" w:sz="4"/>
              <w:left w:val="single" w:color="BFBFBF" w:sz="4"/>
              <w:bottom w:val="single" w:color="BFBFBF" w:sz="4"/>
              <w:right w:val="single" w:color="BFBFBF" w:sz="4"/>
            </w:tcBorders>
            <w:vAlign w:val="center"/>
          </w:tcPr>
          <w:p>
            <w:pPr>
              <w:spacing w:after="0" w:line="240"/>
              <w:jc w:val="left"/>
            </w:pPr>
            <w:r>
              <w:t xml:space="preserve">Weaknesses</w:t>
            </w:r>
          </w:p>
        </w:tc>
        <w:tc>
          <w:tcPr>
            <w:tcW w:type="dxa" w:w="3610"/>
            <w:tcBorders>
              <w:top w:val="single" w:color="BFBFBF" w:sz="4"/>
              <w:left w:val="single" w:color="BFBFBF" w:sz="4"/>
              <w:bottom w:val="single" w:color="BFBFBF" w:sz="4"/>
              <w:right w:val="single" w:color="BFBFBF" w:sz="4"/>
            </w:tcBorders>
            <w:vAlign w:val="center"/>
          </w:tcPr>
          <w:p>
            <w:pPr>
              <w:spacing w:after="0" w:line="240"/>
              <w:jc w:val="center"/>
            </w:pPr>
            <w:r>
              <w:t xml:space="preserve">0.68</w:t>
            </w:r>
          </w:p>
        </w:tc>
      </w:tr>
      <w:tr>
        <w:trPr>
          <w:cantSplit/>
          <w:tblHeader w:val="false"/>
        </w:trPr>
        <w:tc>
          <w:tcPr>
            <w:tcW w:type="dxa" w:w="541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IFE total (internal factors)</w:t>
            </w:r>
          </w:p>
        </w:tc>
        <w:tc>
          <w:tcPr>
            <w:tcW w:type="dxa" w:w="3610"/>
            <w:tcBorders>
              <w:top w:val="single" w:color="BFBFBF" w:sz="4"/>
              <w:left w:val="single" w:color="BFBFBF" w:sz="4"/>
              <w:bottom w:val="single" w:color="BFBFBF" w:sz="4"/>
              <w:right w:val="single" w:color="BFBFBF" w:sz="4"/>
            </w:tcBorders>
            <w:vAlign w:val="center"/>
          </w:tcPr>
          <w:p>
            <w:pPr>
              <w:spacing w:after="0" w:line="240"/>
              <w:jc w:val="center"/>
            </w:pPr>
            <w:r>
              <w:rPr>
                <w:b/>
                <w:bCs/>
              </w:rPr>
              <w:t xml:space="preserve">2.73</w:t>
            </w:r>
          </w:p>
        </w:tc>
      </w:tr>
      <w:tr>
        <w:trPr>
          <w:cantSplit/>
          <w:tblHeader w:val="false"/>
        </w:trPr>
        <w:tc>
          <w:tcPr>
            <w:tcW w:type="dxa" w:w="5416"/>
            <w:tcBorders>
              <w:top w:val="single" w:color="BFBFBF" w:sz="4"/>
              <w:left w:val="single" w:color="BFBFBF" w:sz="4"/>
              <w:bottom w:val="single" w:color="BFBFBF" w:sz="4"/>
              <w:right w:val="single" w:color="BFBFBF" w:sz="4"/>
            </w:tcBorders>
            <w:vAlign w:val="center"/>
          </w:tcPr>
          <w:p>
            <w:pPr>
              <w:spacing w:after="0" w:line="240"/>
              <w:jc w:val="left"/>
            </w:pPr>
            <w:r>
              <w:t xml:space="preserve">Opportunities</w:t>
            </w:r>
          </w:p>
        </w:tc>
        <w:tc>
          <w:tcPr>
            <w:tcW w:type="dxa" w:w="3610"/>
            <w:tcBorders>
              <w:top w:val="single" w:color="BFBFBF" w:sz="4"/>
              <w:left w:val="single" w:color="BFBFBF" w:sz="4"/>
              <w:bottom w:val="single" w:color="BFBFBF" w:sz="4"/>
              <w:right w:val="single" w:color="BFBFBF" w:sz="4"/>
            </w:tcBorders>
            <w:vAlign w:val="center"/>
          </w:tcPr>
          <w:p>
            <w:pPr>
              <w:spacing w:after="0" w:line="240"/>
              <w:jc w:val="center"/>
            </w:pPr>
            <w:r>
              <w:t xml:space="preserve">1.32</w:t>
            </w:r>
          </w:p>
        </w:tc>
      </w:tr>
      <w:tr>
        <w:trPr>
          <w:cantSplit/>
          <w:tblHeader w:val="false"/>
        </w:trPr>
        <w:tc>
          <w:tcPr>
            <w:tcW w:type="dxa" w:w="5416"/>
            <w:tcBorders>
              <w:top w:val="single" w:color="BFBFBF" w:sz="4"/>
              <w:left w:val="single" w:color="BFBFBF" w:sz="4"/>
              <w:bottom w:val="single" w:color="BFBFBF" w:sz="4"/>
              <w:right w:val="single" w:color="BFBFBF" w:sz="4"/>
            </w:tcBorders>
            <w:vAlign w:val="center"/>
          </w:tcPr>
          <w:p>
            <w:pPr>
              <w:spacing w:after="0" w:line="240"/>
              <w:jc w:val="left"/>
            </w:pPr>
            <w:r>
              <w:t xml:space="preserve">Threats</w:t>
            </w:r>
          </w:p>
        </w:tc>
        <w:tc>
          <w:tcPr>
            <w:tcW w:type="dxa" w:w="3610"/>
            <w:tcBorders>
              <w:top w:val="single" w:color="BFBFBF" w:sz="4"/>
              <w:left w:val="single" w:color="BFBFBF" w:sz="4"/>
              <w:bottom w:val="single" w:color="BFBFBF" w:sz="4"/>
              <w:right w:val="single" w:color="BFBFBF" w:sz="4"/>
            </w:tcBorders>
            <w:vAlign w:val="center"/>
          </w:tcPr>
          <w:p>
            <w:pPr>
              <w:spacing w:after="0" w:line="240"/>
              <w:jc w:val="center"/>
            </w:pPr>
            <w:r>
              <w:t xml:space="preserve">1.09</w:t>
            </w:r>
          </w:p>
        </w:tc>
      </w:tr>
      <w:tr>
        <w:trPr>
          <w:cantSplit/>
          <w:tblHeader w:val="false"/>
        </w:trPr>
        <w:tc>
          <w:tcPr>
            <w:tcW w:type="dxa" w:w="541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EFE total (external factors)</w:t>
            </w:r>
          </w:p>
        </w:tc>
        <w:tc>
          <w:tcPr>
            <w:tcW w:type="dxa" w:w="3610"/>
            <w:tcBorders>
              <w:top w:val="single" w:color="BFBFBF" w:sz="4"/>
              <w:left w:val="single" w:color="BFBFBF" w:sz="4"/>
              <w:bottom w:val="single" w:color="BFBFBF" w:sz="4"/>
              <w:right w:val="single" w:color="BFBFBF" w:sz="4"/>
            </w:tcBorders>
            <w:vAlign w:val="center"/>
          </w:tcPr>
          <w:p>
            <w:pPr>
              <w:spacing w:after="0" w:line="240"/>
              <w:jc w:val="center"/>
            </w:pPr>
            <w:r>
              <w:rPr>
                <w:b/>
                <w:bCs/>
              </w:rPr>
              <w:t xml:space="preserve">2.41</w:t>
            </w:r>
          </w:p>
        </w:tc>
      </w:tr>
    </w:tbl>
    <w:p>
      <w:pPr>
        <w:spacing w:after="120"/>
      </w:pPr>
      <w:r>
        <w:t xml:space="preserve"/>
      </w:r>
    </w:p>
    <w:p>
      <w:r>
        <w:t xml:space="preserve">The IFE total of 2.73 is above average, so strengths outweigh weaknesses. The EFE total of 2.41 is below average, so PZ must respond better to opportunities and threats. Together they place PZ in cell V of the internal-external (IE) matrix, which means hold and maintain: the right strategies are market penetration and product development.</w:t>
      </w:r>
    </w:p>
    <w:p>
      <w:pPr>
        <w:pStyle w:val="Heading1"/>
      </w:pPr>
      <w:r>
        <w:t xml:space="preserve">4. Industry Analysis</w:t>
      </w:r>
    </w:p>
    <w:p>
      <w:pPr>
        <w:pStyle w:val="Heading2"/>
      </w:pPr>
      <w:r>
        <w:t xml:space="preserve">4.1 Industry overview</w:t>
      </w:r>
    </w:p>
    <w:p>
      <w:r>
        <w:rPr>
          <w:b/>
          <w:bCs/>
          <w:color w:val="1F4E79"/>
        </w:rPr>
        <w:t xml:space="preserve">Industry: </w:t>
      </w:r>
      <w:r>
        <w:t xml:space="preserve">Fast-moving consumer goods (FMCG): personal care (soaps, bathing) and home care (dishwashing), plus consumer electricals.</w:t>
      </w:r>
    </w:p>
    <w:p>
      <w:r>
        <w:rPr>
          <w:b/>
          <w:bCs/>
          <w:color w:val="1F4E79"/>
        </w:rPr>
        <w:t xml:space="preserve">Market: </w:t>
      </w:r>
      <w:r>
        <w:t xml:space="preserve">Over 200 million people, most of them young: one of Africa's largest consumer markets.</w:t>
      </w:r>
    </w:p>
    <w:p>
      <w:r>
        <w:rPr>
          <w:b/>
          <w:bCs/>
          <w:color w:val="1F4E79"/>
        </w:rPr>
        <w:t xml:space="preserve">Customers: </w:t>
      </w:r>
      <w:r>
        <w:t xml:space="preserve">Households, reached through distributors, wholesalers, open markets, supermarkets and online stores.</w:t>
      </w:r>
    </w:p>
    <w:p>
      <w:r>
        <w:rPr>
          <w:b/>
          <w:bCs/>
          <w:color w:val="1F4E79"/>
        </w:rPr>
        <w:t xml:space="preserve">Key trends: </w:t>
      </w:r>
      <w:r>
        <w:t xml:space="preserve">Prices rising with inflation; shoppers moving to smaller packs and cheaper brands; multinationals cutting local production; more selling online and on social media.</w:t>
      </w:r>
    </w:p>
    <w:p>
      <w:r>
        <w:rPr>
          <w:b/>
          <w:bCs/>
          <w:color w:val="1F4E79"/>
        </w:rPr>
        <w:t xml:space="preserve">Key success factors: </w:t>
      </w:r>
      <w:r>
        <w:t xml:space="preserve">Strong brands, low costs, wide distribution, local raw materials and affordable pack sizes.</w:t>
      </w:r>
    </w:p>
    <w:p>
      <w:pPr>
        <w:pStyle w:val="Heading2"/>
      </w:pPr>
      <w:r>
        <w:t xml:space="preserve">4.2 Porter's Five Forces</w:t>
      </w:r>
    </w:p>
    <w:p>
      <w:pPr>
        <w:keepNext/>
      </w:pPr>
      <w:r>
        <w:t xml:space="preserve">Porter's Five Forces shows how strong the competitive pressure in an industry is. Each force was rated from 1 (weak) to 5 (strong).</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708"/>
        <w:gridCol w:w="1083"/>
        <w:gridCol w:w="1173"/>
        <w:gridCol w:w="4062"/>
      </w:tblGrid>
      <w:tr>
        <w:trPr>
          <w:cantSplit/>
          <w:tblHeader/>
        </w:trPr>
        <w:tc>
          <w:tcPr>
            <w:tcW w:type="dxa" w:w="2708"/>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Force</w:t>
            </w:r>
          </w:p>
        </w:tc>
        <w:tc>
          <w:tcPr>
            <w:tcW w:type="dxa" w:w="1083"/>
            <w:tcBorders>
              <w:top w:val="single" w:color="BFBFBF" w:sz="4"/>
              <w:left w:val="single" w:color="BFBFBF" w:sz="4"/>
              <w:bottom w:val="single" w:color="BFBFBF" w:sz="4"/>
              <w:right w:val="single" w:color="BFBFBF" w:sz="4"/>
            </w:tcBorders>
            <w:shd w:fill="1F4E79" w:color="auto" w:val="clear"/>
            <w:vAlign w:val="center"/>
          </w:tcPr>
          <w:p>
            <w:pPr>
              <w:spacing w:after="0" w:line="240"/>
              <w:jc w:val="center"/>
            </w:pPr>
            <w:r>
              <w:rPr>
                <w:b/>
                <w:bCs/>
                <w:color w:val="FFFFFF"/>
              </w:rPr>
              <w:t xml:space="preserve">Strength</w:t>
            </w:r>
          </w:p>
        </w:tc>
        <w:tc>
          <w:tcPr>
            <w:tcW w:type="dxa" w:w="1173"/>
            <w:tcBorders>
              <w:top w:val="single" w:color="BFBFBF" w:sz="4"/>
              <w:left w:val="single" w:color="BFBFBF" w:sz="4"/>
              <w:bottom w:val="single" w:color="BFBFBF" w:sz="4"/>
              <w:right w:val="single" w:color="BFBFBF" w:sz="4"/>
            </w:tcBorders>
            <w:shd w:fill="1F4E79" w:color="auto" w:val="clear"/>
            <w:vAlign w:val="center"/>
          </w:tcPr>
          <w:p>
            <w:pPr>
              <w:spacing w:after="0" w:line="240"/>
              <w:jc w:val="center"/>
            </w:pPr>
            <w:r>
              <w:rPr>
                <w:b/>
                <w:bCs/>
                <w:color w:val="FFFFFF"/>
              </w:rPr>
              <w:t xml:space="preserve">Level</w:t>
            </w:r>
          </w:p>
        </w:tc>
        <w:tc>
          <w:tcPr>
            <w:tcW w:type="dxa" w:w="4062"/>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Why</w:t>
            </w:r>
          </w:p>
        </w:tc>
      </w:tr>
      <w:tr>
        <w:trPr>
          <w:cantSplit/>
          <w:tblHeader w:val="false"/>
        </w:trPr>
        <w:tc>
          <w:tcPr>
            <w:tcW w:type="dxa" w:w="2708"/>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Competitive rivalry</w:t>
            </w:r>
          </w:p>
        </w:tc>
        <w:tc>
          <w:tcPr>
            <w:tcW w:type="dxa" w:w="1083"/>
            <w:tcBorders>
              <w:top w:val="single" w:color="BFBFBF" w:sz="4"/>
              <w:left w:val="single" w:color="BFBFBF" w:sz="4"/>
              <w:bottom w:val="single" w:color="BFBFBF" w:sz="4"/>
              <w:right w:val="single" w:color="BFBFBF" w:sz="4"/>
            </w:tcBorders>
            <w:vAlign w:val="center"/>
          </w:tcPr>
          <w:p>
            <w:pPr>
              <w:spacing w:after="0" w:line="240"/>
              <w:jc w:val="center"/>
            </w:pPr>
            <w:r>
              <w:t xml:space="preserve">5 of 5</w:t>
            </w:r>
          </w:p>
        </w:tc>
        <w:tc>
          <w:tcPr>
            <w:tcW w:type="dxa" w:w="1173"/>
            <w:tcBorders>
              <w:top w:val="single" w:color="BFBFBF" w:sz="4"/>
              <w:left w:val="single" w:color="BFBFBF" w:sz="4"/>
              <w:bottom w:val="single" w:color="BFBFBF" w:sz="4"/>
              <w:right w:val="single" w:color="BFBFBF" w:sz="4"/>
            </w:tcBorders>
            <w:vAlign w:val="center"/>
          </w:tcPr>
          <w:p>
            <w:pPr>
              <w:spacing w:after="0" w:line="240"/>
              <w:jc w:val="center"/>
            </w:pPr>
            <w:r>
              <w:rPr>
                <w:b/>
                <w:bCs/>
                <w:color w:val="C55A11"/>
              </w:rPr>
              <w:t xml:space="preserve">High</w:t>
            </w:r>
          </w:p>
        </w:tc>
        <w:tc>
          <w:tcPr>
            <w:tcW w:type="dxa" w:w="4062"/>
            <w:tcBorders>
              <w:top w:val="single" w:color="BFBFBF" w:sz="4"/>
              <w:left w:val="single" w:color="BFBFBF" w:sz="4"/>
              <w:bottom w:val="single" w:color="BFBFBF" w:sz="4"/>
              <w:right w:val="single" w:color="BFBFBF" w:sz="4"/>
            </w:tcBorders>
            <w:vAlign w:val="center"/>
          </w:tcPr>
          <w:p>
            <w:pPr>
              <w:spacing w:after="0" w:line="240"/>
              <w:jc w:val="left"/>
            </w:pPr>
            <w:r>
              <w:t xml:space="preserve">Many local and foreign brands fight on price, promotions and shelf space.</w:t>
            </w:r>
          </w:p>
        </w:tc>
      </w:tr>
      <w:tr>
        <w:trPr>
          <w:cantSplit/>
          <w:tblHeader w:val="false"/>
        </w:trPr>
        <w:tc>
          <w:tcPr>
            <w:tcW w:type="dxa" w:w="2708"/>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Bargaining power of buyers</w:t>
            </w:r>
          </w:p>
        </w:tc>
        <w:tc>
          <w:tcPr>
            <w:tcW w:type="dxa" w:w="1083"/>
            <w:tcBorders>
              <w:top w:val="single" w:color="BFBFBF" w:sz="4"/>
              <w:left w:val="single" w:color="BFBFBF" w:sz="4"/>
              <w:bottom w:val="single" w:color="BFBFBF" w:sz="4"/>
              <w:right w:val="single" w:color="BFBFBF" w:sz="4"/>
            </w:tcBorders>
            <w:vAlign w:val="center"/>
          </w:tcPr>
          <w:p>
            <w:pPr>
              <w:spacing w:after="0" w:line="240"/>
              <w:jc w:val="center"/>
            </w:pPr>
            <w:r>
              <w:t xml:space="preserve">4 of 5</w:t>
            </w:r>
          </w:p>
        </w:tc>
        <w:tc>
          <w:tcPr>
            <w:tcW w:type="dxa" w:w="1173"/>
            <w:tcBorders>
              <w:top w:val="single" w:color="BFBFBF" w:sz="4"/>
              <w:left w:val="single" w:color="BFBFBF" w:sz="4"/>
              <w:bottom w:val="single" w:color="BFBFBF" w:sz="4"/>
              <w:right w:val="single" w:color="BFBFBF" w:sz="4"/>
            </w:tcBorders>
            <w:vAlign w:val="center"/>
          </w:tcPr>
          <w:p>
            <w:pPr>
              <w:spacing w:after="0" w:line="240"/>
              <w:jc w:val="center"/>
            </w:pPr>
            <w:r>
              <w:rPr>
                <w:b/>
                <w:bCs/>
                <w:color w:val="C55A11"/>
              </w:rPr>
              <w:t xml:space="preserve">High</w:t>
            </w:r>
          </w:p>
        </w:tc>
        <w:tc>
          <w:tcPr>
            <w:tcW w:type="dxa" w:w="4062"/>
            <w:tcBorders>
              <w:top w:val="single" w:color="BFBFBF" w:sz="4"/>
              <w:left w:val="single" w:color="BFBFBF" w:sz="4"/>
              <w:bottom w:val="single" w:color="BFBFBF" w:sz="4"/>
              <w:right w:val="single" w:color="BFBFBF" w:sz="4"/>
            </w:tcBorders>
            <w:vAlign w:val="center"/>
          </w:tcPr>
          <w:p>
            <w:pPr>
              <w:spacing w:after="0" w:line="240"/>
              <w:jc w:val="left"/>
            </w:pPr>
            <w:r>
              <w:t xml:space="preserve">Shoppers are price-sensitive and switch brands easily; big distributors bargain hard.</w:t>
            </w:r>
          </w:p>
        </w:tc>
      </w:tr>
      <w:tr>
        <w:trPr>
          <w:cantSplit/>
          <w:tblHeader w:val="false"/>
        </w:trPr>
        <w:tc>
          <w:tcPr>
            <w:tcW w:type="dxa" w:w="2708"/>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Bargaining power of suppliers</w:t>
            </w:r>
          </w:p>
        </w:tc>
        <w:tc>
          <w:tcPr>
            <w:tcW w:type="dxa" w:w="1083"/>
            <w:tcBorders>
              <w:top w:val="single" w:color="BFBFBF" w:sz="4"/>
              <w:left w:val="single" w:color="BFBFBF" w:sz="4"/>
              <w:bottom w:val="single" w:color="BFBFBF" w:sz="4"/>
              <w:right w:val="single" w:color="BFBFBF" w:sz="4"/>
            </w:tcBorders>
            <w:vAlign w:val="center"/>
          </w:tcPr>
          <w:p>
            <w:pPr>
              <w:spacing w:after="0" w:line="240"/>
              <w:jc w:val="center"/>
            </w:pPr>
            <w:r>
              <w:t xml:space="preserve">4 of 5</w:t>
            </w:r>
          </w:p>
        </w:tc>
        <w:tc>
          <w:tcPr>
            <w:tcW w:type="dxa" w:w="1173"/>
            <w:tcBorders>
              <w:top w:val="single" w:color="BFBFBF" w:sz="4"/>
              <w:left w:val="single" w:color="BFBFBF" w:sz="4"/>
              <w:bottom w:val="single" w:color="BFBFBF" w:sz="4"/>
              <w:right w:val="single" w:color="BFBFBF" w:sz="4"/>
            </w:tcBorders>
            <w:vAlign w:val="center"/>
          </w:tcPr>
          <w:p>
            <w:pPr>
              <w:spacing w:after="0" w:line="240"/>
              <w:jc w:val="center"/>
            </w:pPr>
            <w:r>
              <w:rPr>
                <w:b/>
                <w:bCs/>
                <w:color w:val="C55A11"/>
              </w:rPr>
              <w:t xml:space="preserve">High</w:t>
            </w:r>
          </w:p>
        </w:tc>
        <w:tc>
          <w:tcPr>
            <w:tcW w:type="dxa" w:w="4062"/>
            <w:tcBorders>
              <w:top w:val="single" w:color="BFBFBF" w:sz="4"/>
              <w:left w:val="single" w:color="BFBFBF" w:sz="4"/>
              <w:bottom w:val="single" w:color="BFBFBF" w:sz="4"/>
              <w:right w:val="single" w:color="BFBFBF" w:sz="4"/>
            </w:tcBorders>
            <w:vAlign w:val="center"/>
          </w:tcPr>
          <w:p>
            <w:pPr>
              <w:spacing w:after="0" w:line="240"/>
              <w:jc w:val="left"/>
            </w:pPr>
            <w:r>
              <w:t xml:space="preserve">Key raw materials, packaging and parts are imported and priced in dollars.</w:t>
            </w:r>
          </w:p>
        </w:tc>
      </w:tr>
      <w:tr>
        <w:trPr>
          <w:cantSplit/>
          <w:tblHeader w:val="false"/>
        </w:trPr>
        <w:tc>
          <w:tcPr>
            <w:tcW w:type="dxa" w:w="2708"/>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Threat of substitutes</w:t>
            </w:r>
          </w:p>
        </w:tc>
        <w:tc>
          <w:tcPr>
            <w:tcW w:type="dxa" w:w="1083"/>
            <w:tcBorders>
              <w:top w:val="single" w:color="BFBFBF" w:sz="4"/>
              <w:left w:val="single" w:color="BFBFBF" w:sz="4"/>
              <w:bottom w:val="single" w:color="BFBFBF" w:sz="4"/>
              <w:right w:val="single" w:color="BFBFBF" w:sz="4"/>
            </w:tcBorders>
            <w:vAlign w:val="center"/>
          </w:tcPr>
          <w:p>
            <w:pPr>
              <w:spacing w:after="0" w:line="240"/>
              <w:jc w:val="center"/>
            </w:pPr>
            <w:r>
              <w:t xml:space="preserve">3 of 5</w:t>
            </w:r>
          </w:p>
        </w:tc>
        <w:tc>
          <w:tcPr>
            <w:tcW w:type="dxa" w:w="1173"/>
            <w:tcBorders>
              <w:top w:val="single" w:color="BFBFBF" w:sz="4"/>
              <w:left w:val="single" w:color="BFBFBF" w:sz="4"/>
              <w:bottom w:val="single" w:color="BFBFBF" w:sz="4"/>
              <w:right w:val="single" w:color="BFBFBF" w:sz="4"/>
            </w:tcBorders>
            <w:vAlign w:val="center"/>
          </w:tcPr>
          <w:p>
            <w:pPr>
              <w:spacing w:after="0" w:line="240"/>
              <w:jc w:val="center"/>
            </w:pPr>
            <w:r>
              <w:t xml:space="preserve">Medium</w:t>
            </w:r>
          </w:p>
        </w:tc>
        <w:tc>
          <w:tcPr>
            <w:tcW w:type="dxa" w:w="4062"/>
            <w:tcBorders>
              <w:top w:val="single" w:color="BFBFBF" w:sz="4"/>
              <w:left w:val="single" w:color="BFBFBF" w:sz="4"/>
              <w:bottom w:val="single" w:color="BFBFBF" w:sz="4"/>
              <w:right w:val="single" w:color="BFBFBF" w:sz="4"/>
            </w:tcBorders>
            <w:vAlign w:val="center"/>
          </w:tcPr>
          <w:p>
            <w:pPr>
              <w:spacing w:after="0" w:line="240"/>
              <w:jc w:val="left"/>
            </w:pPr>
            <w:r>
              <w:t xml:space="preserve">Cheaper unbranded and local soaps; fans instead of air conditioners.</w:t>
            </w:r>
          </w:p>
        </w:tc>
      </w:tr>
      <w:tr>
        <w:trPr>
          <w:cantSplit/>
          <w:tblHeader w:val="false"/>
        </w:trPr>
        <w:tc>
          <w:tcPr>
            <w:tcW w:type="dxa" w:w="2708"/>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Threat of new entrants</w:t>
            </w:r>
          </w:p>
        </w:tc>
        <w:tc>
          <w:tcPr>
            <w:tcW w:type="dxa" w:w="1083"/>
            <w:tcBorders>
              <w:top w:val="single" w:color="BFBFBF" w:sz="4"/>
              <w:left w:val="single" w:color="BFBFBF" w:sz="4"/>
              <w:bottom w:val="single" w:color="BFBFBF" w:sz="4"/>
              <w:right w:val="single" w:color="BFBFBF" w:sz="4"/>
            </w:tcBorders>
            <w:vAlign w:val="center"/>
          </w:tcPr>
          <w:p>
            <w:pPr>
              <w:spacing w:after="0" w:line="240"/>
              <w:jc w:val="center"/>
            </w:pPr>
            <w:r>
              <w:t xml:space="preserve">2 of 5</w:t>
            </w:r>
          </w:p>
        </w:tc>
        <w:tc>
          <w:tcPr>
            <w:tcW w:type="dxa" w:w="1173"/>
            <w:tcBorders>
              <w:top w:val="single" w:color="BFBFBF" w:sz="4"/>
              <w:left w:val="single" w:color="BFBFBF" w:sz="4"/>
              <w:bottom w:val="single" w:color="BFBFBF" w:sz="4"/>
              <w:right w:val="single" w:color="BFBFBF" w:sz="4"/>
            </w:tcBorders>
            <w:vAlign w:val="center"/>
          </w:tcPr>
          <w:p>
            <w:pPr>
              <w:spacing w:after="0" w:line="240"/>
              <w:jc w:val="center"/>
            </w:pPr>
            <w:r>
              <w:t xml:space="preserve">Low</w:t>
            </w:r>
          </w:p>
        </w:tc>
        <w:tc>
          <w:tcPr>
            <w:tcW w:type="dxa" w:w="4062"/>
            <w:tcBorders>
              <w:top w:val="single" w:color="BFBFBF" w:sz="4"/>
              <w:left w:val="single" w:color="BFBFBF" w:sz="4"/>
              <w:bottom w:val="single" w:color="BFBFBF" w:sz="4"/>
              <w:right w:val="single" w:color="BFBFBF" w:sz="4"/>
            </w:tcBorders>
            <w:vAlign w:val="center"/>
          </w:tcPr>
          <w:p>
            <w:pPr>
              <w:spacing w:after="0" w:line="240"/>
              <w:jc w:val="left"/>
            </w:pPr>
            <w:r>
              <w:t xml:space="preserve">Factories, brands and distribution cost a lot, but cheap imports still get in.</w:t>
            </w:r>
          </w:p>
        </w:tc>
      </w:tr>
    </w:tbl>
    <w:p>
      <w:pPr>
        <w:spacing w:after="120"/>
      </w:pPr>
      <w:r>
        <w:t xml:space="preserve"/>
      </w:r>
    </w:p>
    <w:p>
      <w:r>
        <w:t xml:space="preserve">On average the five forces score 3.6 out of 5, which is high: strong competitive pressure, so profits are hard to earn. The strongest force is competitive rivalry and the weakest is the threat of new entrants; 3 of 5 forces are rated high. PZ must keep its costs low and its brands strong to stay profitable.</w:t>
      </w:r>
    </w:p>
    <w:p>
      <w:pPr>
        <w:pStyle w:val="Heading2"/>
      </w:pPr>
      <w:r>
        <w:t xml:space="preserve">4.3 Main competitors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2166"/>
        <w:gridCol w:w="2347"/>
        <w:gridCol w:w="1805"/>
        <w:gridCol w:w="2708"/>
      </w:tblGrid>
      <w:tr>
        <w:trPr>
          <w:cantSplit/>
          <w:tblHeader/>
        </w:trPr>
        <w:tc>
          <w:tcPr>
            <w:tcW w:type="dxa" w:w="2166"/>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Competitor</w:t>
            </w:r>
          </w:p>
        </w:tc>
        <w:tc>
          <w:tcPr>
            <w:tcW w:type="dxa" w:w="2347"/>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Key brands</w:t>
            </w:r>
          </w:p>
        </w:tc>
        <w:tc>
          <w:tcPr>
            <w:tcW w:type="dxa" w:w="1805"/>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Competes with PZ in</w:t>
            </w:r>
          </w:p>
        </w:tc>
        <w:tc>
          <w:tcPr>
            <w:tcW w:type="dxa" w:w="2708"/>
            <w:tcBorders>
              <w:top w:val="single" w:color="BFBFBF" w:sz="4"/>
              <w:left w:val="single" w:color="BFBFBF" w:sz="4"/>
              <w:bottom w:val="single" w:color="BFBFBF" w:sz="4"/>
              <w:right w:val="single" w:color="BFBFBF" w:sz="4"/>
            </w:tcBorders>
            <w:shd w:fill="1F4E79" w:color="auto" w:val="clear"/>
            <w:vAlign w:val="center"/>
          </w:tcPr>
          <w:p>
            <w:pPr>
              <w:spacing w:after="0" w:line="240"/>
              <w:jc w:val="left"/>
            </w:pPr>
            <w:r>
              <w:rPr>
                <w:b/>
                <w:bCs/>
                <w:color w:val="FFFFFF"/>
              </w:rPr>
              <w:t xml:space="preserve">Position</w:t>
            </w:r>
          </w:p>
        </w:tc>
      </w:tr>
      <w:tr>
        <w:trPr>
          <w:cantSplit/>
          <w:tblHeader w:val="false"/>
        </w:trPr>
        <w:tc>
          <w:tcPr>
            <w:tcW w:type="dxa" w:w="216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Unilever Nigeria</w:t>
            </w:r>
          </w:p>
        </w:tc>
        <w:tc>
          <w:tcPr>
            <w:tcW w:type="dxa" w:w="2347"/>
            <w:tcBorders>
              <w:top w:val="single" w:color="BFBFBF" w:sz="4"/>
              <w:left w:val="single" w:color="BFBFBF" w:sz="4"/>
              <w:bottom w:val="single" w:color="BFBFBF" w:sz="4"/>
              <w:right w:val="single" w:color="BFBFBF" w:sz="4"/>
            </w:tcBorders>
            <w:vAlign w:val="center"/>
          </w:tcPr>
          <w:p>
            <w:pPr>
              <w:spacing w:after="0" w:line="240"/>
              <w:jc w:val="left"/>
            </w:pPr>
            <w:r>
              <w:t xml:space="preserve">Vaseline, Close-Up, Pepsodent</w:t>
            </w:r>
          </w:p>
        </w:tc>
        <w:tc>
          <w:tcPr>
            <w:tcW w:type="dxa" w:w="1805"/>
            <w:tcBorders>
              <w:top w:val="single" w:color="BFBFBF" w:sz="4"/>
              <w:left w:val="single" w:color="BFBFBF" w:sz="4"/>
              <w:bottom w:val="single" w:color="BFBFBF" w:sz="4"/>
              <w:right w:val="single" w:color="BFBFBF" w:sz="4"/>
            </w:tcBorders>
            <w:vAlign w:val="center"/>
          </w:tcPr>
          <w:p>
            <w:pPr>
              <w:spacing w:after="0" w:line="240"/>
              <w:jc w:val="left"/>
            </w:pPr>
            <w:r>
              <w:t xml:space="preserve">Personal care</w:t>
            </w:r>
          </w:p>
        </w:tc>
        <w:tc>
          <w:tcPr>
            <w:tcW w:type="dxa" w:w="2708"/>
            <w:tcBorders>
              <w:top w:val="single" w:color="BFBFBF" w:sz="4"/>
              <w:left w:val="single" w:color="BFBFBF" w:sz="4"/>
              <w:bottom w:val="single" w:color="BFBFBF" w:sz="4"/>
              <w:right w:val="single" w:color="BFBFBF" w:sz="4"/>
            </w:tcBorders>
            <w:vAlign w:val="center"/>
          </w:tcPr>
          <w:p>
            <w:pPr>
              <w:spacing w:after="0" w:line="240"/>
              <w:jc w:val="left"/>
            </w:pPr>
            <w:r>
              <w:t xml:space="preserve">Left home care and skin cleansing (soaps) in 2023</w:t>
            </w:r>
          </w:p>
        </w:tc>
      </w:tr>
      <w:tr>
        <w:trPr>
          <w:cantSplit/>
          <w:tblHeader w:val="false"/>
        </w:trPr>
        <w:tc>
          <w:tcPr>
            <w:tcW w:type="dxa" w:w="216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Procter &amp; Gamble</w:t>
            </w:r>
          </w:p>
        </w:tc>
        <w:tc>
          <w:tcPr>
            <w:tcW w:type="dxa" w:w="2347"/>
            <w:tcBorders>
              <w:top w:val="single" w:color="BFBFBF" w:sz="4"/>
              <w:left w:val="single" w:color="BFBFBF" w:sz="4"/>
              <w:bottom w:val="single" w:color="BFBFBF" w:sz="4"/>
              <w:right w:val="single" w:color="BFBFBF" w:sz="4"/>
            </w:tcBorders>
            <w:vAlign w:val="center"/>
          </w:tcPr>
          <w:p>
            <w:pPr>
              <w:spacing w:after="0" w:line="240"/>
              <w:jc w:val="left"/>
            </w:pPr>
            <w:r>
              <w:t xml:space="preserve">Ariel, Pampers, Always</w:t>
            </w:r>
          </w:p>
        </w:tc>
        <w:tc>
          <w:tcPr>
            <w:tcW w:type="dxa" w:w="1805"/>
            <w:tcBorders>
              <w:top w:val="single" w:color="BFBFBF" w:sz="4"/>
              <w:left w:val="single" w:color="BFBFBF" w:sz="4"/>
              <w:bottom w:val="single" w:color="BFBFBF" w:sz="4"/>
              <w:right w:val="single" w:color="BFBFBF" w:sz="4"/>
            </w:tcBorders>
            <w:vAlign w:val="center"/>
          </w:tcPr>
          <w:p>
            <w:pPr>
              <w:spacing w:after="0" w:line="240"/>
              <w:jc w:val="left"/>
            </w:pPr>
            <w:r>
              <w:t xml:space="preserve">Home care</w:t>
            </w:r>
          </w:p>
        </w:tc>
        <w:tc>
          <w:tcPr>
            <w:tcW w:type="dxa" w:w="2708"/>
            <w:tcBorders>
              <w:top w:val="single" w:color="BFBFBF" w:sz="4"/>
              <w:left w:val="single" w:color="BFBFBF" w:sz="4"/>
              <w:bottom w:val="single" w:color="BFBFBF" w:sz="4"/>
              <w:right w:val="single" w:color="BFBFBF" w:sz="4"/>
            </w:tcBorders>
            <w:vAlign w:val="center"/>
          </w:tcPr>
          <w:p>
            <w:pPr>
              <w:spacing w:after="0" w:line="240"/>
              <w:jc w:val="left"/>
            </w:pPr>
            <w:r>
              <w:t xml:space="preserve">Stopped making products in Nigeria; imports only (announced 2023)</w:t>
            </w:r>
          </w:p>
        </w:tc>
      </w:tr>
      <w:tr>
        <w:trPr>
          <w:cantSplit/>
          <w:tblHeader w:val="false"/>
        </w:trPr>
        <w:tc>
          <w:tcPr>
            <w:tcW w:type="dxa" w:w="216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Reckitt Nigeria</w:t>
            </w:r>
          </w:p>
        </w:tc>
        <w:tc>
          <w:tcPr>
            <w:tcW w:type="dxa" w:w="2347"/>
            <w:tcBorders>
              <w:top w:val="single" w:color="BFBFBF" w:sz="4"/>
              <w:left w:val="single" w:color="BFBFBF" w:sz="4"/>
              <w:bottom w:val="single" w:color="BFBFBF" w:sz="4"/>
              <w:right w:val="single" w:color="BFBFBF" w:sz="4"/>
            </w:tcBorders>
            <w:vAlign w:val="center"/>
          </w:tcPr>
          <w:p>
            <w:pPr>
              <w:spacing w:after="0" w:line="240"/>
              <w:jc w:val="left"/>
            </w:pPr>
            <w:r>
              <w:t xml:space="preserve">Dettol, Harpic, Jik</w:t>
            </w:r>
          </w:p>
        </w:tc>
        <w:tc>
          <w:tcPr>
            <w:tcW w:type="dxa" w:w="1805"/>
            <w:tcBorders>
              <w:top w:val="single" w:color="BFBFBF" w:sz="4"/>
              <w:left w:val="single" w:color="BFBFBF" w:sz="4"/>
              <w:bottom w:val="single" w:color="BFBFBF" w:sz="4"/>
              <w:right w:val="single" w:color="BFBFBF" w:sz="4"/>
            </w:tcBorders>
            <w:vAlign w:val="center"/>
          </w:tcPr>
          <w:p>
            <w:pPr>
              <w:spacing w:after="0" w:line="240"/>
              <w:jc w:val="left"/>
            </w:pPr>
            <w:r>
              <w:t xml:space="preserve">Antiseptic soap, home care</w:t>
            </w:r>
          </w:p>
        </w:tc>
        <w:tc>
          <w:tcPr>
            <w:tcW w:type="dxa" w:w="2708"/>
            <w:tcBorders>
              <w:top w:val="single" w:color="BFBFBF" w:sz="4"/>
              <w:left w:val="single" w:color="BFBFBF" w:sz="4"/>
              <w:bottom w:val="single" w:color="BFBFBF" w:sz="4"/>
              <w:right w:val="single" w:color="BFBFBF" w:sz="4"/>
            </w:tcBorders>
            <w:vAlign w:val="center"/>
          </w:tcPr>
          <w:p>
            <w:pPr>
              <w:spacing w:after="0" w:line="240"/>
              <w:jc w:val="left"/>
            </w:pPr>
            <w:r>
              <w:t xml:space="preserve">Strong in hygiene and health products</w:t>
            </w:r>
          </w:p>
        </w:tc>
      </w:tr>
      <w:tr>
        <w:trPr>
          <w:cantSplit/>
          <w:tblHeader w:val="false"/>
        </w:trPr>
        <w:tc>
          <w:tcPr>
            <w:tcW w:type="dxa" w:w="216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Hayat Kimya</w:t>
            </w:r>
          </w:p>
        </w:tc>
        <w:tc>
          <w:tcPr>
            <w:tcW w:type="dxa" w:w="2347"/>
            <w:tcBorders>
              <w:top w:val="single" w:color="BFBFBF" w:sz="4"/>
              <w:left w:val="single" w:color="BFBFBF" w:sz="4"/>
              <w:bottom w:val="single" w:color="BFBFBF" w:sz="4"/>
              <w:right w:val="single" w:color="BFBFBF" w:sz="4"/>
            </w:tcBorders>
            <w:vAlign w:val="center"/>
          </w:tcPr>
          <w:p>
            <w:pPr>
              <w:spacing w:after="0" w:line="240"/>
              <w:jc w:val="left"/>
            </w:pPr>
            <w:r>
              <w:t xml:space="preserve">Molfix, Bingo, Familia</w:t>
            </w:r>
          </w:p>
        </w:tc>
        <w:tc>
          <w:tcPr>
            <w:tcW w:type="dxa" w:w="1805"/>
            <w:tcBorders>
              <w:top w:val="single" w:color="BFBFBF" w:sz="4"/>
              <w:left w:val="single" w:color="BFBFBF" w:sz="4"/>
              <w:bottom w:val="single" w:color="BFBFBF" w:sz="4"/>
              <w:right w:val="single" w:color="BFBFBF" w:sz="4"/>
            </w:tcBorders>
            <w:vAlign w:val="center"/>
          </w:tcPr>
          <w:p>
            <w:pPr>
              <w:spacing w:after="0" w:line="240"/>
              <w:jc w:val="left"/>
            </w:pPr>
            <w:r>
              <w:t xml:space="preserve">Home care</w:t>
            </w:r>
          </w:p>
        </w:tc>
        <w:tc>
          <w:tcPr>
            <w:tcW w:type="dxa" w:w="2708"/>
            <w:tcBorders>
              <w:top w:val="single" w:color="BFBFBF" w:sz="4"/>
              <w:left w:val="single" w:color="BFBFBF" w:sz="4"/>
              <w:bottom w:val="single" w:color="BFBFBF" w:sz="4"/>
              <w:right w:val="single" w:color="BFBFBF" w:sz="4"/>
            </w:tcBorders>
            <w:vAlign w:val="center"/>
          </w:tcPr>
          <w:p>
            <w:pPr>
              <w:spacing w:after="0" w:line="240"/>
              <w:jc w:val="left"/>
            </w:pPr>
            <w:r>
              <w:t xml:space="preserve">Makes products locally; low prices; growing fast</w:t>
            </w:r>
          </w:p>
        </w:tc>
      </w:tr>
      <w:tr>
        <w:trPr>
          <w:cantSplit/>
          <w:tblHeader w:val="false"/>
        </w:trPr>
        <w:tc>
          <w:tcPr>
            <w:tcW w:type="dxa" w:w="216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Local low-cost brands</w:t>
            </w:r>
          </w:p>
        </w:tc>
        <w:tc>
          <w:tcPr>
            <w:tcW w:type="dxa" w:w="2347"/>
            <w:tcBorders>
              <w:top w:val="single" w:color="BFBFBF" w:sz="4"/>
              <w:left w:val="single" w:color="BFBFBF" w:sz="4"/>
              <w:bottom w:val="single" w:color="BFBFBF" w:sz="4"/>
              <w:right w:val="single" w:color="BFBFBF" w:sz="4"/>
            </w:tcBorders>
            <w:vAlign w:val="center"/>
          </w:tcPr>
          <w:p>
            <w:pPr>
              <w:spacing w:after="0" w:line="240"/>
              <w:jc w:val="left"/>
            </w:pPr>
            <w:r>
              <w:t xml:space="preserve">Many local soaps, detergents and dishwashing liquids</w:t>
            </w:r>
          </w:p>
        </w:tc>
        <w:tc>
          <w:tcPr>
            <w:tcW w:type="dxa" w:w="1805"/>
            <w:tcBorders>
              <w:top w:val="single" w:color="BFBFBF" w:sz="4"/>
              <w:left w:val="single" w:color="BFBFBF" w:sz="4"/>
              <w:bottom w:val="single" w:color="BFBFBF" w:sz="4"/>
              <w:right w:val="single" w:color="BFBFBF" w:sz="4"/>
            </w:tcBorders>
            <w:vAlign w:val="center"/>
          </w:tcPr>
          <w:p>
            <w:pPr>
              <w:spacing w:after="0" w:line="240"/>
              <w:jc w:val="left"/>
            </w:pPr>
            <w:r>
              <w:t xml:space="preserve">All Family Care brands</w:t>
            </w:r>
          </w:p>
        </w:tc>
        <w:tc>
          <w:tcPr>
            <w:tcW w:type="dxa" w:w="2708"/>
            <w:tcBorders>
              <w:top w:val="single" w:color="BFBFBF" w:sz="4"/>
              <w:left w:val="single" w:color="BFBFBF" w:sz="4"/>
              <w:bottom w:val="single" w:color="BFBFBF" w:sz="4"/>
              <w:right w:val="single" w:color="BFBFBF" w:sz="4"/>
            </w:tcBorders>
            <w:vAlign w:val="center"/>
          </w:tcPr>
          <w:p>
            <w:pPr>
              <w:spacing w:after="0" w:line="240"/>
              <w:jc w:val="left"/>
            </w:pPr>
            <w:r>
              <w:t xml:space="preserve">Win on price, especially in open markets</w:t>
            </w:r>
          </w:p>
        </w:tc>
      </w:tr>
      <w:tr>
        <w:trPr>
          <w:cantSplit/>
          <w:tblHeader w:val="false"/>
        </w:trPr>
        <w:tc>
          <w:tcPr>
            <w:tcW w:type="dxa" w:w="2166"/>
            <w:tcBorders>
              <w:top w:val="single" w:color="BFBFBF" w:sz="4"/>
              <w:left w:val="single" w:color="BFBFBF" w:sz="4"/>
              <w:bottom w:val="single" w:color="BFBFBF" w:sz="4"/>
              <w:right w:val="single" w:color="BFBFBF" w:sz="4"/>
            </w:tcBorders>
            <w:vAlign w:val="center"/>
          </w:tcPr>
          <w:p>
            <w:pPr>
              <w:spacing w:after="0" w:line="240"/>
              <w:jc w:val="left"/>
            </w:pPr>
            <w:r>
              <w:rPr>
                <w:b/>
                <w:bCs/>
              </w:rPr>
              <w:t xml:space="preserve">LG, Samsung, Hisense, Scanfrost</w:t>
            </w:r>
          </w:p>
        </w:tc>
        <w:tc>
          <w:tcPr>
            <w:tcW w:type="dxa" w:w="2347"/>
            <w:tcBorders>
              <w:top w:val="single" w:color="BFBFBF" w:sz="4"/>
              <w:left w:val="single" w:color="BFBFBF" w:sz="4"/>
              <w:bottom w:val="single" w:color="BFBFBF" w:sz="4"/>
              <w:right w:val="single" w:color="BFBFBF" w:sz="4"/>
            </w:tcBorders>
            <w:vAlign w:val="center"/>
          </w:tcPr>
          <w:p>
            <w:pPr>
              <w:spacing w:after="0" w:line="240"/>
              <w:jc w:val="left"/>
            </w:pPr>
            <w:r>
              <w:t xml:space="preserve">Air conditioners, fridges, washing machines</w:t>
            </w:r>
          </w:p>
        </w:tc>
        <w:tc>
          <w:tcPr>
            <w:tcW w:type="dxa" w:w="1805"/>
            <w:tcBorders>
              <w:top w:val="single" w:color="BFBFBF" w:sz="4"/>
              <w:left w:val="single" w:color="BFBFBF" w:sz="4"/>
              <w:bottom w:val="single" w:color="BFBFBF" w:sz="4"/>
              <w:right w:val="single" w:color="BFBFBF" w:sz="4"/>
            </w:tcBorders>
            <w:vAlign w:val="center"/>
          </w:tcPr>
          <w:p>
            <w:pPr>
              <w:spacing w:after="0" w:line="240"/>
              <w:jc w:val="left"/>
            </w:pPr>
            <w:r>
              <w:t xml:space="preserve">Electrical</w:t>
            </w:r>
          </w:p>
        </w:tc>
        <w:tc>
          <w:tcPr>
            <w:tcW w:type="dxa" w:w="2708"/>
            <w:tcBorders>
              <w:top w:val="single" w:color="BFBFBF" w:sz="4"/>
              <w:left w:val="single" w:color="BFBFBF" w:sz="4"/>
              <w:bottom w:val="single" w:color="BFBFBF" w:sz="4"/>
              <w:right w:val="single" w:color="BFBFBF" w:sz="4"/>
            </w:tcBorders>
            <w:vAlign w:val="center"/>
          </w:tcPr>
          <w:p>
            <w:pPr>
              <w:spacing w:after="0" w:line="240"/>
              <w:jc w:val="left"/>
            </w:pPr>
            <w:r>
              <w:t xml:space="preserve">Strong brands, plus many cheaper imports</w:t>
            </w:r>
          </w:p>
        </w:tc>
      </w:tr>
    </w:tbl>
    <w:p>
      <w:pPr>
        <w:spacing w:after="120"/>
      </w:pPr>
      <w:r>
        <w:t xml:space="preserve"/>
      </w:r>
    </w:p>
    <w:p>
      <w:r>
        <w:t xml:space="preserve">Unilever's exit from home care and soaps and Procter &amp; Gamble's move to imports leave customers that PZ can win. At the same time, Reckitt is strong in hygiene products, Hayat Kimya and local brands compete hard on price, and in electricals PZ faces strong international brands and cheaper imports.</w:t>
      </w:r>
    </w:p>
    <w:p>
      <w:pPr>
        <w:pStyle w:val="Heading1"/>
      </w:pPr>
      <w:r>
        <w:t xml:space="preserve">5. Recommendations</w:t>
      </w:r>
    </w:p>
    <w:p>
      <w:r>
        <w:t xml:space="preserve">Based on this analysis, PZ Nigeria should:</w:t>
      </w:r>
    </w:p>
    <w:p>
      <w:pPr>
        <w:pStyle w:val="ListParagraph"/>
        <w:numPr>
          <w:ilvl w:val="0"/>
          <w:numId w:val="3"/>
        </w:numPr>
        <w:spacing w:after="80"/>
      </w:pPr>
      <w:r>
        <w:rPr>
          <w:b/>
          <w:bCs/>
          <w:color w:val="1F4E79"/>
        </w:rPr>
        <w:t xml:space="preserve">Buy more raw materials in Nigeria. </w:t>
      </w:r>
      <w:r>
        <w:t xml:space="preserve">Cuts dollar costs and the damage from naira devaluation (the biggest PESTLE issue).</w:t>
      </w:r>
    </w:p>
    <w:p>
      <w:pPr>
        <w:pStyle w:val="ListParagraph"/>
        <w:numPr>
          <w:ilvl w:val="0"/>
          <w:numId w:val="3"/>
        </w:numPr>
        <w:spacing w:after="80"/>
      </w:pPr>
      <w:r>
        <w:rPr>
          <w:b/>
          <w:bCs/>
          <w:color w:val="1F4E79"/>
        </w:rPr>
        <w:t xml:space="preserve">Sell smaller, affordable packs. </w:t>
      </w:r>
      <w:r>
        <w:t xml:space="preserve">Keeps price-sensitive shoppers buying Imperial Leather, Premier Cool, Joy and Morning Fresh.</w:t>
      </w:r>
    </w:p>
    <w:p>
      <w:pPr>
        <w:pStyle w:val="ListParagraph"/>
        <w:numPr>
          <w:ilvl w:val="0"/>
          <w:numId w:val="3"/>
        </w:numPr>
        <w:spacing w:after="80"/>
      </w:pPr>
      <w:r>
        <w:rPr>
          <w:b/>
          <w:bCs/>
          <w:color w:val="1F4E79"/>
        </w:rPr>
        <w:t xml:space="preserve">Grow digital marketing and online sales. </w:t>
      </w:r>
      <w:r>
        <w:t xml:space="preserve">Reaches the large young population cheaply through social media and e-commerce.</w:t>
      </w:r>
    </w:p>
    <w:p>
      <w:pPr>
        <w:pStyle w:val="ListParagraph"/>
        <w:numPr>
          <w:ilvl w:val="0"/>
          <w:numId w:val="3"/>
        </w:numPr>
        <w:spacing w:after="80"/>
      </w:pPr>
      <w:r>
        <w:rPr>
          <w:b/>
          <w:bCs/>
          <w:color w:val="1F4E79"/>
        </w:rPr>
        <w:t xml:space="preserve">Win customers competitors left behind. </w:t>
      </w:r>
      <w:r>
        <w:t xml:space="preserve">Use the wide distribution network to fill shelves Unilever and P&amp;G have left.</w:t>
      </w:r>
    </w:p>
    <w:p>
      <w:pPr>
        <w:pStyle w:val="ListParagraph"/>
        <w:numPr>
          <w:ilvl w:val="0"/>
          <w:numId w:val="3"/>
        </w:numPr>
        <w:spacing w:after="80"/>
      </w:pPr>
      <w:r>
        <w:rPr>
          <w:b/>
          <w:bCs/>
          <w:color w:val="1F4E79"/>
        </w:rPr>
        <w:t xml:space="preserve">Make decisions faster. </w:t>
      </w:r>
      <w:r>
        <w:t xml:space="preserve">Give local managers more authority and cut approval levels to fix the main weaknesses.</w:t>
      </w:r>
    </w:p>
    <w:p>
      <w:pPr>
        <w:pStyle w:val="Heading1"/>
      </w:pPr>
      <w:r>
        <w:t xml:space="preserve">6. Conclusion</w:t>
      </w:r>
    </w:p>
    <w:p>
      <w:r>
        <w:t xml:space="preserve">PZ Nigeria is strong inside, with well-known brands, a long history in Nigeria and a wide distribution network (IFE 2.73). Its environment, however, is hard: economic factors matter most (average 20.7 of 25), led by naira devaluation and FX shortages, and the industry is highly competitive (Five Forces average 3.6 of 5). With an EFE of 2.41, PZ is not yet making the most of its opportunities. The best strategy is to hold and maintain, through market penetration and product development, supported by the five recommendations above.</w:t>
      </w:r>
    </w:p>
    <w:p>
      <w:pPr>
        <w:spacing w:before="240"/>
      </w:pPr>
      <w:r>
        <w:rPr>
          <w:i/>
          <w:iCs/>
          <w:color w:val="595959"/>
          <w:sz w:val="18"/>
          <w:szCs w:val="18"/>
        </w:rPr>
        <w:t xml:space="preserve">Scores, ratings and weights: PZ_Nigeria_Analysis.xlsx. The ratings are judgements based on the company information and public news up to 2025.</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360"/>
      </w:pPr>
    </w:lvl>
  </w:abstractNum>
  <w:abstractNum w:abstractNumId="3" w15:restartNumberingAfterBreak="0">
    <w:multiLevelType w:val="hybridMultilevel"/>
    <w:lvl w:ilvl="0" w15:tentative="1">
      <w:start w:val="1"/>
      <w:numFmt w:val="decimal"/>
      <w:lvlText w:val="%1."/>
      <w:lvlJc w:val="left"/>
      <w:pPr>
        <w:ind w:left="360" w:hanging="360"/>
      </w:pPr>
      <w:rPr>
        <w:b/>
        <w:bCs/>
        <w:color w:val="1F4E79"/>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after="160" w:line="259"/>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0" w:line="240"/>
    </w:pPr>
    <w:rPr>
      <w:rFonts w:ascii="Calibri Light" w:cs="Calibri Light" w:eastAsia="Calibri Light" w:hAnsi="Calibri Light"/>
      <w:color w:val="1F4E79"/>
      <w:sz w:val="56"/>
      <w:szCs w:val="56"/>
    </w:rPr>
  </w:style>
  <w:style w:type="paragraph" w:styleId="Heading1">
    <w:name w:val="Heading 1"/>
    <w:basedOn w:val="Normal"/>
    <w:next w:val="Normal"/>
    <w:qFormat/>
    <w:pPr>
      <w:keepNext/>
      <w:keepLines/>
      <w:spacing w:after="120" w:before="360"/>
      <w:outlineLvl w:val="0"/>
    </w:pPr>
    <w:rPr>
      <w:rFonts w:ascii="Calibri Light" w:cs="Calibri Light" w:eastAsia="Calibri Light" w:hAnsi="Calibri Light"/>
      <w:color w:val="1F4E79"/>
      <w:sz w:val="32"/>
      <w:szCs w:val="32"/>
    </w:rPr>
  </w:style>
  <w:style w:type="paragraph" w:styleId="Heading2">
    <w:name w:val="Heading 2"/>
    <w:basedOn w:val="Normal"/>
    <w:next w:val="Normal"/>
    <w:qFormat/>
    <w:pPr>
      <w:keepNext/>
      <w:keepLines/>
      <w:spacing w:after="80" w:before="200"/>
      <w:outlineLvl w:val="1"/>
    </w:pPr>
    <w:rPr>
      <w:rFonts w:ascii="Calibri Light" w:cs="Calibri Light" w:eastAsia="Calibri Light" w:hAnsi="Calibri Light"/>
      <w:color w:val="1F4E7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PZ Nigeria Limited: PESTLE, SWOT and Industry Analysis</dc:title>
  <dc:subject>Written analysis of PZ Nigeria Limited</dc:subject>
  <dc:creator>Marketing Department</dc:creator>
  <cp:lastModifiedBy>Marketing Department</cp:lastModifiedBy>
  <cp:revision>1</cp:revision>
  <dcterms:created xsi:type="dcterms:W3CDTF">2026-09-27T12:32:40.992Z</dcterms:created>
  <dcterms:modified xsi:type="dcterms:W3CDTF">2026-09-27T12:32:40.992Z</dcterms:modified>
</cp:coreProperties>
</file>

<file path=docProps/custom.xml><?xml version="1.0" encoding="utf-8"?>
<Properties xmlns="http://schemas.openxmlformats.org/officeDocument/2006/custom-properties" xmlns:vt="http://schemas.openxmlformats.org/officeDocument/2006/docPropsVTypes"/>
</file>