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r>
        <w:rPr>
          <w:rFonts w:ascii="Courier New" w:cs="Courier New" w:eastAsia="Courier New" w:hAnsi="Courier New"/>
          <w:b/>
          <w:bCs/>
          <w:color w:val="C9A84C"/>
          <w:sz w:val="20"/>
          <w:szCs w:val="20"/>
        </w:rPr>
        <w:t xml:space="preserve">EVOLUTION STABLES</w:t>
      </w:r>
    </w:p>
    <w:p>
      <w:pPr>
        <w:spacing w:before="160"/>
      </w:pPr>
    </w:p>
    <w:p>
      <w:r>
        <w:rPr>
          <w:rFonts w:ascii="Georgia" w:cs="Georgia" w:eastAsia="Georgia" w:hAnsi="Georgia"/>
          <w:b w:val="false"/>
          <w:bCs w:val="false"/>
          <w:color w:val="0A0A0A"/>
          <w:sz w:val="68"/>
          <w:szCs w:val="68"/>
        </w:rPr>
        <w:t xml:space="preserve">Platform Architecture,</w:t>
      </w:r>
    </w:p>
    <w:p>
      <w:r>
        <w:rPr>
          <w:rFonts w:ascii="Georgia" w:cs="Georgia" w:eastAsia="Georgia" w:hAnsi="Georgia"/>
          <w:b w:val="false"/>
          <w:bCs w:val="false"/>
          <w:color w:val="0A0A0A"/>
          <w:sz w:val="68"/>
          <w:szCs w:val="68"/>
        </w:rPr>
        <w:t xml:space="preserve">Workflow &amp; SSOT Specification</w:t>
      </w:r>
    </w:p>
    <w:p>
      <w:pPr>
        <w:spacing w:before="240"/>
      </w:pPr>
    </w:p>
    <w:p>
      <w:pPr>
        <w:pBdr>
          <w:bottom w:val="single" w:color="C9A84C" w:sz="6" w:space="1"/>
        </w:pBdr>
        <w:spacing w:before="0" w:after="200"/>
      </w:pPr>
    </w:p>
    <w:p>
      <w:pPr>
        <w:spacing w:before="160"/>
      </w:pPr>
    </w:p>
    <w:p>
      <w:pPr>
        <w:spacing w:before="80" w:after="80"/>
      </w:pPr>
      <w:r>
        <w:rPr>
          <w:rFonts w:ascii="Arial" w:cs="Arial" w:eastAsia="Arial" w:hAnsi="Arial"/>
          <w:color w:val="8A8278"/>
          <w:sz w:val="20"/>
          <w:szCs w:val="20"/>
        </w:rPr>
        <w:t xml:space="preserve">This document defines the full platform architecture for Evolution Stables — from the central data model through document generation, investor communications, and regulatory compliance. It is the primary reference for all build and process decisions.</w:t>
      </w:r>
    </w:p>
    <w:p>
      <w:pPr>
        <w:spacing w:before="200"/>
      </w:pPr>
    </w:p>
    <w:p>
      <w:pPr>
        <w:spacing w:before="60" w:after="60"/>
      </w:pPr>
      <w:r>
        <w:rPr>
          <w:rFonts w:ascii="Courier New" w:cs="Courier New" w:eastAsia="Courier New" w:hAnsi="Courier New"/>
          <w:color w:val="8A8278"/>
          <w:sz w:val="17"/>
          <w:szCs w:val="17"/>
        </w:rPr>
        <w:t xml:space="preserve">Version 0.2  —  March 2026  —  Confidential / Internal</w:t>
      </w:r>
    </w:p>
    <w:p>
      <w:r>
        <w:br w:type="page"/>
      </w:r>
    </w:p>
    <w:p>
      <w:pPr>
        <w:pStyle w:val="Heading1"/>
        <w:spacing w:before="320" w:after="120"/>
      </w:pPr>
      <w:r>
        <w:rPr>
          <w:rFonts w:ascii="Georgia" w:cs="Georgia" w:eastAsia="Georgia" w:hAnsi="Georgia"/>
          <w:b w:val="false"/>
          <w:bCs w:val="false"/>
          <w:color w:val="0A0A0A"/>
          <w:sz w:val="42"/>
          <w:szCs w:val="42"/>
        </w:rPr>
        <w:t xml:space="preserve">1. Overview &amp; Core Principles</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The Evolution Stables platform centres on a single concept: the Lease SSOT. Every document, every investor communication, every compliance submission originates from it. The platform is designed to be built in four sequential layers, each delivering independent value.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Courier New" w:cs="Courier New" w:eastAsia="Courier New" w:hAnsi="Courier New"/>
                <w:b/>
                <w:bCs/>
                <w:color w:val="C9A84C"/>
                <w:sz w:val="17"/>
                <w:szCs w:val="17"/>
              </w:rPr>
              <w:t xml:space="preserve">01  Repository &amp; SSOT</w:t>
            </w:r>
          </w:p>
        </w:tc>
        <w:tc>
          <w:tcPr>
            <w:tcW w:type="dxa" w:w="234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Courier New" w:cs="Courier New" w:eastAsia="Courier New" w:hAnsi="Courier New"/>
                <w:b/>
                <w:bCs/>
                <w:color w:val="7B9E87"/>
                <w:sz w:val="17"/>
                <w:szCs w:val="17"/>
              </w:rPr>
              <w:t xml:space="preserve">02  Document Engine</w:t>
            </w:r>
          </w:p>
        </w:tc>
        <w:tc>
          <w:tcPr>
            <w:tcW w:type="dxa" w:w="234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Courier New" w:cs="Courier New" w:eastAsia="Courier New" w:hAnsi="Courier New"/>
                <w:b/>
                <w:bCs/>
                <w:color w:val="4A9B8E"/>
                <w:sz w:val="17"/>
                <w:szCs w:val="17"/>
              </w:rPr>
              <w:t xml:space="preserve">03  Investor Comms</w:t>
            </w:r>
          </w:p>
        </w:tc>
        <w:tc>
          <w:tcPr>
            <w:tcW w:type="dxa" w:w="234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Courier New" w:cs="Courier New" w:eastAsia="Courier New" w:hAnsi="Courier New"/>
                <w:b/>
                <w:bCs/>
                <w:color w:val="5B7FA8"/>
                <w:sz w:val="17"/>
                <w:szCs w:val="17"/>
              </w:rPr>
              <w:t xml:space="preserve">04  Reg &amp; Compliance</w:t>
            </w:r>
          </w:p>
        </w:tc>
      </w:tr>
    </w:tbl>
    <w:p>
      <w:pPr>
        <w:spacing w:before="200"/>
      </w:pPr>
    </w:p>
    <w:p>
      <w:pPr>
        <w:spacing w:before="100" w:after="60"/>
      </w:pPr>
      <w:r>
        <w:rPr>
          <w:rFonts w:ascii="Arial" w:cs="Arial" w:eastAsia="Arial" w:hAnsi="Arial"/>
          <w:b/>
          <w:bCs/>
          <w:color w:val="2A2A2A"/>
          <w:sz w:val="20"/>
          <w:szCs w:val="20"/>
        </w:rPr>
        <w:t xml:space="preserve">Amendments, not overwrites</w:t>
      </w:r>
    </w:p>
    <w:p>
      <w:pPr>
        <w:spacing w:before="80" w:after="80"/>
      </w:pPr>
      <w:r>
        <w:rPr>
          <w:rFonts w:ascii="Arial" w:cs="Arial" w:eastAsia="Arial" w:hAnsi="Arial"/>
          <w:color w:val="2A2A2A"/>
          <w:sz w:val="20"/>
          <w:szCs w:val="20"/>
        </w:rPr>
        <w:t xml:space="preserve">Once a lease is Active, no field is overwritten. All changes are logged as amendments — timestamp, field, previous value, new value, editor. The original record is always preserved.</w:t>
      </w:r>
    </w:p>
    <w:p>
      <w:pPr>
        <w:spacing w:before="80"/>
      </w:pPr>
    </w:p>
    <w:p>
      <w:pPr>
        <w:spacing w:before="100" w:after="60"/>
      </w:pPr>
      <w:r>
        <w:rPr>
          <w:rFonts w:ascii="Arial" w:cs="Arial" w:eastAsia="Arial" w:hAnsi="Arial"/>
          <w:b/>
          <w:bCs/>
          <w:color w:val="2A2A2A"/>
          <w:sz w:val="20"/>
          <w:szCs w:val="20"/>
        </w:rPr>
        <w:t xml:space="preserve">Entities entered once, reused everywhere</w:t>
      </w:r>
    </w:p>
    <w:p>
      <w:pPr>
        <w:spacing w:before="80" w:after="80"/>
      </w:pPr>
      <w:r>
        <w:rPr>
          <w:rFonts w:ascii="Arial" w:cs="Arial" w:eastAsia="Arial" w:hAnsi="Arial"/>
          <w:color w:val="2A2A2A"/>
          <w:sz w:val="20"/>
          <w:szCs w:val="20"/>
        </w:rPr>
        <w:t xml:space="preserve">Trainers, owners, and governing bodies live in a central repository. Selected at lease creation. Never re-typed.</w:t>
      </w:r>
    </w:p>
    <w:p>
      <w:pPr>
        <w:spacing w:before="80"/>
      </w:pPr>
    </w:p>
    <w:p>
      <w:pPr>
        <w:spacing w:before="100" w:after="60"/>
      </w:pPr>
      <w:r>
        <w:rPr>
          <w:rFonts w:ascii="Arial" w:cs="Arial" w:eastAsia="Arial" w:hAnsi="Arial"/>
          <w:b/>
          <w:bCs/>
          <w:color w:val="2A2A2A"/>
          <w:sz w:val="20"/>
          <w:szCs w:val="20"/>
        </w:rPr>
        <w:t xml:space="preserve">Downstream is read-only</w:t>
      </w:r>
    </w:p>
    <w:p>
      <w:pPr>
        <w:spacing w:before="80" w:after="80"/>
      </w:pPr>
      <w:r>
        <w:rPr>
          <w:rFonts w:ascii="Arial" w:cs="Arial" w:eastAsia="Arial" w:hAnsi="Arial"/>
          <w:color w:val="2A2A2A"/>
          <w:sz w:val="20"/>
          <w:szCs w:val="20"/>
        </w:rPr>
        <w:t xml:space="preserve">Documents and content pull from the SSOT. They never write back to it. Data flows in one direction only.</w:t>
      </w:r>
    </w:p>
    <w:p>
      <w:pPr>
        <w:spacing w:before="80"/>
      </w:pPr>
    </w:p>
    <w:p>
      <w:pPr>
        <w:spacing w:before="100" w:after="60"/>
      </w:pPr>
      <w:r>
        <w:rPr>
          <w:rFonts w:ascii="Arial" w:cs="Arial" w:eastAsia="Arial" w:hAnsi="Arial"/>
          <w:b/>
          <w:bCs/>
          <w:color w:val="2A2A2A"/>
          <w:sz w:val="20"/>
          <w:szCs w:val="20"/>
        </w:rPr>
        <w:t xml:space="preserve">Human in the loop</w:t>
      </w:r>
    </w:p>
    <w:p>
      <w:pPr>
        <w:spacing w:before="80" w:after="80"/>
      </w:pPr>
      <w:r>
        <w:rPr>
          <w:rFonts w:ascii="Arial" w:cs="Arial" w:eastAsia="Arial" w:hAnsi="Arial"/>
          <w:color w:val="2A2A2A"/>
          <w:sz w:val="20"/>
          <w:szCs w:val="20"/>
        </w:rPr>
        <w:t xml:space="preserve">At each approval gate — lease status changes, content publishing, compliance submissions — a human reviews and approves before the system proceeds. Automation handles production; humans control decisions.</w:t>
      </w:r>
    </w:p>
    <w:p>
      <w:r>
        <w:br w:type="page"/>
      </w:r>
    </w:p>
    <w:p>
      <w:pPr>
        <w:pStyle w:val="Heading1"/>
        <w:spacing w:before="320" w:after="120"/>
      </w:pPr>
      <w:r>
        <w:rPr>
          <w:rFonts w:ascii="Georgia" w:cs="Georgia" w:eastAsia="Georgia" w:hAnsi="Georgia"/>
          <w:b w:val="false"/>
          <w:bCs w:val="false"/>
          <w:color w:val="0A0A0A"/>
          <w:sz w:val="42"/>
          <w:szCs w:val="42"/>
        </w:rPr>
        <w:t xml:space="preserve">2. Platform Phases</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Four phases, each buildable and usable independently. Later phases build on earlier ones but do not require them to be rebuilt.</w:t>
      </w:r>
    </w:p>
    <w:p>
      <w:pPr>
        <w:spacing w:before="200"/>
      </w:pPr>
    </w:p>
    <w:p>
      <w:pPr>
        <w:pStyle w:val="Heading2"/>
        <w:spacing w:before="280" w:after="100"/>
      </w:pPr>
      <w:r>
        <w:rPr>
          <w:rFonts w:ascii="Georgia" w:cs="Georgia" w:eastAsia="Georgia" w:hAnsi="Georgia"/>
          <w:b w:val="false"/>
          <w:bCs w:val="false"/>
          <w:color w:val="C9A84C"/>
          <w:sz w:val="28"/>
          <w:szCs w:val="28"/>
        </w:rPr>
        <w:t xml:space="preserve">Phase 01 — Central Repository &amp; SSOT</w:t>
      </w:r>
    </w:p>
    <w:p>
      <w:pPr>
        <w:pBdr>
          <w:bottom w:val="single" w:color="C9A84C" w:sz="1" w:space="1"/>
        </w:pBdr>
        <w:spacing w:before="0" w:after="140"/>
      </w:pPr>
    </w:p>
    <w:p>
      <w:pPr>
        <w:spacing w:before="80" w:after="80"/>
      </w:pPr>
      <w:r>
        <w:rPr>
          <w:rFonts w:ascii="Arial" w:cs="Arial" w:eastAsia="Arial" w:hAnsi="Arial"/>
          <w:color w:val="2A2A2A"/>
          <w:sz w:val="20"/>
          <w:szCs w:val="20"/>
        </w:rPr>
        <w:t xml:space="preserve">The foundation. Build the data model, preload entity banks (trainers, owners, governing bodies), and define the lease creation workflow. A lease is assembled from a horse + trainer + owner/lessor + governing body + commercial terms. That assembly becomes the SSOT.</w:t>
      </w:r>
    </w:p>
    <w:p>
      <w:pPr>
        <w:spacing w:before="80" w:after="80"/>
      </w:pPr>
      <w:r>
        <w:rPr>
          <w:rFonts w:ascii="Arial" w:cs="Arial" w:eastAsia="Arial" w:hAnsi="Arial"/>
          <w:color w:val="2A2A2A"/>
          <w:sz w:val="20"/>
          <w:szCs w:val="20"/>
        </w:rPr>
        <w:t xml:space="preserve">All subsequent phases depend on this being correct. Lease status flows through: Draft → Proposed → Active → Completed. Every field change on a live lease creates a changelog entry.</w:t>
      </w:r>
    </w:p>
    <w:p>
      <w:pPr>
        <w:spacing w:before="80"/>
      </w:pPr>
    </w:p>
    <w:p>
      <w:pPr>
        <w:spacing w:before="60" w:after="60"/>
      </w:pPr>
      <w:r>
        <w:rPr>
          <w:rFonts w:ascii="Courier New" w:cs="Courier New" w:eastAsia="Courier New" w:hAnsi="Courier New"/>
          <w:color w:val="8A8278"/>
          <w:sz w:val="17"/>
          <w:szCs w:val="17"/>
        </w:rPr>
        <w:t xml:space="preserve">Deliverable: working data model with at least one complete lease record (First Gear as reference).</w:t>
      </w:r>
    </w:p>
    <w:p>
      <w:pPr>
        <w:spacing w:before="200"/>
      </w:pPr>
    </w:p>
    <w:p>
      <w:pPr>
        <w:pStyle w:val="Heading2"/>
        <w:spacing w:before="280" w:after="100"/>
      </w:pPr>
      <w:r>
        <w:rPr>
          <w:rFonts w:ascii="Georgia" w:cs="Georgia" w:eastAsia="Georgia" w:hAnsi="Georgia"/>
          <w:b w:val="false"/>
          <w:bCs w:val="false"/>
          <w:color w:val="7B9E87"/>
          <w:sz w:val="28"/>
          <w:szCs w:val="28"/>
        </w:rPr>
        <w:t xml:space="preserve">Phase 02 — Document Generation Engine</w:t>
      </w:r>
    </w:p>
    <w:p>
      <w:pPr>
        <w:pBdr>
          <w:bottom w:val="single" w:color="7B9E87" w:sz="1" w:space="1"/>
        </w:pBdr>
        <w:spacing w:before="0" w:after="140"/>
      </w:pPr>
    </w:p>
    <w:p>
      <w:pPr>
        <w:spacing w:before="80" w:after="80"/>
      </w:pPr>
      <w:r>
        <w:rPr>
          <w:rFonts w:ascii="Arial" w:cs="Arial" w:eastAsia="Arial" w:hAnsi="Arial"/>
          <w:color w:val="2A2A2A"/>
          <w:sz w:val="20"/>
          <w:szCs w:val="20"/>
        </w:rPr>
        <w:t xml:space="preserve">Generate the five platform documents from the SSOT. Four are produced pre-listing (HLT, PDS, Syndicate Agreement, Whitepaper). One is produced post-close (Investor Registry), once TokInvest supplies investor data.</w:t>
      </w:r>
    </w:p>
    <w:p>
      <w:pPr>
        <w:spacing w:before="80" w:after="80"/>
      </w:pPr>
      <w:r>
        <w:rPr>
          <w:rFonts w:ascii="Arial" w:cs="Arial" w:eastAsia="Arial" w:hAnsi="Arial"/>
          <w:color w:val="2A2A2A"/>
          <w:sz w:val="20"/>
          <w:szCs w:val="20"/>
        </w:rPr>
        <w:t xml:space="preserve">Templates are 85–95% static boilerplate. Variable fields are pulled automatically from the SSOT at generation time. Each document is version-linked to the SSOT snapshot it was created from.</w:t>
      </w:r>
    </w:p>
    <w:p>
      <w:pPr>
        <w:spacing w:before="80"/>
      </w:pPr>
    </w:p>
    <w:p>
      <w:pPr>
        <w:spacing w:before="60" w:after="60"/>
      </w:pPr>
      <w:r>
        <w:rPr>
          <w:rFonts w:ascii="Courier New" w:cs="Courier New" w:eastAsia="Courier New" w:hAnsi="Courier New"/>
          <w:color w:val="8A8278"/>
          <w:sz w:val="17"/>
          <w:szCs w:val="17"/>
        </w:rPr>
        <w:t xml:space="preserve">Deliverable: all five documents generated from First Gear SSOT data.</w:t>
      </w:r>
    </w:p>
    <w:p>
      <w:pPr>
        <w:spacing w:before="200"/>
      </w:pPr>
    </w:p>
    <w:p>
      <w:pPr>
        <w:pStyle w:val="Heading2"/>
        <w:spacing w:before="280" w:after="100"/>
      </w:pPr>
      <w:r>
        <w:rPr>
          <w:rFonts w:ascii="Georgia" w:cs="Georgia" w:eastAsia="Georgia" w:hAnsi="Georgia"/>
          <w:b w:val="false"/>
          <w:bCs w:val="false"/>
          <w:color w:val="4A9B8E"/>
          <w:sz w:val="28"/>
          <w:szCs w:val="28"/>
        </w:rPr>
        <w:t xml:space="preserve">Phase 03 — Investor Communications Engine</w:t>
      </w:r>
    </w:p>
    <w:p>
      <w:pPr>
        <w:pBdr>
          <w:bottom w:val="single" w:color="4A9B8E" w:sz="1" w:space="1"/>
        </w:pBdr>
        <w:spacing w:before="0" w:after="140"/>
      </w:pPr>
    </w:p>
    <w:p>
      <w:pPr>
        <w:spacing w:before="80" w:after="80"/>
      </w:pPr>
      <w:r>
        <w:rPr>
          <w:rFonts w:ascii="Arial" w:cs="Arial" w:eastAsia="Arial" w:hAnsi="Arial"/>
          <w:color w:val="2A2A2A"/>
          <w:sz w:val="20"/>
          <w:szCs w:val="20"/>
        </w:rPr>
        <w:t xml:space="preserve">Two parallel tracks: the Quarterly Investor Report (institutional, data-driven) and the Investor Update system (event-driven, multi-media, multi-channel). Both pull from the SSOT and are augmented by content submitted by trainers and racing managers.</w:t>
      </w:r>
    </w:p>
    <w:p>
      <w:pPr>
        <w:spacing w:before="80" w:after="80"/>
      </w:pPr>
      <w:r>
        <w:rPr>
          <w:rFonts w:ascii="Arial" w:cs="Arial" w:eastAsia="Arial" w:hAnsi="Arial"/>
          <w:color w:val="2A2A2A"/>
          <w:sz w:val="20"/>
          <w:szCs w:val="20"/>
        </w:rPr>
        <w:t xml:space="preserve">Content arrives via email from existing racing platforms (miStable, Prism). The engine transcribes, formats, and produces multiple output versions. A human approves at each stage before distribution.</w:t>
      </w:r>
    </w:p>
    <w:p>
      <w:pPr>
        <w:spacing w:before="80"/>
      </w:pPr>
    </w:p>
    <w:p>
      <w:pPr>
        <w:spacing w:before="60" w:after="60"/>
      </w:pPr>
      <w:r>
        <w:rPr>
          <w:rFonts w:ascii="Courier New" w:cs="Courier New" w:eastAsia="Courier New" w:hAnsi="Courier New"/>
          <w:color w:val="8A8278"/>
          <w:sz w:val="17"/>
          <w:szCs w:val="17"/>
        </w:rPr>
        <w:t xml:space="preserve">Deliverable: first Quarterly Report for First Gear + at least one full Investor Update cycle (pre-race through post-race).</w:t>
      </w:r>
    </w:p>
    <w:p>
      <w:pPr>
        <w:spacing w:before="200"/>
      </w:pPr>
    </w:p>
    <w:p>
      <w:pPr>
        <w:pStyle w:val="Heading2"/>
        <w:spacing w:before="280" w:after="100"/>
      </w:pPr>
      <w:r>
        <w:rPr>
          <w:rFonts w:ascii="Georgia" w:cs="Georgia" w:eastAsia="Georgia" w:hAnsi="Georgia"/>
          <w:b w:val="false"/>
          <w:bCs w:val="false"/>
          <w:color w:val="5B7FA8"/>
          <w:sz w:val="28"/>
          <w:szCs w:val="28"/>
        </w:rPr>
        <w:t xml:space="preserve">Phase 04 — Regulatory &amp; Compliance Workflows</w:t>
      </w:r>
    </w:p>
    <w:p>
      <w:pPr>
        <w:pBdr>
          <w:bottom w:val="single" w:color="5B7FA8" w:sz="1" w:space="1"/>
        </w:pBdr>
        <w:spacing w:before="0" w:after="140"/>
      </w:pPr>
    </w:p>
    <w:p>
      <w:pPr>
        <w:spacing w:before="80" w:after="80"/>
      </w:pPr>
      <w:r>
        <w:rPr>
          <w:rFonts w:ascii="Arial" w:cs="Arial" w:eastAsia="Arial" w:hAnsi="Arial"/>
          <w:color w:val="2A2A2A"/>
          <w:sz w:val="20"/>
          <w:szCs w:val="20"/>
        </w:rPr>
        <w:t xml:space="preserve">Automated workflows covering the regulatory obligations — NZTR registry submissions, changelog audit trails, approval/permissions layer on the SSOT, and a structured regulatory reference library. The audit function (cross-checking SSOT fields against regulatory requirements) is the mature end-state of this phase.</w:t>
      </w:r>
    </w:p>
    <w:p>
      <w:pPr>
        <w:spacing w:before="80"/>
      </w:pPr>
    </w:p>
    <w:p>
      <w:pPr>
        <w:spacing w:before="60" w:after="60"/>
      </w:pPr>
      <w:r>
        <w:rPr>
          <w:rFonts w:ascii="Courier New" w:cs="Courier New" w:eastAsia="Courier New" w:hAnsi="Courier New"/>
          <w:color w:val="8A8278"/>
          <w:sz w:val="17"/>
          <w:szCs w:val="17"/>
        </w:rPr>
        <w:t xml:space="preserve">Deliverable: NZTR submission workflow automated, audit trail complete, regulatory library populated.</w:t>
      </w:r>
    </w:p>
    <w:p>
      <w:r>
        <w:br w:type="page"/>
      </w:r>
    </w:p>
    <w:p>
      <w:pPr>
        <w:pStyle w:val="Heading1"/>
        <w:spacing w:before="320" w:after="120"/>
      </w:pPr>
      <w:r>
        <w:rPr>
          <w:rFonts w:ascii="Georgia" w:cs="Georgia" w:eastAsia="Georgia" w:hAnsi="Georgia"/>
          <w:b w:val="false"/>
          <w:bCs w:val="false"/>
          <w:color w:val="0A0A0A"/>
          <w:sz w:val="42"/>
          <w:szCs w:val="42"/>
        </w:rPr>
        <w:t xml:space="preserve">3. End-to-End Process Flow</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All handoffs between Evolution Stables (ES) and TokInvest are manual at this stage. The flow below covers the full lifecycle from lease creation through to investor communications and compliance.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1680"/>
        <w:gridCol w:w="1880"/>
      </w:tblGrid>
      <w:tr>
        <w:trPr>
          <w:tblHeader/>
        </w:trPr>
        <w:tc>
          <w:tcPr>
            <w:tcW w:type="dxa" w:w="16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STAGE</w:t>
            </w:r>
          </w:p>
        </w:tc>
        <w:tc>
          <w:tcPr>
            <w:tcW w:type="dxa" w:w="28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ACTION</w:t>
            </w:r>
          </w:p>
        </w:tc>
        <w:tc>
          <w:tcPr>
            <w:tcW w:type="dxa" w:w="1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OWNER</w:t>
            </w:r>
          </w:p>
        </w:tc>
        <w:tc>
          <w:tcPr>
            <w:tcW w:type="dxa" w:w="168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w:t>
            </w:r>
          </w:p>
        </w:tc>
        <w:tc>
          <w:tcPr>
            <w:tcW w:type="dxa" w:w="188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OUTPUT</w:t>
            </w:r>
          </w:p>
        </w:tc>
      </w:tr>
      <w:tr>
        <w:tc>
          <w:tcPr>
            <w:tcW w:type="dxa" w:w="1600"/>
            <w:tcBorders>
              <w:top w:val="none" w:color="FFFFFF" w:sz="0"/>
              <w:left w:val="none" w:color="FFFFFF" w:sz="0"/>
              <w:bottom w:val="none" w:color="FFFFFF" w:sz="0"/>
              <w:right w:val="none" w:color="FFFFFF" w:sz="0"/>
            </w:tcBorders>
            <w:shd w:fill="F5F0E0" w:val="clear"/>
            <w:tcMar>
              <w:top w:type="dxa" w:w="90"/>
              <w:left w:type="dxa" w:w="120"/>
              <w:bottom w:type="dxa" w:w="90"/>
              <w:right w:type="dxa" w:w="120"/>
            </w:tcMar>
            <w:vAlign w:val="center"/>
          </w:tcPr>
          <w:p>
            <w:pPr>
              <w:jc w:val="center"/>
            </w:pPr>
            <w:r>
              <w:rPr>
                <w:rFonts w:ascii="Courier New" w:cs="Courier New" w:eastAsia="Courier New" w:hAnsi="Courier New"/>
                <w:b/>
                <w:bCs/>
                <w:color w:val="8A7840"/>
                <w:sz w:val="15"/>
                <w:szCs w:val="15"/>
              </w:rPr>
              <w:t xml:space="preserve">PRE-LISTING</w:t>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Create horse profile + select entities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Manual entry</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Horse record</w:t>
            </w:r>
          </w:p>
        </w:tc>
      </w:tr>
      <w:tr>
        <w:tc>
          <w:tcPr>
            <w:tcW w:type="dxa" w:w="1600"/>
            <w:tcBorders>
              <w:top w:val="none" w:color="FFFFFF" w:sz="0"/>
              <w:left w:val="none" w:color="FFFFFF" w:sz="0"/>
              <w:bottom w:val="none" w:color="FFFFFF" w:sz="0"/>
              <w:right w:val="none" w:color="FFFFFF" w:sz="0"/>
            </w:tcBorders>
            <w:shd w:fill="F5F0E0" w:val="clear"/>
            <w:tcMar>
              <w:top w:type="dxa" w:w="90"/>
              <w:left w:type="dxa" w:w="120"/>
              <w:bottom w:type="dxa" w:w="90"/>
              <w:right w:type="dxa" w:w="120"/>
            </w:tcMar>
            <w:vAlign w:val="center"/>
          </w:tcPr>
          <w:p>
            <w:pPr>
              <w:jc w:val="center"/>
            </w:pPr>
            <w:r>
              <w:rPr>
                <w:rFonts w:ascii="Courier New" w:cs="Courier New" w:eastAsia="Courier New" w:hAnsi="Courier New"/>
                <w:b/>
                <w:bCs/>
                <w:color w:val="8A784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Define commercial terms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Manual entry</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Lease SSOT (Draft)</w:t>
            </w:r>
          </w:p>
        </w:tc>
      </w:tr>
      <w:tr>
        <w:tc>
          <w:tcPr>
            <w:tcW w:type="dxa" w:w="1600"/>
            <w:tcBorders>
              <w:top w:val="none" w:color="FFFFFF" w:sz="0"/>
              <w:left w:val="none" w:color="FFFFFF" w:sz="0"/>
              <w:bottom w:val="none" w:color="FFFFFF" w:sz="0"/>
              <w:right w:val="none" w:color="FFFFFF" w:sz="0"/>
            </w:tcBorders>
            <w:shd w:fill="F5F0E0" w:val="clear"/>
            <w:tcMar>
              <w:top w:type="dxa" w:w="90"/>
              <w:left w:type="dxa" w:w="120"/>
              <w:bottom w:type="dxa" w:w="90"/>
              <w:right w:type="dxa" w:w="120"/>
            </w:tcMar>
            <w:vAlign w:val="center"/>
          </w:tcPr>
          <w:p>
            <w:pPr>
              <w:jc w:val="center"/>
            </w:pPr>
            <w:r>
              <w:rPr>
                <w:rFonts w:ascii="Courier New" w:cs="Courier New" w:eastAsia="Courier New" w:hAnsi="Courier New"/>
                <w:b/>
                <w:bCs/>
                <w:color w:val="8A784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Review &amp; approve</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Draft SSOT</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Status → Proposed</w:t>
            </w:r>
          </w:p>
        </w:tc>
      </w:tr>
      <w:tr>
        <w:tc>
          <w:tcPr>
            <w:tcW w:type="dxa" w:w="1600"/>
            <w:tcBorders>
              <w:top w:val="none" w:color="FFFFFF" w:sz="0"/>
              <w:left w:val="none" w:color="FFFFFF" w:sz="0"/>
              <w:bottom w:val="none" w:color="FFFFFF" w:sz="0"/>
              <w:right w:val="none" w:color="FFFFFF" w:sz="0"/>
            </w:tcBorders>
            <w:shd w:fill="F5F0E0" w:val="clear"/>
            <w:tcMar>
              <w:top w:type="dxa" w:w="90"/>
              <w:left w:type="dxa" w:w="120"/>
              <w:bottom w:type="dxa" w:w="90"/>
              <w:right w:type="dxa" w:w="120"/>
            </w:tcMar>
            <w:vAlign w:val="center"/>
          </w:tcPr>
          <w:p>
            <w:pPr>
              <w:jc w:val="center"/>
            </w:pPr>
            <w:r>
              <w:rPr>
                <w:rFonts w:ascii="Courier New" w:cs="Courier New" w:eastAsia="Courier New" w:hAnsi="Courier New"/>
                <w:b/>
                <w:bCs/>
                <w:color w:val="8A784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Generate pre-listing documents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SSOT</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HLT, PDS, SA, WP</w:t>
            </w:r>
          </w:p>
        </w:tc>
      </w:tr>
      <w:tr>
        <w:tc>
          <w:tcPr>
            <w:tcW w:type="dxa" w:w="1600"/>
            <w:tcBorders>
              <w:top w:val="none" w:color="FFFFFF" w:sz="0"/>
              <w:left w:val="none" w:color="FFFFFF" w:sz="0"/>
              <w:bottom w:val="none" w:color="FFFFFF" w:sz="0"/>
              <w:right w:val="none" w:color="FFFFFF" w:sz="0"/>
            </w:tcBorders>
            <w:shd w:fill="F5F0E0" w:val="clear"/>
            <w:tcMar>
              <w:top w:type="dxa" w:w="90"/>
              <w:left w:type="dxa" w:w="120"/>
              <w:bottom w:type="dxa" w:w="90"/>
              <w:right w:type="dxa" w:w="120"/>
            </w:tcMar>
            <w:vAlign w:val="center"/>
          </w:tcPr>
          <w:p>
            <w:pPr>
              <w:jc w:val="center"/>
            </w:pPr>
            <w:r>
              <w:rPr>
                <w:rFonts w:ascii="Courier New" w:cs="Courier New" w:eastAsia="Courier New" w:hAnsi="Courier New"/>
                <w:b/>
                <w:bCs/>
                <w:color w:val="8A784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Send document package to TokInvest</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4 documents</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TokInvest receives</w:t>
            </w:r>
          </w:p>
        </w:tc>
      </w:tr>
      <w:tr>
        <w:tc>
          <w:tcPr>
            <w:tcW w:type="dxa" w:w="1600"/>
            <w:tcBorders>
              <w:top w:val="none" w:color="FFFFFF" w:sz="0"/>
              <w:left w:val="none" w:color="FFFFFF" w:sz="0"/>
              <w:bottom w:val="none" w:color="FFFFFF" w:sz="0"/>
              <w:right w:val="none" w:color="FFFFFF" w:sz="0"/>
            </w:tcBorders>
            <w:shd w:fill="EEF4F0" w:val="clear"/>
            <w:tcMar>
              <w:top w:type="dxa" w:w="90"/>
              <w:left w:type="dxa" w:w="120"/>
              <w:bottom w:type="dxa" w:w="90"/>
              <w:right w:type="dxa" w:w="120"/>
            </w:tcMar>
            <w:vAlign w:val="center"/>
          </w:tcPr>
          <w:p>
            <w:pPr>
              <w:jc w:val="center"/>
            </w:pPr>
            <w:r>
              <w:rPr>
                <w:rFonts w:ascii="Courier New" w:cs="Courier New" w:eastAsia="Courier New" w:hAnsi="Courier New"/>
                <w:b/>
                <w:bCs/>
                <w:color w:val="4A7A5A"/>
                <w:sz w:val="15"/>
                <w:szCs w:val="15"/>
              </w:rPr>
              <w:t xml:space="preserve">LISTING</w:t>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List on TokInvest platform</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TokInvest</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Doc package</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Live listing</w:t>
            </w:r>
          </w:p>
        </w:tc>
      </w:tr>
      <w:tr>
        <w:tc>
          <w:tcPr>
            <w:tcW w:type="dxa" w:w="1600"/>
            <w:tcBorders>
              <w:top w:val="none" w:color="FFFFFF" w:sz="0"/>
              <w:left w:val="none" w:color="FFFFFF" w:sz="0"/>
              <w:bottom w:val="none" w:color="FFFFFF" w:sz="0"/>
              <w:right w:val="none" w:color="FFFFFF" w:sz="0"/>
            </w:tcBorders>
            <w:shd w:fill="EEF4F0" w:val="clear"/>
            <w:tcMar>
              <w:top w:type="dxa" w:w="90"/>
              <w:left w:type="dxa" w:w="120"/>
              <w:bottom w:type="dxa" w:w="90"/>
              <w:right w:type="dxa" w:w="120"/>
            </w:tcMar>
            <w:vAlign w:val="center"/>
          </w:tcPr>
          <w:p>
            <w:pPr>
              <w:jc w:val="center"/>
            </w:pPr>
            <w:r>
              <w:rPr>
                <w:rFonts w:ascii="Courier New" w:cs="Courier New" w:eastAsia="Courier New" w:hAnsi="Courier New"/>
                <w:b/>
                <w:bCs/>
                <w:color w:val="4A7A5A"/>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Investor subscriptions open</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TokInvest</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w:t>
            </w:r>
          </w:p>
        </w:tc>
      </w:tr>
      <w:tr>
        <w:tc>
          <w:tcPr>
            <w:tcW w:type="dxa" w:w="1600"/>
            <w:tcBorders>
              <w:top w:val="none" w:color="FFFFFF" w:sz="0"/>
              <w:left w:val="none" w:color="FFFFFF" w:sz="0"/>
              <w:bottom w:val="none" w:color="FFFFFF" w:sz="0"/>
              <w:right w:val="none" w:color="FFFFFF" w:sz="0"/>
            </w:tcBorders>
            <w:shd w:fill="EEF4F0" w:val="clear"/>
            <w:tcMar>
              <w:top w:type="dxa" w:w="90"/>
              <w:left w:type="dxa" w:w="120"/>
              <w:bottom w:type="dxa" w:w="90"/>
              <w:right w:type="dxa" w:w="120"/>
            </w:tcMar>
            <w:vAlign w:val="center"/>
          </w:tcPr>
          <w:p>
            <w:pPr>
              <w:jc w:val="center"/>
            </w:pPr>
            <w:r>
              <w:rPr>
                <w:rFonts w:ascii="Courier New" w:cs="Courier New" w:eastAsia="Courier New" w:hAnsi="Courier New"/>
                <w:b/>
                <w:bCs/>
                <w:color w:val="4A7A5A"/>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Subscription closes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TokInvest</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Status → Active</w:t>
            </w:r>
          </w:p>
        </w:tc>
      </w:tr>
      <w:tr>
        <w:tc>
          <w:tcPr>
            <w:tcW w:type="dxa" w:w="1600"/>
            <w:tcBorders>
              <w:top w:val="none" w:color="FFFFFF" w:sz="0"/>
              <w:left w:val="none" w:color="FFFFFF" w:sz="0"/>
              <w:bottom w:val="none" w:color="FFFFFF" w:sz="0"/>
              <w:right w:val="none" w:color="FFFFFF" w:sz="0"/>
            </w:tcBorders>
            <w:shd w:fill="EEF0F5" w:val="clear"/>
            <w:tcMar>
              <w:top w:type="dxa" w:w="90"/>
              <w:left w:type="dxa" w:w="120"/>
              <w:bottom w:type="dxa" w:w="90"/>
              <w:right w:type="dxa" w:w="120"/>
            </w:tcMar>
            <w:vAlign w:val="center"/>
          </w:tcPr>
          <w:p>
            <w:pPr>
              <w:jc w:val="center"/>
            </w:pPr>
            <w:r>
              <w:rPr>
                <w:rFonts w:ascii="Courier New" w:cs="Courier New" w:eastAsia="Courier New" w:hAnsi="Courier New"/>
                <w:b/>
                <w:bCs/>
                <w:color w:val="4A5A7A"/>
                <w:sz w:val="15"/>
                <w:szCs w:val="15"/>
              </w:rPr>
              <w:t xml:space="preserve">POST-CLOSE</w:t>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Send investor data to ES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TokInvest</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ES receives CSV</w:t>
            </w:r>
          </w:p>
        </w:tc>
      </w:tr>
      <w:tr>
        <w:tc>
          <w:tcPr>
            <w:tcW w:type="dxa" w:w="1600"/>
            <w:tcBorders>
              <w:top w:val="none" w:color="FFFFFF" w:sz="0"/>
              <w:left w:val="none" w:color="FFFFFF" w:sz="0"/>
              <w:bottom w:val="none" w:color="FFFFFF" w:sz="0"/>
              <w:right w:val="none" w:color="FFFFFF" w:sz="0"/>
            </w:tcBorders>
            <w:shd w:fill="EEF0F5" w:val="clear"/>
            <w:tcMar>
              <w:top w:type="dxa" w:w="90"/>
              <w:left w:type="dxa" w:w="120"/>
              <w:bottom w:type="dxa" w:w="90"/>
              <w:right w:type="dxa" w:w="120"/>
            </w:tcMar>
            <w:vAlign w:val="center"/>
          </w:tcPr>
          <w:p>
            <w:pPr>
              <w:jc w:val="center"/>
            </w:pPr>
            <w:r>
              <w:rPr>
                <w:rFonts w:ascii="Courier New" w:cs="Courier New" w:eastAsia="Courier New" w:hAnsi="Courier New"/>
                <w:b/>
                <w:bCs/>
                <w:color w:val="4A5A7A"/>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Import + generate Investor Registry</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CSV</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Registry document</w:t>
            </w:r>
          </w:p>
        </w:tc>
      </w:tr>
      <w:tr>
        <w:tc>
          <w:tcPr>
            <w:tcW w:type="dxa" w:w="1600"/>
            <w:tcBorders>
              <w:top w:val="none" w:color="FFFFFF" w:sz="0"/>
              <w:left w:val="none" w:color="FFFFFF" w:sz="0"/>
              <w:bottom w:val="none" w:color="FFFFFF" w:sz="0"/>
              <w:right w:val="none" w:color="FFFFFF" w:sz="0"/>
            </w:tcBorders>
            <w:shd w:fill="EEF0F5" w:val="clear"/>
            <w:tcMar>
              <w:top w:type="dxa" w:w="90"/>
              <w:left w:type="dxa" w:w="120"/>
              <w:bottom w:type="dxa" w:w="90"/>
              <w:right w:type="dxa" w:w="120"/>
            </w:tcMar>
            <w:vAlign w:val="center"/>
          </w:tcPr>
          <w:p>
            <w:pPr>
              <w:jc w:val="center"/>
            </w:pPr>
            <w:r>
              <w:rPr>
                <w:rFonts w:ascii="Courier New" w:cs="Courier New" w:eastAsia="Courier New" w:hAnsi="Courier New"/>
                <w:b/>
                <w:bCs/>
                <w:color w:val="4A5A7A"/>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Submit Registry to NZTR</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Registry</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NZTR filed</w:t>
            </w:r>
          </w:p>
        </w:tc>
      </w:tr>
      <w:tr>
        <w:tc>
          <w:tcPr>
            <w:tcW w:type="dxa" w:w="1600"/>
            <w:tcBorders>
              <w:top w:val="none" w:color="FFFFFF" w:sz="0"/>
              <w:left w:val="none" w:color="FFFFFF" w:sz="0"/>
              <w:bottom w:val="none" w:color="FFFFFF" w:sz="0"/>
              <w:right w:val="none" w:color="FFFFFF" w:sz="0"/>
            </w:tcBorders>
            <w:shd w:fill="E8F4F2" w:val="clear"/>
            <w:tcMar>
              <w:top w:type="dxa" w:w="90"/>
              <w:left w:type="dxa" w:w="120"/>
              <w:bottom w:type="dxa" w:w="90"/>
              <w:right w:type="dxa" w:w="120"/>
            </w:tcMar>
            <w:vAlign w:val="center"/>
          </w:tcPr>
          <w:p>
            <w:pPr>
              <w:jc w:val="center"/>
            </w:pPr>
            <w:r>
              <w:rPr>
                <w:rFonts w:ascii="Courier New" w:cs="Courier New" w:eastAsia="Courier New" w:hAnsi="Courier New"/>
                <w:b/>
                <w:bCs/>
                <w:color w:val="2A7A70"/>
                <w:sz w:val="15"/>
                <w:szCs w:val="15"/>
              </w:rPr>
              <w:t xml:space="preserve">INVESTOR COMMS</w:t>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Receive content from trainer/miStable</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Email + video</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Raw content ingested</w:t>
            </w:r>
          </w:p>
        </w:tc>
      </w:tr>
      <w:tr>
        <w:tc>
          <w:tcPr>
            <w:tcW w:type="dxa" w:w="1600"/>
            <w:tcBorders>
              <w:top w:val="none" w:color="FFFFFF" w:sz="0"/>
              <w:left w:val="none" w:color="FFFFFF" w:sz="0"/>
              <w:bottom w:val="none" w:color="FFFFFF" w:sz="0"/>
              <w:right w:val="none" w:color="FFFFFF" w:sz="0"/>
            </w:tcBorders>
            <w:shd w:fill="E8F4F2" w:val="clear"/>
            <w:tcMar>
              <w:top w:type="dxa" w:w="90"/>
              <w:left w:type="dxa" w:w="120"/>
              <w:bottom w:type="dxa" w:w="90"/>
              <w:right w:type="dxa" w:w="120"/>
            </w:tcMar>
            <w:vAlign w:val="center"/>
          </w:tcPr>
          <w:p>
            <w:pPr>
              <w:jc w:val="center"/>
            </w:pPr>
            <w:r>
              <w:rPr>
                <w:rFonts w:ascii="Courier New" w:cs="Courier New" w:eastAsia="Courier New" w:hAnsi="Courier New"/>
                <w:b/>
                <w:bCs/>
                <w:color w:val="2A7A7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Human reviews + approves content</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Raw content</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Approved for engine</w:t>
            </w:r>
          </w:p>
        </w:tc>
      </w:tr>
      <w:tr>
        <w:tc>
          <w:tcPr>
            <w:tcW w:type="dxa" w:w="1600"/>
            <w:tcBorders>
              <w:top w:val="none" w:color="FFFFFF" w:sz="0"/>
              <w:left w:val="none" w:color="FFFFFF" w:sz="0"/>
              <w:bottom w:val="none" w:color="FFFFFF" w:sz="0"/>
              <w:right w:val="none" w:color="FFFFFF" w:sz="0"/>
            </w:tcBorders>
            <w:shd w:fill="E8F4F2" w:val="clear"/>
            <w:tcMar>
              <w:top w:type="dxa" w:w="90"/>
              <w:left w:type="dxa" w:w="120"/>
              <w:bottom w:type="dxa" w:w="90"/>
              <w:right w:type="dxa" w:w="120"/>
            </w:tcMar>
            <w:vAlign w:val="center"/>
          </w:tcPr>
          <w:p>
            <w:pPr>
              <w:jc w:val="center"/>
            </w:pPr>
            <w:r>
              <w:rPr>
                <w:rFonts w:ascii="Courier New" w:cs="Courier New" w:eastAsia="Courier New" w:hAnsi="Courier New"/>
                <w:b/>
                <w:bCs/>
                <w:color w:val="2A7A7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Content engine processes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Video/text/data</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Multiple output formats</w:t>
            </w:r>
          </w:p>
        </w:tc>
      </w:tr>
      <w:tr>
        <w:tc>
          <w:tcPr>
            <w:tcW w:type="dxa" w:w="1600"/>
            <w:tcBorders>
              <w:top w:val="none" w:color="FFFFFF" w:sz="0"/>
              <w:left w:val="none" w:color="FFFFFF" w:sz="0"/>
              <w:bottom w:val="none" w:color="FFFFFF" w:sz="0"/>
              <w:right w:val="none" w:color="FFFFFF" w:sz="0"/>
            </w:tcBorders>
            <w:shd w:fill="E8F4F2" w:val="clear"/>
            <w:tcMar>
              <w:top w:type="dxa" w:w="90"/>
              <w:left w:type="dxa" w:w="120"/>
              <w:bottom w:type="dxa" w:w="90"/>
              <w:right w:type="dxa" w:w="120"/>
            </w:tcMar>
            <w:vAlign w:val="center"/>
          </w:tcPr>
          <w:p>
            <w:pPr>
              <w:jc w:val="center"/>
            </w:pPr>
            <w:r>
              <w:rPr>
                <w:rFonts w:ascii="Courier New" w:cs="Courier New" w:eastAsia="Courier New" w:hAnsi="Courier New"/>
                <w:b/>
                <w:bCs/>
                <w:color w:val="2A7A7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Human approves outputs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Formatted outputs</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Approved for send</w:t>
            </w:r>
          </w:p>
        </w:tc>
      </w:tr>
      <w:tr>
        <w:tc>
          <w:tcPr>
            <w:tcW w:type="dxa" w:w="1600"/>
            <w:tcBorders>
              <w:top w:val="none" w:color="FFFFFF" w:sz="0"/>
              <w:left w:val="none" w:color="FFFFFF" w:sz="0"/>
              <w:bottom w:val="none" w:color="FFFFFF" w:sz="0"/>
              <w:right w:val="none" w:color="FFFFFF" w:sz="0"/>
            </w:tcBorders>
            <w:shd w:fill="E8F4F2" w:val="clear"/>
            <w:tcMar>
              <w:top w:type="dxa" w:w="90"/>
              <w:left w:type="dxa" w:w="120"/>
              <w:bottom w:type="dxa" w:w="90"/>
              <w:right w:type="dxa" w:w="120"/>
            </w:tcMar>
            <w:vAlign w:val="center"/>
          </w:tcPr>
          <w:p>
            <w:pPr>
              <w:jc w:val="center"/>
            </w:pPr>
            <w:r>
              <w:rPr>
                <w:rFonts w:ascii="Courier New" w:cs="Courier New" w:eastAsia="Courier New" w:hAnsi="Courier New"/>
                <w:b/>
                <w:bCs/>
                <w:color w:val="2A7A7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Distribute to investors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Outputs</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Delivered to channels</w:t>
            </w:r>
          </w:p>
        </w:tc>
      </w:tr>
      <w:tr>
        <w:tc>
          <w:tcPr>
            <w:tcW w:type="dxa" w:w="1600"/>
            <w:tcBorders>
              <w:top w:val="none" w:color="FFFFFF" w:sz="0"/>
              <w:left w:val="none" w:color="FFFFFF" w:sz="0"/>
              <w:bottom w:val="none" w:color="FFFFFF" w:sz="0"/>
              <w:right w:val="none" w:color="FFFFFF" w:sz="0"/>
            </w:tcBorders>
            <w:shd w:fill="F5EEEE" w:val="clear"/>
            <w:tcMar>
              <w:top w:type="dxa" w:w="90"/>
              <w:left w:type="dxa" w:w="120"/>
              <w:bottom w:type="dxa" w:w="90"/>
              <w:right w:type="dxa" w:w="120"/>
            </w:tcMar>
            <w:vAlign w:val="center"/>
          </w:tcPr>
          <w:p>
            <w:pPr>
              <w:jc w:val="center"/>
            </w:pPr>
            <w:r>
              <w:rPr>
                <w:rFonts w:ascii="Courier New" w:cs="Courier New" w:eastAsia="Courier New" w:hAnsi="Courier New"/>
                <w:b/>
                <w:bCs/>
                <w:color w:val="7A4A4A"/>
                <w:sz w:val="15"/>
                <w:szCs w:val="15"/>
              </w:rPr>
              <w:t xml:space="preserve">AMENDMENTS</w:t>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Any lease change logged</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Amendment</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Changelog entry</w:t>
            </w:r>
          </w:p>
        </w:tc>
      </w:tr>
      <w:tr>
        <w:tc>
          <w:tcPr>
            <w:tcW w:type="dxa" w:w="1600"/>
            <w:tcBorders>
              <w:top w:val="none" w:color="FFFFFF" w:sz="0"/>
              <w:left w:val="none" w:color="FFFFFF" w:sz="0"/>
              <w:bottom w:val="none" w:color="FFFFFF" w:sz="0"/>
              <w:right w:val="none" w:color="FFFFFF" w:sz="0"/>
            </w:tcBorders>
            <w:shd w:fill="F5EEEE" w:val="clear"/>
            <w:tcMar>
              <w:top w:type="dxa" w:w="90"/>
              <w:left w:type="dxa" w:w="120"/>
              <w:bottom w:type="dxa" w:w="90"/>
              <w:right w:type="dxa" w:w="120"/>
            </w:tcMar>
            <w:vAlign w:val="center"/>
          </w:tcPr>
          <w:p>
            <w:pPr>
              <w:jc w:val="center"/>
            </w:pPr>
            <w:r>
              <w:rPr>
                <w:rFonts w:ascii="Courier New" w:cs="Courier New" w:eastAsia="Courier New" w:hAnsi="Courier New"/>
                <w:b/>
                <w:bCs/>
                <w:color w:val="7A4A4A"/>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Investor change notified by TokInvest</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TokInvest</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Notification</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Registry updated</w:t>
            </w:r>
          </w:p>
        </w:tc>
      </w:tr>
      <w:tr>
        <w:tc>
          <w:tcPr>
            <w:tcW w:type="dxa" w:w="1600"/>
            <w:tcBorders>
              <w:top w:val="none" w:color="FFFFFF" w:sz="0"/>
              <w:left w:val="none" w:color="FFFFFF" w:sz="0"/>
              <w:bottom w:val="none" w:color="FFFFFF" w:sz="0"/>
              <w:right w:val="none" w:color="FFFFFF" w:sz="0"/>
            </w:tcBorders>
            <w:shd w:fill="F5EEEE" w:val="clear"/>
            <w:tcMar>
              <w:top w:type="dxa" w:w="90"/>
              <w:left w:type="dxa" w:w="120"/>
              <w:bottom w:type="dxa" w:w="90"/>
              <w:right w:type="dxa" w:w="120"/>
            </w:tcMar>
            <w:vAlign w:val="center"/>
          </w:tcPr>
          <w:p>
            <w:pPr>
              <w:jc w:val="center"/>
            </w:pPr>
            <w:r>
              <w:rPr>
                <w:rFonts w:ascii="Courier New" w:cs="Courier New" w:eastAsia="Courier New" w:hAnsi="Courier New"/>
                <w:b/>
                <w:bCs/>
                <w:color w:val="7A4A4A"/>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Updated Registry sent to NZTR</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Diff</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NZTR notified</w:t>
            </w:r>
          </w:p>
        </w:tc>
      </w:tr>
      <w:tr>
        <w:tc>
          <w:tcPr>
            <w:tcW w:type="dxa" w:w="1600"/>
            <w:tcBorders>
              <w:top w:val="none" w:color="FFFFFF" w:sz="0"/>
              <w:left w:val="none" w:color="FFFFFF" w:sz="0"/>
              <w:bottom w:val="none" w:color="FFFFFF" w:sz="0"/>
              <w:right w:val="none" w:color="FFFFFF" w:sz="0"/>
            </w:tcBorders>
            <w:shd w:fill="F0F0F0" w:val="clear"/>
            <w:tcMar>
              <w:top w:type="dxa" w:w="90"/>
              <w:left w:type="dxa" w:w="120"/>
              <w:bottom w:type="dxa" w:w="90"/>
              <w:right w:type="dxa" w:w="120"/>
            </w:tcMar>
            <w:vAlign w:val="center"/>
          </w:tcPr>
          <w:p>
            <w:pPr>
              <w:jc w:val="center"/>
            </w:pPr>
            <w:r>
              <w:rPr>
                <w:rFonts w:ascii="Courier New" w:cs="Courier New" w:eastAsia="Courier New" w:hAnsi="Courier New"/>
                <w:b/>
                <w:bCs/>
                <w:color w:val="6A6A6A"/>
                <w:sz w:val="15"/>
                <w:szCs w:val="15"/>
              </w:rPr>
              <w:t xml:space="preserve">CLOSE</w:t>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Lease term ends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Status → Completed</w:t>
            </w:r>
          </w:p>
        </w:tc>
      </w:tr>
      <w:tr>
        <w:tc>
          <w:tcPr>
            <w:tcW w:type="dxa" w:w="1600"/>
            <w:tcBorders>
              <w:top w:val="none" w:color="FFFFFF" w:sz="0"/>
              <w:left w:val="none" w:color="FFFFFF" w:sz="0"/>
              <w:bottom w:val="none" w:color="FFFFFF" w:sz="0"/>
              <w:right w:val="none" w:color="FFFFFF" w:sz="0"/>
            </w:tcBorders>
            <w:shd w:fill="F0F0F0" w:val="clear"/>
            <w:tcMar>
              <w:top w:type="dxa" w:w="90"/>
              <w:left w:type="dxa" w:w="120"/>
              <w:bottom w:type="dxa" w:w="90"/>
              <w:right w:type="dxa" w:w="120"/>
            </w:tcMar>
            <w:vAlign w:val="center"/>
          </w:tcPr>
          <w:p>
            <w:pPr>
              <w:jc w:val="center"/>
            </w:pPr>
            <w:r>
              <w:rPr>
                <w:rFonts w:ascii="Courier New" w:cs="Courier New" w:eastAsia="Courier New" w:hAnsi="Courier New"/>
                <w:b/>
                <w:bCs/>
                <w:color w:val="6A6A6A"/>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Archive all docs + assets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Read-only record</w:t>
            </w:r>
          </w:p>
        </w:tc>
      </w:tr>
    </w:tbl>
    <w:p>
      <w:r>
        <w:br w:type="page"/>
      </w:r>
    </w:p>
    <w:p>
      <w:pPr>
        <w:pStyle w:val="Heading1"/>
        <w:spacing w:before="320" w:after="120"/>
      </w:pPr>
      <w:r>
        <w:rPr>
          <w:rFonts w:ascii="Georgia" w:cs="Georgia" w:eastAsia="Georgia" w:hAnsi="Georgia"/>
          <w:b w:val="false"/>
          <w:bCs w:val="false"/>
          <w:color w:val="0A0A0A"/>
          <w:sz w:val="42"/>
          <w:szCs w:val="42"/>
        </w:rPr>
        <w:t xml:space="preserve">4. SSOT Field Specification</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The SSOT is the assembled lease record. Created by combining five elements. Once Active, all edits are amendments — never overwrites. The First Gear lease is used as the reference example throughout.</w:t>
      </w:r>
    </w:p>
    <w:p>
      <w:pPr>
        <w:spacing w:before="160"/>
      </w:pPr>
    </w:p>
    <w:p>
      <w:pPr>
        <w:pStyle w:val="Heading3"/>
        <w:spacing w:before="220" w:after="80"/>
      </w:pPr>
      <w:r>
        <w:rPr>
          <w:rFonts w:ascii="Georgia" w:cs="Georgia" w:eastAsia="Georgia" w:hAnsi="Georgia"/>
          <w:b w:val="false"/>
          <w:bCs w:val="false"/>
          <w:color w:val="2A2A2A"/>
          <w:sz w:val="22"/>
          <w:szCs w:val="22"/>
        </w:rPr>
        <w:t xml:space="preserve">4.1  Horse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FIELD</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VALUE / EXAMPLE</w:t>
            </w:r>
          </w:p>
        </w:tc>
        <w:tc>
          <w:tcPr>
            <w:tcW w:type="dxa" w:w="31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 TYPE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Name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First Gear (NZ) 2021</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Text</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Date of birth</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02/10/2021</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Date picker</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Age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4YO</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from DOB</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Colour / sex</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Bay Gelding</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Dropdown</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Sire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DERRYN (AUS)</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Text</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Dam</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A'GUIN ACE (NZ)</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Text</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Microchip</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985125000126713</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Text</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Country of registration</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NZ</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Dropdown</w:t>
            </w:r>
          </w:p>
        </w:tc>
      </w:tr>
    </w:tbl>
    <w:p>
      <w:pPr>
        <w:spacing w:before="200"/>
      </w:pPr>
    </w:p>
    <w:p>
      <w:pPr>
        <w:pStyle w:val="Heading3"/>
        <w:spacing w:before="220" w:after="80"/>
      </w:pPr>
      <w:r>
        <w:rPr>
          <w:rFonts w:ascii="Georgia" w:cs="Georgia" w:eastAsia="Georgia" w:hAnsi="Georgia"/>
          <w:b w:val="false"/>
          <w:bCs w:val="false"/>
          <w:color w:val="2A2A2A"/>
          <w:sz w:val="22"/>
          <w:szCs w:val="22"/>
        </w:rPr>
        <w:t xml:space="preserve">4.2  Lease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FIELD</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VALUE / EXAMPLE</w:t>
            </w:r>
          </w:p>
        </w:tc>
        <w:tc>
          <w:tcPr>
            <w:tcW w:type="dxa" w:w="31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 TYPE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Start date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01/07/2025</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Date picker (presets: Jan 1, Jul 1)</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Length</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12 months</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Number</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End date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30/06/2026</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(start + length)</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 of horse leased</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10%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Number</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Monthly lease price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$40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Number — entered</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Annual lease price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$480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(monthly × 12)</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Price per 1%</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$480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(annual ÷ %)</w:t>
            </w:r>
          </w:p>
        </w:tc>
      </w:tr>
    </w:tbl>
    <w:p>
      <w:pPr>
        <w:spacing w:before="200"/>
      </w:pPr>
    </w:p>
    <w:p>
      <w:pPr>
        <w:pStyle w:val="Heading3"/>
        <w:spacing w:before="220" w:after="80"/>
      </w:pPr>
      <w:r>
        <w:rPr>
          <w:rFonts w:ascii="Georgia" w:cs="Georgia" w:eastAsia="Georgia" w:hAnsi="Georgia"/>
          <w:b w:val="false"/>
          <w:bCs w:val="false"/>
          <w:color w:val="2A2A2A"/>
          <w:sz w:val="22"/>
          <w:szCs w:val="22"/>
        </w:rPr>
        <w:t xml:space="preserve">4.3  Token Issuance Particulars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FIELD</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VALUE / EXAMPLE</w:t>
            </w:r>
          </w:p>
        </w:tc>
        <w:tc>
          <w:tcPr>
            <w:tcW w:type="dxa" w:w="31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 TYPE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Currency</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NZD</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Dropdown: NZD, AED, AUD, USD, HKD</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Number of tokens</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20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Number — entered</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 per token</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0.5%</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 leased ÷ # tokens)</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Token price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$240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(price per 1% × % per token)</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Total issuance value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$4,800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 tokens × token price)</w:t>
            </w:r>
          </w:p>
        </w:tc>
      </w:tr>
    </w:tbl>
    <w:p>
      <w:pPr>
        <w:spacing w:before="200"/>
      </w:pPr>
    </w:p>
    <w:p>
      <w:pPr>
        <w:pStyle w:val="Heading3"/>
        <w:spacing w:before="220" w:after="80"/>
      </w:pPr>
      <w:r>
        <w:rPr>
          <w:rFonts w:ascii="Georgia" w:cs="Georgia" w:eastAsia="Georgia" w:hAnsi="Georgia"/>
          <w:b w:val="false"/>
          <w:bCs w:val="false"/>
          <w:color w:val="2A2A2A"/>
          <w:sz w:val="22"/>
          <w:szCs w:val="22"/>
        </w:rPr>
        <w:t xml:space="preserve">4.4  Trainer / Stables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FIELD</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VALUE / EXAMPLE</w:t>
            </w:r>
          </w:p>
        </w:tc>
        <w:tc>
          <w:tcPr>
            <w:tcW w:type="dxa" w:w="31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 TYPE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Trainer name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Stephen Gray</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Select from bank / add new</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Stable name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Copper Belt Lodge</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Part of bank record</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Address</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643 Mt Stewart Halcombe Rd, Feilding, NZ</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Part of bank record</w:t>
            </w:r>
          </w:p>
        </w:tc>
      </w:tr>
    </w:tbl>
    <w:p>
      <w:pPr>
        <w:spacing w:before="200"/>
      </w:pPr>
    </w:p>
    <w:p>
      <w:pPr>
        <w:pStyle w:val="Heading3"/>
        <w:spacing w:before="220" w:after="80"/>
      </w:pPr>
      <w:r>
        <w:rPr>
          <w:rFonts w:ascii="Georgia" w:cs="Georgia" w:eastAsia="Georgia" w:hAnsi="Georgia"/>
          <w:b w:val="false"/>
          <w:bCs w:val="false"/>
          <w:color w:val="2A2A2A"/>
          <w:sz w:val="22"/>
          <w:szCs w:val="22"/>
        </w:rPr>
        <w:t xml:space="preserve">4.5  Owner / Lessor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FIELD</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VALUE / EXAMPLE</w:t>
            </w:r>
          </w:p>
        </w:tc>
        <w:tc>
          <w:tcPr>
            <w:tcW w:type="dxa" w:w="31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 TYPE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Entity name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Horse's registered owner</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Select from bank / add new</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Entity type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Company / Trust / Individual</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Dropdown</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Address</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Part of bank record</w:t>
            </w:r>
          </w:p>
        </w:tc>
      </w:tr>
    </w:tbl>
    <w:p>
      <w:pPr>
        <w:spacing w:before="80"/>
      </w:pPr>
    </w:p>
    <w:p>
      <w:pPr>
        <w:spacing w:before="60" w:after="60"/>
      </w:pPr>
      <w:r>
        <w:rPr>
          <w:rFonts w:ascii="Courier New" w:cs="Courier New" w:eastAsia="Courier New" w:hAnsi="Courier New"/>
          <w:color w:val="8A8278"/>
          <w:sz w:val="17"/>
          <w:szCs w:val="17"/>
        </w:rPr>
        <w:t xml:space="preserve">The registered owner is the party ES has the back-to-back contract with. Varies horse to horse. Must be confirmed at lease creation.</w:t>
      </w:r>
    </w:p>
    <w:p>
      <w:pPr>
        <w:spacing w:before="200"/>
      </w:pPr>
    </w:p>
    <w:p>
      <w:pPr>
        <w:pStyle w:val="Heading3"/>
        <w:spacing w:before="220" w:after="80"/>
      </w:pPr>
      <w:r>
        <w:rPr>
          <w:rFonts w:ascii="Georgia" w:cs="Georgia" w:eastAsia="Georgia" w:hAnsi="Georgia"/>
          <w:b w:val="false"/>
          <w:bCs w:val="false"/>
          <w:color w:val="2A2A2A"/>
          <w:sz w:val="22"/>
          <w:szCs w:val="22"/>
        </w:rPr>
        <w:t xml:space="preserve">4.6  Governing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FIELD</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VALUE / EXAMPLE</w:t>
            </w:r>
          </w:p>
        </w:tc>
        <w:tc>
          <w:tcPr>
            <w:tcW w:type="dxa" w:w="31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 TYPE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Governing body</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NZTR</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Dropdown: NZTR, DRC</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Full resolved name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New Zealand Thoroughbred Racing (NZTR)</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Auto-resolved for docs</w:t>
            </w:r>
          </w:p>
        </w:tc>
      </w:tr>
    </w:tbl>
    <w:p>
      <w:pPr>
        <w:spacing w:before="200"/>
      </w:pPr>
    </w:p>
    <w:p>
      <w:pPr>
        <w:pStyle w:val="Heading3"/>
        <w:spacing w:before="220" w:after="80"/>
      </w:pPr>
      <w:r>
        <w:rPr>
          <w:rFonts w:ascii="Georgia" w:cs="Georgia" w:eastAsia="Georgia" w:hAnsi="Georgia"/>
          <w:b w:val="false"/>
          <w:bCs w:val="false"/>
          <w:color w:val="2A2A2A"/>
          <w:sz w:val="22"/>
          <w:szCs w:val="22"/>
        </w:rPr>
        <w:t xml:space="preserve">4.7  Commercial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FIELD</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VALUE / EXAMPLE</w:t>
            </w:r>
          </w:p>
        </w:tc>
        <w:tc>
          <w:tcPr>
            <w:tcW w:type="dxa" w:w="31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 TYPE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Investor / tokenholder share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80%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Number — entered</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Owner / lessor share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20%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(100 − investor share)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Platform fee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null</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Reserved — null for now</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Lease narrative (period)</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Auto-generated</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Fixed template, dates from SSOT</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Lease narrative (stakes)</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Auto-generated</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Fixed template, split % from SSOT</w:t>
            </w:r>
          </w:p>
        </w:tc>
      </w:tr>
    </w:tbl>
    <w:p>
      <w:pPr>
        <w:spacing w:before="80"/>
      </w:pPr>
    </w:p>
    <w:p>
      <w:pPr>
        <w:spacing w:before="60" w:after="60"/>
      </w:pPr>
      <w:r>
        <w:rPr>
          <w:rFonts w:ascii="Courier New" w:cs="Courier New" w:eastAsia="Courier New" w:hAnsi="Courier New"/>
          <w:color w:val="8A8278"/>
          <w:sz w:val="17"/>
          <w:szCs w:val="17"/>
        </w:rPr>
        <w:t xml:space="preserve">Platform fee, when introduced, deducted from owner share — not investor share.</w:t>
      </w:r>
    </w:p>
    <w:p>
      <w:pPr>
        <w:spacing w:before="60" w:after="60"/>
      </w:pPr>
      <w:r>
        <w:rPr>
          <w:rFonts w:ascii="Courier New" w:cs="Courier New" w:eastAsia="Courier New" w:hAnsi="Courier New"/>
          <w:color w:val="8A8278"/>
          <w:sz w:val="17"/>
          <w:szCs w:val="17"/>
        </w:rPr>
        <w:t xml:space="preserve">Narrative: "HLT Lease period: 12 months (1 July 2025 to 30 June 2026). Agreed split: 80% to tokenholders / 20% to owner."</w:t>
      </w:r>
    </w:p>
    <w:p>
      <w:pPr>
        <w:spacing w:before="200"/>
      </w:pPr>
    </w:p>
    <w:p>
      <w:pPr>
        <w:pStyle w:val="Heading3"/>
        <w:spacing w:before="220" w:after="80"/>
      </w:pPr>
      <w:r>
        <w:rPr>
          <w:rFonts w:ascii="Georgia" w:cs="Georgia" w:eastAsia="Georgia" w:hAnsi="Georgia"/>
          <w:b w:val="false"/>
          <w:bCs w:val="false"/>
          <w:color w:val="2A2A2A"/>
          <w:sz w:val="22"/>
          <w:szCs w:val="22"/>
        </w:rPr>
        <w:t xml:space="preserve">4.8  Lease Status &amp;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STATUS</w:t>
            </w:r>
          </w:p>
        </w:tc>
        <w:tc>
          <w:tcPr>
            <w:tcW w:type="dxa" w:w="73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DESCRIPTION</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C9A84C"/>
                <w:sz w:val="19"/>
                <w:szCs w:val="19"/>
              </w:rPr>
              <w:t xml:space="preserve">Draft</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In preparation. Not yet reviewed.</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C9A84C"/>
                <w:sz w:val="19"/>
                <w:szCs w:val="19"/>
              </w:rPr>
              <w:t xml:space="preserve">Proposed</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Reviewed internally. Docs can be generated. Ready for TokInvest.</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C9A84C"/>
                <w:sz w:val="19"/>
                <w:szCs w:val="19"/>
              </w:rPr>
              <w:t xml:space="preserve">Active</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Listed. Post-close. Investors confirmed. Registry filed.</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C9A84C"/>
                <w:sz w:val="19"/>
                <w:szCs w:val="19"/>
              </w:rPr>
              <w:t xml:space="preserve">Completed</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Lease term ended. Read-only archive.</w:t>
            </w:r>
          </w:p>
        </w:tc>
      </w:tr>
    </w:tbl>
    <w:p>
      <w:pPr>
        <w:spacing w:before="80"/>
      </w:pPr>
    </w:p>
    <w:p>
      <w:pPr>
        <w:spacing w:before="60" w:after="60"/>
      </w:pPr>
      <w:r>
        <w:rPr>
          <w:rFonts w:ascii="Courier New" w:cs="Courier New" w:eastAsia="Courier New" w:hAnsi="Courier New"/>
          <w:color w:val="8A8278"/>
          <w:sz w:val="17"/>
          <w:szCs w:val="17"/>
        </w:rPr>
        <w:t xml:space="preserve">Every field change on a Proposed or Active lease: timestamp / field / previous value / new value / editor.</w:t>
      </w:r>
    </w:p>
    <w:p>
      <w:pPr>
        <w:spacing w:before="60" w:after="60"/>
      </w:pPr>
      <w:r>
        <w:rPr>
          <w:rFonts w:ascii="Courier New" w:cs="Courier New" w:eastAsia="Courier New" w:hAnsi="Courier New"/>
          <w:color w:val="8A8278"/>
          <w:sz w:val="17"/>
          <w:szCs w:val="17"/>
        </w:rPr>
        <w:t xml:space="preserve">Future: approval / permissions layer — amendments require sign-off before taking effect.</w:t>
      </w:r>
    </w:p>
    <w:p>
      <w:r>
        <w:br w:type="page"/>
      </w:r>
    </w:p>
    <w:p>
      <w:pPr>
        <w:pStyle w:val="Heading1"/>
        <w:spacing w:before="320" w:after="120"/>
      </w:pPr>
      <w:r>
        <w:rPr>
          <w:rFonts w:ascii="Georgia" w:cs="Georgia" w:eastAsia="Georgia" w:hAnsi="Georgia"/>
          <w:b w:val="false"/>
          <w:bCs w:val="false"/>
          <w:color w:val="0A0A0A"/>
          <w:sz w:val="42"/>
          <w:szCs w:val="42"/>
        </w:rPr>
        <w:t xml:space="preserve">5. Document Register</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Six platform documents in total. Five generated from the SSOT. One (Investor Registry) depends on post-close data from TokInvest. The Quarterly Report and Investor Updates are covered separately in Section 6.</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200"/>
        <w:gridCol w:w="38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DOCUMENT</w:t>
            </w:r>
          </w:p>
        </w:tc>
        <w:tc>
          <w:tcPr>
            <w:tcW w:type="dxa" w:w="9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REF</w:t>
            </w:r>
          </w:p>
        </w:tc>
        <w:tc>
          <w:tcPr>
            <w:tcW w:type="dxa" w:w="2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WHEN</w:t>
            </w:r>
          </w:p>
        </w:tc>
        <w:tc>
          <w:tcPr>
            <w:tcW w:type="dxa" w:w="38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TRIGGER / NOTES</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Horse Lease Token Issuance Details</w:t>
            </w:r>
          </w:p>
        </w:tc>
        <w:tc>
          <w:tcPr>
            <w:tcW w:type="dxa" w:w="9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b/>
                <w:bCs/>
                <w:color w:val="C9A84C"/>
                <w:sz w:val="17"/>
                <w:szCs w:val="17"/>
              </w:rPr>
              <w:t xml:space="preserve">HLT</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Pre-listing</w:t>
            </w:r>
          </w:p>
        </w:tc>
        <w:tc>
          <w:tcPr>
            <w:tcW w:type="dxa" w:w="38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Status → Proposed. ~90% templated.</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Product Disclosure Statement</w:t>
            </w:r>
          </w:p>
        </w:tc>
        <w:tc>
          <w:tcPr>
            <w:tcW w:type="dxa" w:w="9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b/>
                <w:bCs/>
                <w:color w:val="C9A84C"/>
                <w:sz w:val="17"/>
                <w:szCs w:val="17"/>
              </w:rPr>
              <w:t xml:space="preserve">PDS</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Pre-listing</w:t>
            </w:r>
          </w:p>
        </w:tc>
        <w:tc>
          <w:tcPr>
            <w:tcW w:type="dxa" w:w="38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Status → Proposed. ~85% templated. FMA-compliant.</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Syndicate Agreement</w:t>
            </w:r>
          </w:p>
        </w:tc>
        <w:tc>
          <w:tcPr>
            <w:tcW w:type="dxa" w:w="9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b/>
                <w:bCs/>
                <w:color w:val="C9A84C"/>
                <w:sz w:val="17"/>
                <w:szCs w:val="17"/>
              </w:rPr>
              <w:t xml:space="preserve">SA</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Pre-listing</w:t>
            </w:r>
          </w:p>
        </w:tc>
        <w:tc>
          <w:tcPr>
            <w:tcW w:type="dxa" w:w="38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Status → Proposed. ~92% templated. All party details auto-filled.</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Whitepaper</w:t>
            </w:r>
          </w:p>
        </w:tc>
        <w:tc>
          <w:tcPr>
            <w:tcW w:type="dxa" w:w="9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b/>
                <w:bCs/>
                <w:color w:val="C9A84C"/>
                <w:sz w:val="17"/>
                <w:szCs w:val="17"/>
              </w:rPr>
              <w:t xml:space="preserve">WP</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Pre-listing</w:t>
            </w:r>
          </w:p>
        </w:tc>
        <w:tc>
          <w:tcPr>
            <w:tcW w:type="dxa" w:w="38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Status → Proposed. ~88% templated. Sent to TokInvest for listing.</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Investor Registry</w:t>
            </w:r>
          </w:p>
        </w:tc>
        <w:tc>
          <w:tcPr>
            <w:tcW w:type="dxa" w:w="9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b/>
                <w:bCs/>
                <w:color w:val="C9A84C"/>
                <w:sz w:val="17"/>
                <w:szCs w:val="17"/>
              </w:rPr>
              <w:t xml:space="preserve">IR</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Post-close</w:t>
            </w:r>
          </w:p>
        </w:tc>
        <w:tc>
          <w:tcPr>
            <w:tcW w:type="dxa" w:w="38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TokInvest investor data received. Submitted to NZTR. Diff-tracked for amendments.</w:t>
            </w:r>
          </w:p>
        </w:tc>
      </w:tr>
    </w:tbl>
    <w:p>
      <w:pPr>
        <w:spacing w:before="80"/>
      </w:pPr>
    </w:p>
    <w:p>
      <w:pPr>
        <w:spacing w:before="60" w:after="60"/>
      </w:pPr>
      <w:r>
        <w:rPr>
          <w:rFonts w:ascii="Courier New" w:cs="Courier New" w:eastAsia="Courier New" w:hAnsi="Courier New"/>
          <w:color w:val="8A8278"/>
          <w:sz w:val="17"/>
          <w:szCs w:val="17"/>
        </w:rPr>
        <w:t xml:space="preserve">Each generated document is version-linked to the SSOT snapshot at time of generation.</w:t>
      </w:r>
    </w:p>
    <w:p>
      <w:r>
        <w:br w:type="page"/>
      </w:r>
    </w:p>
    <w:p>
      <w:pPr>
        <w:pStyle w:val="Heading1"/>
        <w:spacing w:before="320" w:after="120"/>
      </w:pPr>
      <w:r>
        <w:rPr>
          <w:rFonts w:ascii="Georgia" w:cs="Georgia" w:eastAsia="Georgia" w:hAnsi="Georgia"/>
          <w:b w:val="false"/>
          <w:bCs w:val="false"/>
          <w:color w:val="0A0A0A"/>
          <w:sz w:val="42"/>
          <w:szCs w:val="42"/>
        </w:rPr>
        <w:t xml:space="preserve">6. Investor Communications Engine</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Two parallel tracks. Both pull from the SSOT. Both are augmented by content submitted by trainers and racing managers via email from existing industry platforms (miStable, Prism).</w:t>
      </w:r>
    </w:p>
    <w:p>
      <w:pPr>
        <w:spacing w:before="160"/>
      </w:pPr>
    </w:p>
    <w:p>
      <w:pPr>
        <w:pStyle w:val="Heading2"/>
        <w:spacing w:before="280" w:after="100"/>
      </w:pPr>
      <w:r>
        <w:rPr>
          <w:rFonts w:ascii="Georgia" w:cs="Georgia" w:eastAsia="Georgia" w:hAnsi="Georgia"/>
          <w:b w:val="false"/>
          <w:bCs w:val="false"/>
          <w:color w:val="4A9B8E"/>
          <w:sz w:val="28"/>
          <w:szCs w:val="28"/>
        </w:rPr>
        <w:t xml:space="preserve">Track A — Quarterly Investor Report</w:t>
      </w:r>
    </w:p>
    <w:p>
      <w:pPr>
        <w:pBdr>
          <w:bottom w:val="single" w:color="4A9B8E" w:sz="1" w:space="1"/>
        </w:pBdr>
        <w:spacing w:before="0" w:after="140"/>
      </w:pPr>
    </w:p>
    <w:p>
      <w:pPr>
        <w:spacing w:before="80" w:after="80"/>
      </w:pPr>
      <w:r>
        <w:rPr>
          <w:rFonts w:ascii="Arial" w:cs="Arial" w:eastAsia="Arial" w:hAnsi="Arial"/>
          <w:color w:val="2A2A2A"/>
          <w:sz w:val="20"/>
          <w:szCs w:val="20"/>
        </w:rPr>
        <w:t xml:space="preserve">An institutional-grade report delivered to all investors in a syndicate at the end of each quarter. Format: branded PDF/DOCX. Managed and produced by Evolution Stables.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SECTION</w:t>
            </w:r>
          </w:p>
        </w:tc>
        <w:tc>
          <w:tcPr>
            <w:tcW w:type="dxa" w:w="63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CONTENT SOURCE / NOTES</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Data from SSOT</w:t>
            </w:r>
          </w:p>
        </w:tc>
        <w:tc>
          <w:tcPr>
            <w:tcW w:type="dxa" w:w="6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Horse profile, lease terms, token economics, governing body, trainer details</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Performance data</w:t>
            </w:r>
          </w:p>
        </w:tc>
        <w:tc>
          <w:tcPr>
            <w:tcW w:type="dxa" w:w="6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Race results, placings, prize money (from miStable / Prism feeds)</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ES commentary</w:t>
            </w:r>
          </w:p>
        </w:tc>
        <w:tc>
          <w:tcPr>
            <w:tcW w:type="dxa" w:w="6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Quarterly update written by Evolution — how the horse is performing, context, any changes</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Forward-looking statement</w:t>
            </w:r>
          </w:p>
        </w:tc>
        <w:tc>
          <w:tcPr>
            <w:tcW w:type="dxa" w:w="6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Outlook for the coming quarter — upcoming races, targets, strategy</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Financial summary</w:t>
            </w:r>
          </w:p>
        </w:tc>
        <w:tc>
          <w:tcPr>
            <w:tcW w:type="dxa" w:w="6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Stakes earned this quarter, cumulative, vs. projected. Tokenholder share calculated.</w:t>
            </w:r>
          </w:p>
        </w:tc>
      </w:tr>
    </w:tbl>
    <w:p>
      <w:pPr>
        <w:spacing w:before="80"/>
      </w:pPr>
    </w:p>
    <w:p>
      <w:pPr>
        <w:spacing w:before="60" w:after="60"/>
      </w:pPr>
      <w:r>
        <w:rPr>
          <w:rFonts w:ascii="Courier New" w:cs="Courier New" w:eastAsia="Courier New" w:hAnsi="Courier New"/>
          <w:color w:val="8A8278"/>
          <w:sz w:val="17"/>
          <w:szCs w:val="17"/>
        </w:rPr>
        <w:t xml:space="preserve">All variable fields (horse name, dates, token count, stakes figures) auto-populated from SSOT.</w:t>
      </w:r>
    </w:p>
    <w:p>
      <w:pPr>
        <w:spacing w:before="60" w:after="60"/>
      </w:pPr>
      <w:r>
        <w:rPr>
          <w:rFonts w:ascii="Courier New" w:cs="Courier New" w:eastAsia="Courier New" w:hAnsi="Courier New"/>
          <w:color w:val="8A8278"/>
          <w:sz w:val="17"/>
          <w:szCs w:val="17"/>
        </w:rPr>
        <w:t xml:space="preserve">ES writes commentary and forward-looking sections directly into the report template.</w:t>
      </w:r>
    </w:p>
    <w:p>
      <w:pPr>
        <w:spacing w:before="60" w:after="60"/>
      </w:pPr>
      <w:r>
        <w:rPr>
          <w:rFonts w:ascii="Courier New" w:cs="Courier New" w:eastAsia="Courier New" w:hAnsi="Courier New"/>
          <w:color w:val="8A8278"/>
          <w:sz w:val="17"/>
          <w:szCs w:val="17"/>
        </w:rPr>
        <w:t xml:space="preserve">Output: PDF (primary) + DOCX (archive). Distributed via investor's chosen channel.</w:t>
      </w:r>
    </w:p>
    <w:p>
      <w:pPr>
        <w:spacing w:before="200"/>
      </w:pPr>
    </w:p>
    <w:p>
      <w:pPr>
        <w:pStyle w:val="Heading2"/>
        <w:spacing w:before="280" w:after="100"/>
      </w:pPr>
      <w:r>
        <w:rPr>
          <w:rFonts w:ascii="Georgia" w:cs="Georgia" w:eastAsia="Georgia" w:hAnsi="Georgia"/>
          <w:b w:val="false"/>
          <w:bCs w:val="false"/>
          <w:color w:val="4A9B8E"/>
          <w:sz w:val="28"/>
          <w:szCs w:val="28"/>
        </w:rPr>
        <w:t xml:space="preserve">Track B — Investor Updates</w:t>
      </w:r>
    </w:p>
    <w:p>
      <w:pPr>
        <w:pBdr>
          <w:bottom w:val="single" w:color="4A9B8E" w:sz="1" w:space="1"/>
        </w:pBdr>
        <w:spacing w:before="0" w:after="140"/>
      </w:pPr>
    </w:p>
    <w:p>
      <w:pPr>
        <w:spacing w:before="80" w:after="80"/>
      </w:pPr>
      <w:r>
        <w:rPr>
          <w:rFonts w:ascii="Arial" w:cs="Arial" w:eastAsia="Arial" w:hAnsi="Arial"/>
          <w:color w:val="2A2A2A"/>
          <w:sz w:val="20"/>
          <w:szCs w:val="20"/>
        </w:rPr>
        <w:t xml:space="preserve">Event-driven updates triggered by racing activity. Four sub-types, each with its own content profile and output format. Content arrives from trainers and racing managers via email — raw videos, notes, race results.</w:t>
      </w:r>
    </w:p>
    <w:p>
      <w:pPr>
        <w:spacing w:before="80"/>
      </w:pPr>
    </w:p>
    <w:p>
      <w:pPr>
        <w:spacing w:before="80" w:after="80"/>
      </w:pPr>
      <w:r>
        <w:rPr>
          <w:rFonts w:ascii="Arial" w:cs="Arial" w:eastAsia="Arial" w:hAnsi="Arial"/>
          <w:color w:val="2A2A2A"/>
          <w:sz w:val="20"/>
          <w:szCs w:val="20"/>
        </w:rPr>
        <w:t xml:space="preserve">The content engine takes raw input, transcribes and formats it, generates multiple output versions, gets human approval, then distributes to investors on their chosen channel.</w:t>
      </w:r>
    </w:p>
    <w:p>
      <w:pPr>
        <w:spacing w:before="160"/>
      </w:pPr>
    </w:p>
    <w:p>
      <w:pPr>
        <w:pStyle w:val="Heading3"/>
        <w:spacing w:before="220" w:after="80"/>
      </w:pPr>
      <w:r>
        <w:rPr>
          <w:rFonts w:ascii="Georgia" w:cs="Georgia" w:eastAsia="Georgia" w:hAnsi="Georgia"/>
          <w:b w:val="false"/>
          <w:bCs w:val="false"/>
          <w:color w:val="4A9B8E"/>
          <w:sz w:val="22"/>
          <w:szCs w:val="22"/>
        </w:rPr>
        <w:t xml:space="preserve">Update Sub-types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TYPE</w:t>
            </w:r>
          </w:p>
        </w:tc>
        <w:tc>
          <w:tcPr>
            <w:tcW w:type="dxa" w:w="73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CONTENT PROFILE</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Pre-Race</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Sent 1–2 days before a race. Content: trainer note on horse's condition and preparation, race details, barrier draw, jockey confirmed. Tone: anticipatory, informative.</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Race Day</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Sent on race day. Content: race time, location, streaming link if available, jockey interview or stable video if provided. Tone: engaging, real-time feel.</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Post-Race</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Sent within 24 hours of result. Content: result data (from miStable), finishing position, margins, trainer reaction video/note, stakes earned and tokenholder share. Tone: transparent, analytical.</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General Update</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Sent as needed between races. Content: training update, veterinary note, travel or quarantine update, any SSOT amendment of note. Tone: informative, trust-building.</w:t>
            </w:r>
          </w:p>
        </w:tc>
      </w:tr>
    </w:tbl>
    <w:p>
      <w:pPr>
        <w:spacing w:before="200"/>
      </w:pPr>
    </w:p>
    <w:p>
      <w:pPr>
        <w:pStyle w:val="Heading3"/>
        <w:spacing w:before="220" w:after="80"/>
      </w:pPr>
      <w:r>
        <w:rPr>
          <w:rFonts w:ascii="Georgia" w:cs="Georgia" w:eastAsia="Georgia" w:hAnsi="Georgia"/>
          <w:b w:val="false"/>
          <w:bCs w:val="false"/>
          <w:color w:val="4A9B8E"/>
          <w:sz w:val="22"/>
          <w:szCs w:val="22"/>
        </w:rPr>
        <w:t xml:space="preserve">Content Input Flow</w:t>
      </w:r>
    </w:p>
    <w:p>
      <w:pPr>
        <w:spacing w:before="80" w:after="80"/>
      </w:pPr>
      <w:r>
        <w:rPr>
          <w:rFonts w:ascii="Arial" w:cs="Arial" w:eastAsia="Arial" w:hAnsi="Arial"/>
          <w:color w:val="2A2A2A"/>
          <w:sz w:val="20"/>
          <w:szCs w:val="20"/>
        </w:rPr>
        <w:t xml:space="preserve">Content arrives from two sources: automated feeds (miStable race result notifications, Prism updates) and manual submissions from trainers (video via email). Both land in the Evolution Stables inbox and are processed the same way.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w:t>
            </w:r>
          </w:p>
        </w:tc>
        <w:tc>
          <w:tcPr>
            <w:tcW w:type="dxa" w:w="2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PROCESS</w:t>
            </w:r>
          </w:p>
        </w:tc>
        <w:tc>
          <w:tcPr>
            <w:tcW w:type="dxa" w:w="2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OUTPUTS</w:t>
            </w:r>
          </w:p>
        </w:tc>
        <w:tc>
          <w:tcPr>
            <w:tcW w:type="dxa" w:w="27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DISTRIBUTION</w:t>
            </w:r>
          </w:p>
        </w:tc>
      </w:tr>
      <w:tr>
        <w:tc>
          <w:tcPr>
            <w:tcW w:type="dxa" w:w="2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Trainer video (email)
miStable race result
Prism training update</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4A9B8E"/>
                <w:sz w:val="17"/>
                <w:szCs w:val="17"/>
              </w:rPr>
              <w:t xml:space="preserve">Transcribe video
Identify content type
Select output template</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Written summary
Formatted race result
Asset tagged + stored</w:t>
            </w:r>
          </w:p>
        </w:tc>
        <w:tc>
          <w:tcPr>
            <w:tcW w:type="dxa" w:w="2760"/>
            <w:tcBorders>
              <w:top w:val="single" w:color="E0DAD0" w:sz="1"/>
              <w:left w:val="single" w:color="E0DAD0" w:sz="1"/>
              <w:bottom w:val="single" w:color="E0DAD0" w:sz="1"/>
              <w:right w:val="single" w:color="E0DAD0" w:sz="1"/>
            </w:tcBorders>
            <w:shd w:fill="FDFBF5" w:val="clear"/>
            <w:tcMar>
              <w:top w:type="dxa" w:w="80"/>
              <w:left w:type="dxa" w:w="140"/>
              <w:bottom w:type="dxa" w:w="80"/>
              <w:right w:type="dxa" w:w="140"/>
            </w:tcMar>
          </w:tcPr>
          <w:p>
            <w:r>
              <w:rPr>
                <w:rFonts w:ascii="Arial" w:cs="Arial" w:eastAsia="Arial" w:hAnsi="Arial"/>
                <w:color w:val="7B9E87"/>
                <w:sz w:val="19"/>
                <w:szCs w:val="19"/>
              </w:rPr>
              <w:t xml:space="preserve">Email / WhatsApp / Telegram / Socials
(investor's chosen channel)</w:t>
            </w:r>
          </w:p>
        </w:tc>
      </w:tr>
      <w:tr>
        <w:tc>
          <w:tcPr>
            <w:tcW w:type="dxa" w:w="2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Race result data
(structured from miStable)</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4A9B8E"/>
                <w:sz w:val="17"/>
                <w:szCs w:val="17"/>
              </w:rPr>
              <w:t xml:space="preserve">Format result table
Calculate tokenholder share
Generate narrative</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Post-race update draft
Stakes breakdown
Social caption</w:t>
            </w:r>
          </w:p>
        </w:tc>
        <w:tc>
          <w:tcPr>
            <w:tcW w:type="dxa" w:w="2760"/>
            <w:tcBorders>
              <w:top w:val="single" w:color="E0DAD0" w:sz="1"/>
              <w:left w:val="single" w:color="E0DAD0" w:sz="1"/>
              <w:bottom w:val="single" w:color="E0DAD0" w:sz="1"/>
              <w:right w:val="single" w:color="E0DAD0" w:sz="1"/>
            </w:tcBorders>
            <w:shd w:fill="FDFBF5" w:val="clear"/>
            <w:tcMar>
              <w:top w:type="dxa" w:w="80"/>
              <w:left w:type="dxa" w:w="140"/>
              <w:bottom w:type="dxa" w:w="80"/>
              <w:right w:type="dxa" w:w="140"/>
            </w:tcMar>
          </w:tcPr>
          <w:p>
            <w:r>
              <w:rPr>
                <w:rFonts w:ascii="Arial" w:cs="Arial" w:eastAsia="Arial" w:hAnsi="Arial"/>
                <w:color w:val="7B9E87"/>
                <w:sz w:val="19"/>
                <w:szCs w:val="19"/>
              </w:rPr>
              <w:t xml:space="preserve">Email / WhatsApp / Telegram / Socials</w:t>
            </w:r>
          </w:p>
        </w:tc>
      </w:tr>
      <w:tr>
        <w:tc>
          <w:tcPr>
            <w:tcW w:type="dxa" w:w="2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Trainer note (written)
or stable video</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4A9B8E"/>
                <w:sz w:val="17"/>
                <w:szCs w:val="17"/>
              </w:rPr>
              <w:t xml:space="preserve">Summarise + curate
Match to update type
Generate variants</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Long-form update (email)
Short-form (WhatsApp)
Reel (socials)</w:t>
            </w:r>
          </w:p>
        </w:tc>
        <w:tc>
          <w:tcPr>
            <w:tcW w:type="dxa" w:w="2760"/>
            <w:tcBorders>
              <w:top w:val="single" w:color="E0DAD0" w:sz="1"/>
              <w:left w:val="single" w:color="E0DAD0" w:sz="1"/>
              <w:bottom w:val="single" w:color="E0DAD0" w:sz="1"/>
              <w:right w:val="single" w:color="E0DAD0" w:sz="1"/>
            </w:tcBorders>
            <w:shd w:fill="FDFBF5" w:val="clear"/>
            <w:tcMar>
              <w:top w:type="dxa" w:w="80"/>
              <w:left w:type="dxa" w:w="140"/>
              <w:bottom w:type="dxa" w:w="80"/>
              <w:right w:type="dxa" w:w="140"/>
            </w:tcMar>
          </w:tcPr>
          <w:p>
            <w:r>
              <w:rPr>
                <w:rFonts w:ascii="Arial" w:cs="Arial" w:eastAsia="Arial" w:hAnsi="Arial"/>
                <w:color w:val="7B9E87"/>
                <w:sz w:val="19"/>
                <w:szCs w:val="19"/>
              </w:rPr>
              <w:t xml:space="preserve">Email / WhatsApp / Telegram / Socials</w:t>
            </w:r>
          </w:p>
        </w:tc>
      </w:tr>
    </w:tbl>
    <w:p>
      <w:pPr>
        <w:spacing w:before="160"/>
      </w:pPr>
    </w:p>
    <w:p>
      <w:pPr>
        <w:pStyle w:val="Heading3"/>
        <w:spacing w:before="220" w:after="80"/>
      </w:pPr>
      <w:r>
        <w:rPr>
          <w:rFonts w:ascii="Georgia" w:cs="Georgia" w:eastAsia="Georgia" w:hAnsi="Georgia"/>
          <w:b w:val="false"/>
          <w:bCs w:val="false"/>
          <w:color w:val="4A9B8E"/>
          <w:sz w:val="22"/>
          <w:szCs w:val="22"/>
        </w:rPr>
        <w:t xml:space="preserve">Human Approval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GATE</w:t>
            </w:r>
          </w:p>
        </w:tc>
        <w:tc>
          <w:tcPr>
            <w:tcW w:type="dxa" w:w="73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DESCRIPTION</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Gate 1 — Ingest</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ES reviews raw content as it arrives. Decides: is this publishable? Which update type does it belong to? Approves for engine processing.</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Gate 2 — Review</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ES reviews engine-generated output drafts. Edits tone, checks facts against SSOT, ensures messaging is correct for investors.</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Gate 3 — Send</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ES approves final formatted outputs for distribution. Chooses which channels to send to, confirms timing.</w:t>
            </w:r>
          </w:p>
        </w:tc>
      </w:tr>
    </w:tbl>
    <w:p>
      <w:pPr>
        <w:spacing w:before="160"/>
      </w:pPr>
    </w:p>
    <w:p>
      <w:pPr>
        <w:pStyle w:val="Heading3"/>
        <w:spacing w:before="220" w:after="80"/>
      </w:pPr>
      <w:r>
        <w:rPr>
          <w:rFonts w:ascii="Georgia" w:cs="Georgia" w:eastAsia="Georgia" w:hAnsi="Georgia"/>
          <w:b w:val="false"/>
          <w:bCs w:val="false"/>
          <w:color w:val="4A9B8E"/>
          <w:sz w:val="22"/>
          <w:szCs w:val="22"/>
        </w:rPr>
        <w:t xml:space="preserve">Distribution Channels</w:t>
      </w:r>
    </w:p>
    <w:p>
      <w:pPr>
        <w:spacing w:before="80" w:after="80"/>
      </w:pPr>
      <w:r>
        <w:rPr>
          <w:rFonts w:ascii="Arial" w:cs="Arial" w:eastAsia="Arial" w:hAnsi="Arial"/>
          <w:color w:val="2A2A2A"/>
          <w:sz w:val="20"/>
          <w:szCs w:val="20"/>
        </w:rPr>
        <w:t xml:space="preserve">Investors select their preferred channel(s) at sign-up. The same content is formatted appropriately for each channel — not broadcast uniformly. Channel support is built progressively.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CHANNEL</w:t>
            </w:r>
          </w:p>
        </w:tc>
        <w:tc>
          <w:tcPr>
            <w:tcW w:type="dxa" w:w="73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FORMAT NOTES</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Email</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HTML email with embedded video thumbnails, race result tables, branded layout. Primary channel.</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WhatsApp</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Short-form text summary + video link. Conversational format.</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Telegram</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Short-form text summary + video link. Group or individual.</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Socials</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Cut-down reel + caption. Posted to Evolution Stables channels. Investors tagged where applicable.</w:t>
            </w:r>
          </w:p>
        </w:tc>
      </w:tr>
    </w:tbl>
    <w:p>
      <w:pPr>
        <w:spacing w:before="80"/>
      </w:pPr>
    </w:p>
    <w:p>
      <w:pPr>
        <w:spacing w:before="60" w:after="60"/>
      </w:pPr>
      <w:r>
        <w:rPr>
          <w:rFonts w:ascii="Courier New" w:cs="Courier New" w:eastAsia="Courier New" w:hAnsi="Courier New"/>
          <w:color w:val="8A8278"/>
          <w:sz w:val="17"/>
          <w:szCs w:val="17"/>
        </w:rPr>
        <w:t xml:space="preserve">Initial build: email only. WhatsApp and Telegram added in Phase 03 v2. Socials in Phase 04.</w:t>
      </w:r>
    </w:p>
    <w:p>
      <w:r>
        <w:br w:type="page"/>
      </w:r>
    </w:p>
    <w:p>
      <w:pPr>
        <w:pStyle w:val="Heading1"/>
        <w:spacing w:before="320" w:after="120"/>
      </w:pPr>
      <w:r>
        <w:rPr>
          <w:rFonts w:ascii="Georgia" w:cs="Georgia" w:eastAsia="Georgia" w:hAnsi="Georgia"/>
          <w:b w:val="false"/>
          <w:bCs w:val="false"/>
          <w:color w:val="0A0A0A"/>
          <w:sz w:val="42"/>
          <w:szCs w:val="42"/>
        </w:rPr>
        <w:t xml:space="preserve">7. Regulatory &amp; Compliance</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Regulatory obligations are fulfilled through a set of simplified, automated workflows. The goal is to make compliance a by-product of normal platform operations — not a separate process.</w:t>
      </w:r>
    </w:p>
    <w:p>
      <w:pPr>
        <w:spacing w:before="160"/>
      </w:pPr>
    </w:p>
    <w:p>
      <w:pPr>
        <w:pStyle w:val="Heading3"/>
        <w:spacing w:before="220" w:after="80"/>
      </w:pPr>
      <w:r>
        <w:rPr>
          <w:rFonts w:ascii="Georgia" w:cs="Georgia" w:eastAsia="Georgia" w:hAnsi="Georgia"/>
          <w:b w:val="false"/>
          <w:bCs w:val="false"/>
          <w:color w:val="2A2A2A"/>
          <w:sz w:val="22"/>
          <w:szCs w:val="22"/>
        </w:rPr>
        <w:t xml:space="preserve">7.1  NZTR Registry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EVENT</w:t>
            </w:r>
          </w:p>
        </w:tc>
        <w:tc>
          <w:tcPr>
            <w:tcW w:type="dxa" w:w="69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WORKFLOW</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Initial filing</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Investor Registry generated post-close → reviewed by ES → submitted to NZTR (email, manual for now).</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Amendment filing</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Any investor change notified by TokInvest → Registry updated → diff generated → NZTR notified of changes only.</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Automation (future)</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Trigger automatic NZTR notification on first filing and on any subsequent amendment. Registry carries last-submitted timestamp.</w:t>
            </w:r>
          </w:p>
        </w:tc>
      </w:tr>
    </w:tbl>
    <w:p>
      <w:pPr>
        <w:spacing w:before="200"/>
      </w:pPr>
    </w:p>
    <w:p>
      <w:pPr>
        <w:pStyle w:val="Heading3"/>
        <w:spacing w:before="220" w:after="80"/>
      </w:pPr>
      <w:r>
        <w:rPr>
          <w:rFonts w:ascii="Georgia" w:cs="Georgia" w:eastAsia="Georgia" w:hAnsi="Georgia"/>
          <w:b w:val="false"/>
          <w:bCs w:val="false"/>
          <w:color w:val="2A2A2A"/>
          <w:sz w:val="22"/>
          <w:szCs w:val="22"/>
        </w:rPr>
        <w:t xml:space="preserve">7.2  Changelog &amp;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ASPECT</w:t>
            </w:r>
          </w:p>
        </w:tc>
        <w:tc>
          <w:tcPr>
            <w:tcW w:type="dxa" w:w="69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DETAIL</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What is logged</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Every field change on a Proposed or Active lease: field name, previous value, new value, timestamp, editor.</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Retention</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Permanent. Changelog entries are never deleted.</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Access</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ES admin can view full changelog for any lease at any time.</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Audit function (future)</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Cross-check SSOT fields against tagged regulatory requirements. Flag any field that falls outside the defined range or contradicts a regulatory rule.</w:t>
            </w:r>
          </w:p>
        </w:tc>
      </w:tr>
    </w:tbl>
    <w:p>
      <w:pPr>
        <w:spacing w:before="200"/>
      </w:pPr>
    </w:p>
    <w:p>
      <w:pPr>
        <w:pStyle w:val="Heading3"/>
        <w:spacing w:before="220" w:after="80"/>
      </w:pPr>
      <w:r>
        <w:rPr>
          <w:rFonts w:ascii="Georgia" w:cs="Georgia" w:eastAsia="Georgia" w:hAnsi="Georgia"/>
          <w:b w:val="false"/>
          <w:bCs w:val="false"/>
          <w:color w:val="2A2A2A"/>
          <w:sz w:val="22"/>
          <w:szCs w:val="22"/>
        </w:rPr>
        <w:t xml:space="preserve">7.3  Approval &amp; Permissions (Future)</w:t>
      </w:r>
    </w:p>
    <w:p>
      <w:pPr>
        <w:spacing w:before="80" w:after="80"/>
      </w:pPr>
      <w:r>
        <w:rPr>
          <w:rFonts w:ascii="Arial" w:cs="Arial" w:eastAsia="Arial" w:hAnsi="Arial"/>
          <w:color w:val="2A2A2A"/>
          <w:sz w:val="20"/>
          <w:szCs w:val="20"/>
        </w:rPr>
        <w:t xml:space="preserve">When the permissions layer is built, amendments to Active leases will require sign-off from a designated approver before taking effect. This is noted here as a design requirement to ensure the data model supports it from Phase 01.</w:t>
      </w:r>
    </w:p>
    <w:p>
      <w:pPr>
        <w:spacing w:before="200"/>
      </w:pPr>
    </w:p>
    <w:p>
      <w:pPr>
        <w:pStyle w:val="Heading3"/>
        <w:spacing w:before="220" w:after="80"/>
      </w:pPr>
      <w:r>
        <w:rPr>
          <w:rFonts w:ascii="Georgia" w:cs="Georgia" w:eastAsia="Georgia" w:hAnsi="Georgia"/>
          <w:b w:val="false"/>
          <w:bCs w:val="false"/>
          <w:color w:val="2A2A2A"/>
          <w:sz w:val="22"/>
          <w:szCs w:val="22"/>
        </w:rPr>
        <w:t xml:space="preserve">7.4  Regulatory Reference Library</w:t>
      </w:r>
    </w:p>
    <w:p>
      <w:pPr>
        <w:spacing w:before="80" w:after="80"/>
      </w:pPr>
      <w:r>
        <w:rPr>
          <w:rFonts w:ascii="Arial" w:cs="Arial" w:eastAsia="Arial" w:hAnsi="Arial"/>
          <w:color w:val="2A2A2A"/>
          <w:sz w:val="20"/>
          <w:szCs w:val="20"/>
        </w:rPr>
        <w:t xml:space="preserve">A structured index of all regulatory documents governing the platform. The audit function (Phase 04) will tag SSOT fields against entries in this library.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CATEGORY</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DOCUMENT</w:t>
            </w:r>
          </w:p>
        </w:tc>
        <w:tc>
          <w:tcPr>
            <w:tcW w:type="dxa" w:w="47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REFERENCE</w:t>
            </w:r>
          </w:p>
        </w:tc>
      </w:tr>
      <w:tr>
        <w:tc>
          <w:tcPr>
            <w:tcW w:type="dxa" w:w="1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color w:val="C9A84C"/>
                <w:sz w:val="17"/>
                <w:szCs w:val="17"/>
              </w:rPr>
              <w:t xml:space="preserve">NZTR</w:t>
            </w:r>
          </w:p>
        </w:tc>
        <w:tc>
          <w:tcPr>
            <w:tcW w:type="dxa" w:w="3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Rules of Racing (Updated March 2025)</w:t>
            </w:r>
          </w:p>
        </w:tc>
        <w:tc>
          <w:tcPr>
            <w:tcW w:type="dxa" w:w="4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nztr.co.nz — Circular No.24 FY25, effective 17 March 2025</w:t>
            </w:r>
          </w:p>
        </w:tc>
      </w:tr>
      <w:tr>
        <w:tc>
          <w:tcPr>
            <w:tcW w:type="dxa" w:w="1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color w:val="C9A84C"/>
                <w:sz w:val="17"/>
                <w:szCs w:val="17"/>
              </w:rPr>
              <w:t xml:space="preserve">FMA</w:t>
            </w:r>
          </w:p>
        </w:tc>
        <w:tc>
          <w:tcPr>
            <w:tcW w:type="dxa" w:w="3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Financial Markets Conduct Regulations 2021</w:t>
            </w:r>
          </w:p>
        </w:tc>
        <w:tc>
          <w:tcPr>
            <w:tcW w:type="dxa" w:w="4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legislation.govt.nz — LMS564535, version 8.0</w:t>
            </w:r>
          </w:p>
        </w:tc>
      </w:tr>
      <w:tr>
        <w:tc>
          <w:tcPr>
            <w:tcW w:type="dxa" w:w="1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color w:val="C9A84C"/>
                <w:sz w:val="17"/>
                <w:szCs w:val="17"/>
              </w:rPr>
              <w:t xml:space="preserve">FMA</w:t>
            </w:r>
          </w:p>
        </w:tc>
        <w:tc>
          <w:tcPr>
            <w:tcW w:type="dxa" w:w="3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Financial Markets Conduct Act 2013</w:t>
            </w:r>
          </w:p>
        </w:tc>
        <w:tc>
          <w:tcPr>
            <w:tcW w:type="dxa" w:w="4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legislation.govt.nz</w:t>
            </w:r>
          </w:p>
        </w:tc>
      </w:tr>
      <w:tr>
        <w:tc>
          <w:tcPr>
            <w:tcW w:type="dxa" w:w="1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color w:val="C9A84C"/>
                <w:sz w:val="17"/>
                <w:szCs w:val="17"/>
              </w:rPr>
              <w:t xml:space="preserve">ES</w:t>
            </w:r>
          </w:p>
        </w:tc>
        <w:tc>
          <w:tcPr>
            <w:tcW w:type="dxa" w:w="3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FMA Authorisation Reference</w:t>
            </w:r>
          </w:p>
        </w:tc>
        <w:tc>
          <w:tcPr>
            <w:tcW w:type="dxa" w:w="4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Internal — Evolution Stables compliance file</w:t>
            </w:r>
          </w:p>
        </w:tc>
      </w:tr>
      <w:tr>
        <w:tc>
          <w:tcPr>
            <w:tcW w:type="dxa" w:w="1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color w:val="C9A84C"/>
                <w:sz w:val="17"/>
                <w:szCs w:val="17"/>
              </w:rPr>
              <w:t xml:space="preserve">ES</w:t>
            </w:r>
          </w:p>
        </w:tc>
        <w:tc>
          <w:tcPr>
            <w:tcW w:type="dxa" w:w="3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Evolution Stables Compliance Notes</w:t>
            </w:r>
          </w:p>
        </w:tc>
        <w:tc>
          <w:tcPr>
            <w:tcW w:type="dxa" w:w="4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Internal — INTELLIGENCE_SYSTEM.md</w:t>
            </w:r>
          </w:p>
        </w:tc>
      </w:tr>
    </w:tbl>
    <w:p>
      <w:pPr>
        <w:spacing w:before="80"/>
      </w:pPr>
    </w:p>
    <w:p>
      <w:pPr>
        <w:spacing w:before="60" w:after="60"/>
      </w:pPr>
      <w:r>
        <w:rPr>
          <w:rFonts w:ascii="Courier New" w:cs="Courier New" w:eastAsia="Courier New" w:hAnsi="Courier New"/>
          <w:color w:val="8A8278"/>
          <w:sz w:val="17"/>
          <w:szCs w:val="17"/>
        </w:rPr>
        <w:t xml:space="preserve">Future: each entry tagged with the SSOT fields it governs. Audit function cross-checks live lease data against tagged requirements.</w:t>
      </w:r>
    </w:p>
    <w:p>
      <w:r>
        <w:br w:type="page"/>
      </w:r>
    </w:p>
    <w:p>
      <w:pPr>
        <w:pStyle w:val="Heading1"/>
        <w:spacing w:before="320" w:after="120"/>
      </w:pPr>
      <w:r>
        <w:rPr>
          <w:rFonts w:ascii="Georgia" w:cs="Georgia" w:eastAsia="Georgia" w:hAnsi="Georgia"/>
          <w:b w:val="false"/>
          <w:bCs w:val="false"/>
          <w:color w:val="0A0A0A"/>
          <w:sz w:val="42"/>
          <w:szCs w:val="42"/>
        </w:rPr>
        <w:t xml:space="preserve">8. Glossary</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Standardised terminology used across all documents, communications, and platform labels. All team members must use these terms consistently.</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TERM</w:t>
            </w:r>
          </w:p>
        </w:tc>
        <w:tc>
          <w:tcPr>
            <w:tcW w:type="dxa" w:w="67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DEFINITION</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Owner / Lessor</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The entity that owns the horse and is leasing it out. For ES purposes, the horse's registered owner — the party ES has a back-to-back contract with.</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Investor / Lessee</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The token holder taking the lease by purchasing tokens. May be an individual, trust, or company.</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Lease SSOT</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Single Source of Truth for a specific lease issuance. Assembled from horse + trainer + owner/lessor + governing body + commercial details.</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Amendment</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A logged change to a live SSOT field. Never an overwrite. Previous value always preserved in changelog.</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Entity Bank</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Central repository of reusable records: trainers/stables, owners/lessors, governing bodies. Entered once, selected at lease creation.</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Investor Registry</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Post-close register of all token holders. Generated from TokInvest data. Submitted to NZTR and updated on any investor change.</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Quarterly Report</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Institutional investor report produced by ES each quarter. Combines SSOT data, performance results, and ES commentary.</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Investor Update</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Event-driven update to investors. Four types: Pre-Race, Race Day, Post-Race, General Update.</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Content Engine</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The workflow that takes raw trainer/race content (video, notes, result data) and produces formatted outputs across multiple channels.</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Human in the Loop</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Approval gate at each stage of the content and compliance workflows. Automation handles production; humans control decisions.</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HLT</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Horse Lease Token New Issuance Details. Pre-listing document.</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PDS</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Product Disclosure Statement. FMA-compliant. Pre-listing.</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SA</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Syndicate Agreement. Legal agreement between all lease parties. Pre-listing.</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WP</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Whitepaper. Investment narrative. Pre-listing. Sent to TokInvest.</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IR</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Investor Registry. Post-close. Submitted to NZTR.</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NZTR</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New Zealand Thoroughbred Racing. Governing body for NZ thoroughbred racing.</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DRC</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Dubai Racing Club. Governing body for racing in Dubai.</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TokInvest</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Evolution Stables' listing and distribution partner. Manages investor subscriptions and supplies investor data post-close.</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miStable / Prism</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Industry platforms used by trainers and owners. Source of race result data and training updates that feed the content engine.</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Draft</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Lease status: in preparation.</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Proposed</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Lease status: approved internally. Documents can be generated.</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Active</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Lease status: listed, investors confirmed, registry filed.</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Completed</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Lease status: term ended. Read-only archive.</w:t>
            </w:r>
          </w:p>
        </w:tc>
      </w:tr>
    </w:tbl>
    <w:p>
      <w:r>
        <w:br w:type="page"/>
      </w:r>
    </w:p>
    <w:p>
      <w:pPr>
        <w:pStyle w:val="Heading1"/>
        <w:spacing w:before="320" w:after="120"/>
      </w:pPr>
      <w:r>
        <w:rPr>
          <w:rFonts w:ascii="Georgia" w:cs="Georgia" w:eastAsia="Georgia" w:hAnsi="Georgia"/>
          <w:b w:val="false"/>
          <w:bCs w:val="false"/>
          <w:color w:val="0A0A0A"/>
          <w:sz w:val="42"/>
          <w:szCs w:val="42"/>
        </w:rPr>
        <w:t xml:space="preserve">9. Technical Stack &amp; Integration</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Evolution Stables is being built as a production-standard, modular platform. Each layer of the system is independently deployable and designed to integrate with external parties — TokInvest, governing bodies (NZTR, DRC), and investor-facing channels — through defined, documented interfaces.</w:t>
      </w:r>
    </w:p>
    <w:p>
      <w:pPr>
        <w:spacing w:before="80"/>
      </w:pPr>
    </w:p>
    <w:p>
      <w:pPr>
        <w:spacing w:before="80" w:after="80"/>
      </w:pPr>
      <w:r>
        <w:rPr>
          <w:rFonts w:ascii="Arial" w:cs="Arial" w:eastAsia="Arial" w:hAnsi="Arial"/>
          <w:color w:val="2A2A2A"/>
          <w:sz w:val="20"/>
          <w:szCs w:val="20"/>
        </w:rPr>
        <w:t xml:space="preserve">The choices below reflect what is already in use, what is proven at scale, and what gives the platform the flexibility to connect with partners regardless of their own stack. No vendor lock-in. No bespoke dead-ends.</w:t>
      </w:r>
    </w:p>
    <w:p>
      <w:pPr>
        <w:spacing w:before="200"/>
      </w:pPr>
    </w:p>
    <w:p>
      <w:pPr>
        <w:pStyle w:val="Heading3"/>
        <w:spacing w:before="220" w:after="80"/>
      </w:pPr>
      <w:r>
        <w:rPr>
          <w:rFonts w:ascii="Georgia" w:cs="Georgia" w:eastAsia="Georgia" w:hAnsi="Georgia"/>
          <w:b w:val="false"/>
          <w:bCs w:val="false"/>
          <w:color w:val="5B7FA8"/>
          <w:sz w:val="22"/>
          <w:szCs w:val="22"/>
        </w:rPr>
        <w:t xml:space="preserve">9.1  Core Principle — Modular by Design</w:t>
      </w:r>
    </w:p>
    <w:p>
      <w:pPr>
        <w:spacing w:before="80" w:after="80"/>
      </w:pPr>
      <w:r>
        <w:rPr>
          <w:rFonts w:ascii="Arial" w:cs="Arial" w:eastAsia="Arial" w:hAnsi="Arial"/>
          <w:color w:val="2A2A2A"/>
          <w:sz w:val="20"/>
          <w:szCs w:val="20"/>
        </w:rPr>
        <w:t xml:space="preserve">Every layer of the platform exposes clean boundaries. The SSOT is the data contract. Documents, communications, and compliance workflows are consumers of that contract — not entangled with each other. This means: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PROPERTY</w:t>
            </w:r>
          </w:p>
        </w:tc>
        <w:tc>
          <w:tcPr>
            <w:tcW w:type="dxa" w:w="69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WHAT IT MEANS IN PRACTICE</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Independent deployment</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Each phase can be built, tested, and shipped without blocking the others.</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Partner integration</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TokInvest, NZTR, or any future partner connects to a defined API endpoint — not to internal platform logic.</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Channel flexibility</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Investor communication channels (email, WhatsApp, Telegram, webapp, socials) are pluggable. Adding or removing a channel does not change the content engine.</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Auditability</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Every action — SSOT change, document generation, investor communication sent — is logged. Full audit trail available at any time.</w:t>
            </w:r>
          </w:p>
        </w:tc>
      </w:tr>
    </w:tbl>
    <w:p>
      <w:pPr>
        <w:spacing w:before="200"/>
      </w:pPr>
    </w:p>
    <w:p>
      <w:pPr>
        <w:pStyle w:val="Heading3"/>
        <w:spacing w:before="220" w:after="80"/>
      </w:pPr>
      <w:r>
        <w:rPr>
          <w:rFonts w:ascii="Georgia" w:cs="Georgia" w:eastAsia="Georgia" w:hAnsi="Georgia"/>
          <w:b w:val="false"/>
          <w:bCs w:val="false"/>
          <w:color w:val="5B7FA8"/>
          <w:sz w:val="22"/>
          <w:szCs w:val="22"/>
        </w:rPr>
        <w:t xml:space="preserve">9.2  Stack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LAYER</w:t>
            </w:r>
          </w:p>
        </w:tc>
        <w:tc>
          <w:tcPr>
            <w:tcW w:type="dxa" w:w="26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CURRENT CHOICE</w:t>
            </w:r>
          </w:p>
        </w:tc>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ALTERNATIVES</w:t>
            </w:r>
          </w:p>
        </w:tc>
        <w:tc>
          <w:tcPr>
            <w:tcW w:type="dxa" w:w="23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NOTES</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Data &amp; Backend</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Supabase (Postgres)</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PlanetScale, Firebase</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Already in use. Handles SSOT, entity banks, changelog, auth, and API layer out of the box.</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Document Generation</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Docxtemplater</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Carbone.io</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SSOT fields fill Word/PDF/HTML templates. Output format selected per use case — DOCX for legal docs, PDF for investor delivery, HTML for email.</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Admin Dashboard</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Next.js</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Retool (MVP shortcut)</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Internal admin for lease management, document generation, content approval gates. Retool is a fast-build option for early internal tooling before a polished UI is needed.</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Content Engine</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Claude API + Whisper</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GPT-4o, Gemini</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Whisper transcribes trainer videos. Claude handles summarisation, narrative generation, and format variants. Swappable — model choice does not affect platform architecture.</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Video Processing</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FFmpeg</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Cloudflare Stream</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Video cutting, thumbnail generation, reel formatting. Runs server-side.</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Asset Storage</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Supabase Storage / R2</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AWS S3</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Images, videos, generated documents. Linked to lease and horse records in the SSOT.</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Email Distribution</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SendGrid / Postmark</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Resend</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Transactional email for investor updates, quarterly reports, and compliance notifications.</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Messaging Channels</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Twilio (WhatsApp), Telegram Bot API</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Investor selects channel at sign-up. Same content, formatted per channel. Additional channels plugged in without changing the engine.</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Workflow Automation</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Supabase Edge Functions / Make</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Zapier, n8n</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Triggers between stages — e.g. lease status change fires document generation queue, or inbound email routes to content engine. Keeps logic close to the data.</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Integration Layer</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REST API + Webhooks</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GraphQL</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How ES connects to TokInvest, NZTR, and future partners. Events (lease proposed, registry updated) fire webhooks to registered endpoints. No polling required.</w:t>
            </w:r>
          </w:p>
        </w:tc>
      </w:tr>
    </w:tbl>
    <w:p>
      <w:pPr>
        <w:spacing w:before="200"/>
      </w:pPr>
    </w:p>
    <w:p>
      <w:pPr>
        <w:pStyle w:val="Heading3"/>
        <w:spacing w:before="220" w:after="80"/>
      </w:pPr>
      <w:r>
        <w:rPr>
          <w:rFonts w:ascii="Georgia" w:cs="Georgia" w:eastAsia="Georgia" w:hAnsi="Georgia"/>
          <w:b w:val="false"/>
          <w:bCs w:val="false"/>
          <w:color w:val="5B7FA8"/>
          <w:sz w:val="22"/>
          <w:szCs w:val="22"/>
        </w:rPr>
        <w:t xml:space="preserve">9.3  Integration Points</w:t>
      </w:r>
    </w:p>
    <w:p>
      <w:pPr>
        <w:spacing w:before="80" w:after="80"/>
      </w:pPr>
      <w:r>
        <w:rPr>
          <w:rFonts w:ascii="Arial" w:cs="Arial" w:eastAsia="Arial" w:hAnsi="Arial"/>
          <w:color w:val="2A2A2A"/>
          <w:sz w:val="20"/>
          <w:szCs w:val="20"/>
        </w:rPr>
        <w:t xml:space="preserve">The following integration points are where the Evolution Stables platform connects to external systems. Each is designed as a discrete, documented interface — changes on either side do not require rebuilding the other.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INTEGRATION</w:t>
            </w:r>
          </w:p>
        </w:tc>
        <w:tc>
          <w:tcPr>
            <w:tcW w:type="dxa" w:w="65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CURRENT → FUTURE STATE</w:t>
            </w:r>
          </w:p>
        </w:tc>
      </w:tr>
      <w:tr>
        <w:tc>
          <w:tcPr>
            <w:tcW w:type="dxa" w:w="2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TokInvest → ES
(Investor data)</w:t>
            </w:r>
          </w:p>
        </w:tc>
        <w:tc>
          <w:tcPr>
            <w:tcW w:type="dxa" w:w="6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Post-close: TokInvest sends investor list. Initially CSV, moving to webhook event when their team is ready. ES receives, validates, generates Investor Registry, files with NZTR.</w:t>
            </w:r>
          </w:p>
        </w:tc>
      </w:tr>
      <w:tr>
        <w:tc>
          <w:tcPr>
            <w:tcW w:type="dxa" w:w="2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ES → TokInvest
(Listing package)</w:t>
            </w:r>
          </w:p>
        </w:tc>
        <w:tc>
          <w:tcPr>
            <w:tcW w:type="dxa" w:w="6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Pre-listing: ES generates HLT, PDS, SA, Whitepaper from SSOT and delivers to TokInvest. Initially email/manual, moving to API push when agreed.</w:t>
            </w:r>
          </w:p>
        </w:tc>
      </w:tr>
      <w:tr>
        <w:tc>
          <w:tcPr>
            <w:tcW w:type="dxa" w:w="2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ES → NZTR
(Registry submission)</w:t>
            </w:r>
          </w:p>
        </w:tc>
        <w:tc>
          <w:tcPr>
            <w:tcW w:type="dxa" w:w="6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Post-close and on amendment: ES submits Investor Registry. Initially email. Future: direct API or portal submission if NZTR provides one.</w:t>
            </w:r>
          </w:p>
        </w:tc>
      </w:tr>
      <w:tr>
        <w:tc>
          <w:tcPr>
            <w:tcW w:type="dxa" w:w="2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miStable / Prism → ES
(Race content)</w:t>
            </w:r>
          </w:p>
        </w:tc>
        <w:tc>
          <w:tcPr>
            <w:tcW w:type="dxa" w:w="6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Race results and horse reports arrive via email notification. ES ingests via email parser or manual forward into content engine. Future: direct API feed if platforms support it.</w:t>
            </w:r>
          </w:p>
        </w:tc>
      </w:tr>
      <w:tr>
        <w:tc>
          <w:tcPr>
            <w:tcW w:type="dxa" w:w="2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ES → Investor channels
(Distribution)</w:t>
            </w:r>
          </w:p>
        </w:tc>
        <w:tc>
          <w:tcPr>
            <w:tcW w:type="dxa" w:w="6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Investor updates and quarterly reports distributed via SendGrid (email), Twilio (WhatsApp), Telegram Bot API. Channel preference stored against investor record in SSOT.</w:t>
            </w:r>
          </w:p>
        </w:tc>
      </w:tr>
      <w:tr>
        <w:tc>
          <w:tcPr>
            <w:tcW w:type="dxa" w:w="2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ES → Governing Bodies
(Future)</w:t>
            </w:r>
          </w:p>
        </w:tc>
        <w:tc>
          <w:tcPr>
            <w:tcW w:type="dxa" w:w="6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As platform expands to DRC and other jurisdictions, each governing body is a separate integration point using the same webhook/API pattern. No architectural change required.</w:t>
            </w:r>
          </w:p>
        </w:tc>
      </w:tr>
    </w:tbl>
    <w:p>
      <w:pPr>
        <w:spacing w:before="200"/>
      </w:pPr>
    </w:p>
    <w:p>
      <w:pPr>
        <w:pStyle w:val="Heading3"/>
        <w:spacing w:before="220" w:after="80"/>
      </w:pPr>
      <w:r>
        <w:rPr>
          <w:rFonts w:ascii="Georgia" w:cs="Georgia" w:eastAsia="Georgia" w:hAnsi="Georgia"/>
          <w:b w:val="false"/>
          <w:bCs w:val="false"/>
          <w:color w:val="5B7FA8"/>
          <w:sz w:val="22"/>
          <w:szCs w:val="22"/>
        </w:rPr>
        <w:t xml:space="preserve">9.4  A Note for TokInvest's Dev Team</w:t>
      </w:r>
    </w:p>
    <w:p>
      <w:pPr>
        <w:spacing w:before="80" w:after="80"/>
      </w:pPr>
      <w:r>
        <w:rPr>
          <w:rFonts w:ascii="Arial" w:cs="Arial" w:eastAsia="Arial" w:hAnsi="Arial"/>
          <w:color w:val="2A2A2A"/>
          <w:sz w:val="20"/>
          <w:szCs w:val="20"/>
        </w:rPr>
        <w:t xml:space="preserve">What Evolution Stables is building is not a bespoke one-off. It is a documented, modular platform with clean integration boundaries. The two natural connection points between our systems are: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TOUCHPOINT</w:t>
            </w:r>
          </w:p>
        </w:tc>
        <w:tc>
          <w:tcPr>
            <w:tcW w:type="dxa" w:w="69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HOW IT WORKS</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Listing handoff</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ES generates the listing document package from the SSOT and delivers it. Format and delivery method can be whatever works for TokInvest's ingestion process — API push, SFTP, or structured email. We adapt to you.</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Investor data return</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Post-close, TokInvest sends us the confirmed investor list. A simple webhook event or CSV export works. We parse it, generate the Registry, and file with NZTR. We can provide the field spec for what we need.</w:t>
            </w:r>
          </w:p>
        </w:tc>
      </w:tr>
    </w:tbl>
    <w:p>
      <w:pPr>
        <w:spacing w:before="80"/>
      </w:pPr>
    </w:p>
    <w:p>
      <w:pPr>
        <w:spacing w:before="60" w:after="60"/>
      </w:pPr>
      <w:r>
        <w:rPr>
          <w:rFonts w:ascii="Courier New" w:cs="Courier New" w:eastAsia="Courier New" w:hAnsi="Courier New"/>
          <w:color w:val="8A8278"/>
          <w:sz w:val="17"/>
          <w:szCs w:val="17"/>
        </w:rPr>
        <w:t xml:space="preserve">Both integration points are designed to be upgraded incrementally — start manual, automate when both teams are ready. No dependency on a single big-bang integration.</w:t>
      </w:r>
    </w:p>
    <w:p>
      <w:pPr>
        <w:spacing w:before="400"/>
      </w:pPr>
    </w:p>
    <w:p>
      <w:pPr>
        <w:pBdr>
          <w:bottom w:val="single" w:color="C9A84C" w:sz="6" w:space="1"/>
        </w:pBdr>
        <w:spacing w:before="0" w:after="200"/>
      </w:pPr>
    </w:p>
    <w:p>
      <w:pPr>
        <w:spacing w:before="160" w:after="80"/>
        <w:jc w:val="center"/>
      </w:pPr>
      <w:r>
        <w:rPr>
          <w:rFonts w:ascii="Courier New" w:cs="Courier New" w:eastAsia="Courier New" w:hAnsi="Courier New"/>
          <w:color w:val="8A8278"/>
          <w:sz w:val="16"/>
          <w:szCs w:val="16"/>
        </w:rPr>
        <w:t xml:space="preserve">Evolution Stables — Platform Architecture, Workflow &amp; SSOT Specification — v0.3 — March 2026</w:t>
      </w:r>
    </w:p>
    <w:p>
      <w:pPr>
        <w:spacing w:before="0" w:after="0"/>
        <w:jc w:val="center"/>
      </w:pPr>
      <w:r>
        <w:rPr>
          <w:rFonts w:ascii="Courier New" w:cs="Courier New" w:eastAsia="Courier New" w:hAnsi="Courier New"/>
          <w:color w:val="8A8278"/>
          <w:sz w:val="16"/>
          <w:szCs w:val="16"/>
        </w:rPr>
        <w:t xml:space="preserve">Confidential —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360"/>
      </w:tabs>
      <w:spacing w:before="120" w:after="0"/>
    </w:pPr>
    <w:r>
      <w:rPr>
        <w:rFonts w:ascii="Arial" w:cs="Arial" w:eastAsia="Arial" w:hAnsi="Arial"/>
        <w:color w:val="8A8278"/>
        <w:sz w:val="16"/>
        <w:szCs w:val="16"/>
      </w:rPr>
      <w:t xml:space="preserve">Evolution Stables — Internal Use Only</w:t>
    </w:r>
    <w:r>
      <w:rPr>
        <w:rFonts w:ascii="Arial" w:cs="Arial" w:eastAsia="Arial" w:hAnsi="Arial"/>
        <w:color w:val="8A8278"/>
        <w:sz w:val="16"/>
        <w:szCs w:val="16"/>
      </w:rPr>
      <w:t xml:space="preserve">	Confidential — v0.2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spacing w:before="0" w:after="160"/>
    </w:pPr>
    <w:r>
      <w:rPr>
        <w:rFonts w:ascii="Courier New" w:cs="Courier New" w:eastAsia="Courier New" w:hAnsi="Courier New"/>
        <w:b/>
        <w:bCs/>
        <w:color w:val="C9A84C"/>
        <w:sz w:val="16"/>
        <w:szCs w:val="16"/>
      </w:rPr>
      <w:t xml:space="preserve">EVOLUTION STABLES</w:t>
    </w:r>
    <w:r>
      <w:rPr>
        <w:rFonts w:ascii="Arial" w:cs="Arial" w:eastAsia="Arial" w:hAnsi="Arial"/>
        <w:color w:val="8A8278"/>
        <w:sz w:val="16"/>
        <w:szCs w:val="16"/>
      </w:rPr>
      <w:t xml:space="preserve">  —  Platform Architecture &amp; SSOT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Georgia" w:cs="Georgia" w:eastAsia="Georgia" w:hAnsi="Georgia"/>
      <w:b w:val="false"/>
      <w:bCs w:val="false"/>
      <w:color w:val="0A0A0A"/>
      <w:sz w:val="42"/>
      <w:szCs w:val="42"/>
    </w:rPr>
  </w:style>
  <w:style w:type="paragraph" w:styleId="Heading2">
    <w:name w:val="Heading 2"/>
    <w:basedOn w:val="Normal"/>
    <w:next w:val="Normal"/>
    <w:qFormat/>
    <w:pPr>
      <w:spacing w:before="280" w:after="100"/>
      <w:outlineLvl w:val="1"/>
    </w:pPr>
    <w:rPr>
      <w:rFonts w:ascii="Georgia" w:cs="Georgia" w:eastAsia="Georgia" w:hAnsi="Georgia"/>
      <w:b w:val="false"/>
      <w:bCs w:val="false"/>
      <w:color w:val="0A0A0A"/>
      <w:sz w:val="28"/>
      <w:szCs w:val="28"/>
    </w:rPr>
  </w:style>
  <w:style w:type="paragraph" w:styleId="Heading3">
    <w:name w:val="Heading 3"/>
    <w:basedOn w:val="Normal"/>
    <w:next w:val="Normal"/>
    <w:qFormat/>
    <w:pPr>
      <w:spacing w:before="220" w:after="80"/>
      <w:outlineLvl w:val="2"/>
    </w:pPr>
    <w:rPr>
      <w:rFonts w:ascii="Georgia" w:cs="Georgia" w:eastAsia="Georgia" w:hAnsi="Georgia"/>
      <w:b w:val="false"/>
      <w:bCs w:val="false"/>
      <w:color w:val="2A2A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2026-03-03T02:29:58.661Z</dcterms:created>
  <dcterms:modified xsi:type="dcterms:W3CDTF">2026-03-03T02:29:58.662Z</dcterms:modified>
</cp:coreProperties>
</file>

<file path=docProps/custom.xml><?xml version="1.0" encoding="utf-8"?>
<Properties xmlns="http://schemas.openxmlformats.org/officeDocument/2006/custom-properties" xmlns:vt="http://schemas.openxmlformats.org/officeDocument/2006/docPropsVTypes"/>
</file>