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rPr>
      </w:pPr>
      <w:r w:rsidDel="00000000" w:rsidR="00000000" w:rsidRPr="00000000">
        <w:rPr>
          <w:rtl w:val="0"/>
        </w:rPr>
      </w:r>
    </w:p>
    <w:tbl>
      <w:tblPr>
        <w:tblStyle w:val="Table1"/>
        <w:tblW w:w="9631.0" w:type="dxa"/>
        <w:jc w:val="left"/>
        <w:tblInd w:w="8.0" w:type="dxa"/>
        <w:tblLayout w:type="fixed"/>
        <w:tblLook w:val="0000"/>
      </w:tblPr>
      <w:tblGrid>
        <w:gridCol w:w="2969"/>
        <w:gridCol w:w="6662"/>
        <w:tblGridChange w:id="0">
          <w:tblGrid>
            <w:gridCol w:w="2969"/>
            <w:gridCol w:w="6662"/>
          </w:tblGrid>
        </w:tblGridChange>
      </w:tblGrid>
      <w:tr>
        <w:trPr>
          <w:trHeight w:val="1740" w:hRule="atLeast"/>
        </w:trPr>
        <w:tc>
          <w:tcPr>
            <w:tcBorders>
              <w:bottom w:color="000000" w:space="0" w:sz="12" w:val="single"/>
            </w:tcBorders>
            <w:vAlign w:val="top"/>
          </w:tcPr>
          <w:p w:rsidR="00000000" w:rsidDel="00000000" w:rsidP="00000000" w:rsidRDefault="00000000" w:rsidRPr="00000000" w14:paraId="00000002">
            <w:pPr>
              <w:widowControl w:val="1"/>
              <w:tabs>
                <w:tab w:val="right" w:pos="9072"/>
              </w:tabs>
              <w:spacing w:line="36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3">
            <w:pPr>
              <w:widowControl w:val="1"/>
              <w:tabs>
                <w:tab w:val="right" w:pos="9072"/>
              </w:tabs>
              <w:spacing w:line="360" w:lineRule="auto"/>
              <w:jc w:val="center"/>
              <w:rPr>
                <w:rFonts w:ascii="Arial" w:cs="Arial" w:eastAsia="Arial" w:hAnsi="Arial"/>
                <w:sz w:val="16"/>
                <w:szCs w:val="16"/>
              </w:rPr>
            </w:pPr>
            <w:r w:rsidDel="00000000" w:rsidR="00000000" w:rsidRPr="00000000">
              <w:rPr>
                <w:rFonts w:ascii="Arial" w:cs="Arial" w:eastAsia="Arial" w:hAnsi="Arial"/>
              </w:rPr>
              <w:drawing>
                <wp:inline distB="0" distT="0" distL="114300" distR="114300">
                  <wp:extent cx="1052513" cy="73056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52513" cy="7305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tabs>
                <w:tab w:val="right" w:pos="9072"/>
              </w:tabs>
              <w:spacing w:line="360" w:lineRule="auto"/>
              <w:rPr>
                <w:rFonts w:ascii="Arial" w:cs="Arial" w:eastAsia="Arial" w:hAnsi="Arial"/>
                <w:sz w:val="16"/>
                <w:szCs w:val="16"/>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5">
            <w:pPr>
              <w:widowControl w:val="1"/>
              <w:tabs>
                <w:tab w:val="right" w:pos="9072"/>
              </w:tabs>
              <w:spacing w:line="36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Universidad Tecnológica Nacional</w:t>
            </w:r>
            <w:r w:rsidDel="00000000" w:rsidR="00000000" w:rsidRPr="00000000">
              <w:rPr>
                <w:rtl w:val="0"/>
              </w:rPr>
            </w:r>
          </w:p>
          <w:p w:rsidR="00000000" w:rsidDel="00000000" w:rsidP="00000000" w:rsidRDefault="00000000" w:rsidRPr="00000000" w14:paraId="00000007">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Facultad Regional Buenos Aires</w:t>
            </w:r>
            <w:r w:rsidDel="00000000" w:rsidR="00000000" w:rsidRPr="00000000">
              <w:rPr>
                <w:rtl w:val="0"/>
              </w:rPr>
            </w:r>
          </w:p>
          <w:p w:rsidR="00000000" w:rsidDel="00000000" w:rsidP="00000000" w:rsidRDefault="00000000" w:rsidRPr="00000000" w14:paraId="00000008">
            <w:pPr>
              <w:widowControl w:val="1"/>
              <w:tabs>
                <w:tab w:val="right" w:pos="9072"/>
              </w:tabs>
              <w:spacing w:line="360" w:lineRule="auto"/>
              <w:ind w:left="142" w:firstLine="0"/>
              <w:jc w:val="both"/>
              <w:rPr>
                <w:rFonts w:ascii="Arial" w:cs="Arial" w:eastAsia="Arial" w:hAnsi="Arial"/>
              </w:rPr>
            </w:pPr>
            <w:r w:rsidDel="00000000" w:rsidR="00000000" w:rsidRPr="00000000">
              <w:rPr>
                <w:rFonts w:ascii="Arial" w:cs="Arial" w:eastAsia="Arial" w:hAnsi="Arial"/>
                <w:b w:val="1"/>
                <w:rtl w:val="0"/>
              </w:rPr>
              <w:t xml:space="preserve">Ingeniería en Sistemas de Información</w:t>
            </w:r>
            <w:r w:rsidDel="00000000" w:rsidR="00000000" w:rsidRPr="00000000">
              <w:rPr>
                <w:rtl w:val="0"/>
              </w:rPr>
            </w:r>
          </w:p>
          <w:p w:rsidR="00000000" w:rsidDel="00000000" w:rsidP="00000000" w:rsidRDefault="00000000" w:rsidRPr="00000000" w14:paraId="00000009">
            <w:pPr>
              <w:widowControl w:val="1"/>
              <w:tabs>
                <w:tab w:val="left" w:pos="567"/>
                <w:tab w:val="right" w:pos="9072"/>
              </w:tabs>
              <w:spacing w:after="120"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A">
      <w:pPr>
        <w:widowControl w:val="1"/>
        <w:tabs>
          <w:tab w:val="left" w:pos="6804"/>
        </w:tabs>
        <w:spacing w:before="240" w:line="360" w:lineRule="auto"/>
        <w:jc w:val="center"/>
        <w:rPr>
          <w:rFonts w:ascii="Arial" w:cs="Arial" w:eastAsia="Arial" w:hAnsi="Arial"/>
          <w:b w:val="1"/>
          <w:sz w:val="48"/>
          <w:szCs w:val="48"/>
          <w:u w:val="single"/>
        </w:rPr>
      </w:pPr>
      <w:r w:rsidDel="00000000" w:rsidR="00000000" w:rsidRPr="00000000">
        <w:rPr>
          <w:rFonts w:ascii="Arial" w:cs="Arial" w:eastAsia="Arial" w:hAnsi="Arial"/>
          <w:b w:val="1"/>
          <w:sz w:val="48"/>
          <w:szCs w:val="48"/>
          <w:u w:val="single"/>
          <w:rtl w:val="0"/>
        </w:rPr>
        <w:t xml:space="preserve">Marketing en Internet y Nueva Economía</w:t>
      </w:r>
    </w:p>
    <w:p w:rsidR="00000000" w:rsidDel="00000000" w:rsidP="00000000" w:rsidRDefault="00000000" w:rsidRPr="00000000" w14:paraId="0000000B">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Trabajo Práctico N° 0</w:t>
      </w:r>
    </w:p>
    <w:p w:rsidR="00000000" w:rsidDel="00000000" w:rsidP="00000000" w:rsidRDefault="00000000" w:rsidRPr="00000000" w14:paraId="0000000C">
      <w:pPr>
        <w:widowControl w:val="1"/>
        <w:tabs>
          <w:tab w:val="left" w:pos="6804"/>
        </w:tabs>
        <w:spacing w:befor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Definiciones </w:t>
      </w:r>
    </w:p>
    <w:p w:rsidR="00000000" w:rsidDel="00000000" w:rsidP="00000000" w:rsidRDefault="00000000" w:rsidRPr="00000000" w14:paraId="0000000D">
      <w:pPr>
        <w:widowControl w:val="1"/>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widowControl w:val="1"/>
        <w:spacing w:line="360" w:lineRule="auto"/>
        <w:rPr>
          <w:rFonts w:ascii="Arial" w:cs="Arial" w:eastAsia="Arial" w:hAnsi="Arial"/>
          <w:i w:val="1"/>
          <w:sz w:val="24"/>
          <w:szCs w:val="24"/>
        </w:rPr>
      </w:pPr>
      <w:r w:rsidDel="00000000" w:rsidR="00000000" w:rsidRPr="00000000">
        <w:rPr>
          <w:rFonts w:ascii="Arial" w:cs="Arial" w:eastAsia="Arial" w:hAnsi="Arial"/>
          <w:b w:val="1"/>
          <w:sz w:val="24"/>
          <w:szCs w:val="24"/>
          <w:u w:val="single"/>
          <w:rtl w:val="0"/>
        </w:rPr>
        <w:t xml:space="preserve">Profesor</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Alejandro Prince</w:t>
      </w:r>
    </w:p>
    <w:p w:rsidR="00000000" w:rsidDel="00000000" w:rsidP="00000000" w:rsidRDefault="00000000" w:rsidRPr="00000000" w14:paraId="0000000F">
      <w:pPr>
        <w:widowControl w:val="1"/>
        <w:tabs>
          <w:tab w:val="left" w:pos="6804"/>
        </w:tabs>
        <w:spacing w:before="240" w:line="3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Curso</w:t>
      </w:r>
      <w:r w:rsidDel="00000000" w:rsidR="00000000" w:rsidRPr="00000000">
        <w:rPr>
          <w:rFonts w:ascii="Arial" w:cs="Arial" w:eastAsia="Arial" w:hAnsi="Arial"/>
          <w:b w:val="1"/>
          <w:smallCaps w:val="1"/>
          <w:rtl w:val="0"/>
        </w:rPr>
        <w:t xml:space="preserve">: </w:t>
      </w:r>
      <w:r w:rsidDel="00000000" w:rsidR="00000000" w:rsidRPr="00000000">
        <w:rPr>
          <w:rFonts w:ascii="Arial" w:cs="Arial" w:eastAsia="Arial" w:hAnsi="Arial"/>
          <w:i w:val="1"/>
          <w:sz w:val="24"/>
          <w:szCs w:val="24"/>
          <w:rtl w:val="0"/>
        </w:rPr>
        <w:t xml:space="preserve">K5571  - 2do cuatrimestre 2019 </w:t>
      </w:r>
      <w:r w:rsidDel="00000000" w:rsidR="00000000" w:rsidRPr="00000000">
        <w:rPr>
          <w:rtl w:val="0"/>
        </w:rPr>
      </w:r>
    </w:p>
    <w:p w:rsidR="00000000" w:rsidDel="00000000" w:rsidP="00000000" w:rsidRDefault="00000000" w:rsidRPr="00000000" w14:paraId="00000010">
      <w:pPr>
        <w:widowControl w:val="1"/>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1"/>
        <w:spacing w:line="276" w:lineRule="auto"/>
        <w:rPr>
          <w:rFonts w:ascii="Arial" w:cs="Arial" w:eastAsia="Arial" w:hAnsi="Arial"/>
          <w:sz w:val="24"/>
          <w:szCs w:val="24"/>
        </w:rPr>
      </w:pPr>
      <w:r w:rsidDel="00000000" w:rsidR="00000000" w:rsidRPr="00000000">
        <w:rPr>
          <w:rtl w:val="0"/>
        </w:rPr>
      </w:r>
    </w:p>
    <w:tbl>
      <w:tblPr>
        <w:tblStyle w:val="Table2"/>
        <w:tblW w:w="9185.0" w:type="dxa"/>
        <w:jc w:val="left"/>
        <w:tblInd w:w="108.0" w:type="pct"/>
        <w:tblLayout w:type="fixed"/>
        <w:tblLook w:val="0000"/>
      </w:tblPr>
      <w:tblGrid>
        <w:gridCol w:w="3814"/>
        <w:gridCol w:w="1645"/>
        <w:gridCol w:w="3726"/>
        <w:tblGridChange w:id="0">
          <w:tblGrid>
            <w:gridCol w:w="3814"/>
            <w:gridCol w:w="1645"/>
            <w:gridCol w:w="3726"/>
          </w:tblGrid>
        </w:tblGridChange>
      </w:tblGrid>
      <w:tr>
        <w:tc>
          <w:tcPr>
            <w:gridSpan w:val="3"/>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2">
            <w:pPr>
              <w:widowControl w:val="1"/>
              <w:spacing w:after="20" w:before="20" w:lineRule="auto"/>
              <w:jc w:val="center"/>
              <w:rPr>
                <w:rFonts w:ascii="Arial" w:cs="Arial" w:eastAsia="Arial" w:hAnsi="Arial"/>
                <w:color w:val="ffffff"/>
                <w:sz w:val="24"/>
                <w:szCs w:val="24"/>
                <w:highlight w:val="yellow"/>
              </w:rPr>
            </w:pPr>
            <w:r w:rsidDel="00000000" w:rsidR="00000000" w:rsidRPr="00000000">
              <w:rPr>
                <w:rFonts w:ascii="Arial" w:cs="Arial" w:eastAsia="Arial" w:hAnsi="Arial"/>
                <w:b w:val="1"/>
                <w:i w:val="1"/>
                <w:color w:val="ffffff"/>
                <w:sz w:val="24"/>
                <w:szCs w:val="24"/>
                <w:rtl w:val="0"/>
              </w:rPr>
              <w:t xml:space="preserve">INTEGRANTE</w:t>
            </w:r>
            <w:r w:rsidDel="00000000" w:rsidR="00000000" w:rsidRPr="00000000">
              <w:rPr>
                <w:rtl w:val="0"/>
              </w:rPr>
            </w:r>
          </w:p>
        </w:tc>
      </w:tr>
      <w:tr>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5">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ALUMNO</w:t>
            </w:r>
          </w:p>
        </w:tc>
        <w:tc>
          <w:tcPr>
            <w:tcBorders>
              <w:top w:color="000000" w:space="0" w:sz="6" w:val="single"/>
              <w:left w:color="000000" w:space="0" w:sz="6" w:val="single"/>
              <w:bottom w:color="000000" w:space="0" w:sz="6" w:val="single"/>
            </w:tcBorders>
            <w:shd w:fill="4c4c4c" w:val="clear"/>
            <w:vAlign w:val="top"/>
          </w:tcPr>
          <w:p w:rsidR="00000000" w:rsidDel="00000000" w:rsidP="00000000" w:rsidRDefault="00000000" w:rsidRPr="00000000" w14:paraId="00000016">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LEGAJO </w:t>
            </w:r>
          </w:p>
        </w:tc>
        <w:tc>
          <w:tcPr>
            <w:tcBorders>
              <w:top w:color="000000" w:space="0" w:sz="6" w:val="single"/>
              <w:left w:color="000000" w:space="0" w:sz="6" w:val="single"/>
              <w:bottom w:color="000000" w:space="0" w:sz="6" w:val="single"/>
              <w:right w:color="000000" w:space="0" w:sz="6" w:val="single"/>
            </w:tcBorders>
            <w:shd w:fill="4c4c4c" w:val="clear"/>
            <w:vAlign w:val="top"/>
          </w:tcPr>
          <w:p w:rsidR="00000000" w:rsidDel="00000000" w:rsidP="00000000" w:rsidRDefault="00000000" w:rsidRPr="00000000" w14:paraId="00000017">
            <w:pPr>
              <w:widowControl w:val="1"/>
              <w:spacing w:after="20" w:before="2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EMAIL </w:t>
            </w:r>
          </w:p>
        </w:tc>
      </w:tr>
      <w:tr>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Calvo, Luciano</w:t>
            </w:r>
          </w:p>
        </w:tc>
        <w:tc>
          <w:tcPr>
            <w:tcBorders>
              <w:top w:color="000000" w:space="0" w:sz="6" w:val="single"/>
              <w:left w:color="000000" w:space="0" w:sz="6" w:val="single"/>
              <w:bottom w:color="000000" w:space="0" w:sz="8" w:val="single"/>
            </w:tcBorders>
            <w:vAlign w:val="top"/>
          </w:tcPr>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119.865-8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lucho_gra@hotmail.com</w:t>
            </w:r>
          </w:p>
        </w:tc>
      </w:tr>
    </w:tbl>
    <w:p w:rsidR="00000000" w:rsidDel="00000000" w:rsidP="00000000" w:rsidRDefault="00000000" w:rsidRPr="00000000" w14:paraId="0000001B">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C">
      <w:pPr>
        <w:widowControl w:val="1"/>
        <w:spacing w:line="36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D">
      <w:pPr>
        <w:widowControl w:val="1"/>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Fecha de entrega: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26/08/2019</w:t>
      </w:r>
    </w:p>
    <w:p w:rsidR="00000000" w:rsidDel="00000000" w:rsidP="00000000" w:rsidRDefault="00000000" w:rsidRPr="00000000" w14:paraId="0000001F">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1"/>
        <w:spacing w:after="200" w:line="273.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Definiciones</w:t>
      </w:r>
    </w:p>
    <w:p w:rsidR="00000000" w:rsidDel="00000000" w:rsidP="00000000" w:rsidRDefault="00000000" w:rsidRPr="00000000" w14:paraId="00000026">
      <w:pPr>
        <w:widowControl w:val="1"/>
        <w:spacing w:after="200" w:line="273.6"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Economía Digital</w:t>
      </w:r>
    </w:p>
    <w:p w:rsidR="00000000" w:rsidDel="00000000" w:rsidP="00000000" w:rsidRDefault="00000000" w:rsidRPr="00000000" w14:paraId="00000027">
      <w:pPr>
        <w:widowControl w:val="1"/>
        <w:spacing w:after="200" w:line="240" w:lineRule="auto"/>
        <w:jc w:val="both"/>
        <w:rPr>
          <w:rFonts w:ascii="Arial" w:cs="Arial" w:eastAsia="Arial" w:hAnsi="Arial"/>
        </w:rPr>
      </w:pPr>
      <w:r w:rsidDel="00000000" w:rsidR="00000000" w:rsidRPr="00000000">
        <w:rPr>
          <w:rFonts w:ascii="Arial" w:cs="Arial" w:eastAsia="Arial" w:hAnsi="Arial"/>
          <w:rtl w:val="0"/>
        </w:rPr>
        <w:t xml:space="preserve">También se le conoce como Economía en Internet, Nueva Economía o Economía Web, y se basa en el uso de los sistemas tecnológicos digitales, se sabe que comenzó a usarse en el año 1995 y fue el autor Don Tapscott el primer en nombrarla. </w:t>
      </w:r>
    </w:p>
    <w:p w:rsidR="00000000" w:rsidDel="00000000" w:rsidP="00000000" w:rsidRDefault="00000000" w:rsidRPr="00000000" w14:paraId="00000028">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Se define como la rama de la economía que hace los estudios de los costos marginales nulos de los bienes intangibles que se venden por vía del internet.</w:t>
      </w:r>
    </w:p>
    <w:p w:rsidR="00000000" w:rsidDel="00000000" w:rsidP="00000000" w:rsidRDefault="00000000" w:rsidRPr="00000000" w14:paraId="00000029">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A través de esta nueva forma de economía las redes digitales y la infraestructura de la comunicación son los que le dan la plataforma global en la que las personas y las organizaciones crean o elaboran estrategias de negocios, se interrelacionan, comunican, prestan colaboración y hasta pueden buscar información de los bienes.</w:t>
      </w:r>
    </w:p>
    <w:p w:rsidR="00000000" w:rsidDel="00000000" w:rsidP="00000000" w:rsidRDefault="00000000" w:rsidRPr="00000000" w14:paraId="0000002A">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Se establece como una nueva forma de producir y consumir que debe implicar cambios en la organización de tipo social, económico y político en todos los países, por eso se considera como un factor de desarrollo de los mismos.</w:t>
      </w:r>
    </w:p>
    <w:p w:rsidR="00000000" w:rsidDel="00000000" w:rsidP="00000000" w:rsidRDefault="00000000" w:rsidRPr="00000000" w14:paraId="0000002B">
      <w:pPr>
        <w:widowControl w:val="1"/>
        <w:spacing w:after="200" w:line="273.6"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Economía Digital Colaborativa</w:t>
      </w:r>
    </w:p>
    <w:p w:rsidR="00000000" w:rsidDel="00000000" w:rsidP="00000000" w:rsidRDefault="00000000" w:rsidRPr="00000000" w14:paraId="0000002C">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Este es un sistema económico en el cual se pueden compartir e intercambiar bienes y servicios usando las plataformas digitales. En este nuevo enfoque se establece que debe haber un cambio de consumo por existir una migración del comercio hacia las plataformas sociales entre amigos.</w:t>
      </w:r>
    </w:p>
    <w:p w:rsidR="00000000" w:rsidDel="00000000" w:rsidP="00000000" w:rsidRDefault="00000000" w:rsidRPr="00000000" w14:paraId="0000002D">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Una de las ventajas de este tipo de economía es que minimiza la barrera de la desconfianza ya que se ven los comentarios de otras personas en donde establecen un tipo de reputación para valorar, recomendar y ayudar a otras personas a usar ese servicio o en caso contrario.</w:t>
      </w:r>
    </w:p>
    <w:p w:rsidR="00000000" w:rsidDel="00000000" w:rsidP="00000000" w:rsidRDefault="00000000" w:rsidRPr="00000000" w14:paraId="0000002E">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Si no es acorde a los estándares de los compradores, denunciarlo y darle una recomendación negativa para que otros usuarios no lo utilicen.</w:t>
      </w:r>
    </w:p>
    <w:p w:rsidR="00000000" w:rsidDel="00000000" w:rsidP="00000000" w:rsidRDefault="00000000" w:rsidRPr="00000000" w14:paraId="0000002F">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Se le llama colaborativa ya que con ella se puede aprovechar los recursos que son subutilizados o desperdiciados por algunos usuarios y se les ofrece a personas que los necesiten.</w:t>
      </w:r>
    </w:p>
    <w:p w:rsidR="00000000" w:rsidDel="00000000" w:rsidP="00000000" w:rsidRDefault="00000000" w:rsidRPr="00000000" w14:paraId="00000030">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Fuente: </w:t>
      </w:r>
      <w:hyperlink r:id="rId7">
        <w:r w:rsidDel="00000000" w:rsidR="00000000" w:rsidRPr="00000000">
          <w:rPr>
            <w:rFonts w:ascii="Arial" w:cs="Arial" w:eastAsia="Arial" w:hAnsi="Arial"/>
            <w:color w:val="1155cc"/>
            <w:u w:val="single"/>
            <w:rtl w:val="0"/>
          </w:rPr>
          <w:t xml:space="preserve">https://adriw.com/conceptos-economicos/economia-digital/</w:t>
        </w:r>
      </w:hyperlink>
      <w:r w:rsidDel="00000000" w:rsidR="00000000" w:rsidRPr="00000000">
        <w:rPr>
          <w:rtl w:val="0"/>
        </w:rPr>
      </w:r>
    </w:p>
    <w:p w:rsidR="00000000" w:rsidDel="00000000" w:rsidP="00000000" w:rsidRDefault="00000000" w:rsidRPr="00000000" w14:paraId="00000031">
      <w:pPr>
        <w:widowControl w:val="1"/>
        <w:spacing w:after="200" w:line="273.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1"/>
        <w:spacing w:after="200" w:line="273.6"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Economía del Conocimiento</w:t>
      </w:r>
    </w:p>
    <w:p w:rsidR="00000000" w:rsidDel="00000000" w:rsidP="00000000" w:rsidRDefault="00000000" w:rsidRPr="00000000" w14:paraId="00000033">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Podemos definirla como aquel sector de la economía que utiliza el conocimiento  o la información para generar valor, ofrecer resultados, mejoras, llevando las mismas a un nivel superior.</w:t>
      </w:r>
    </w:p>
    <w:p w:rsidR="00000000" w:rsidDel="00000000" w:rsidP="00000000" w:rsidRDefault="00000000" w:rsidRPr="00000000" w14:paraId="00000034">
      <w:pPr>
        <w:widowControl w:val="1"/>
        <w:spacing w:after="200" w:line="273.6" w:lineRule="auto"/>
        <w:jc w:val="both"/>
        <w:rPr>
          <w:rFonts w:ascii="Arial" w:cs="Arial" w:eastAsia="Arial" w:hAnsi="Arial"/>
        </w:rPr>
      </w:pPr>
      <w:r w:rsidDel="00000000" w:rsidR="00000000" w:rsidRPr="00000000">
        <w:rPr>
          <w:rFonts w:ascii="Arial" w:cs="Arial" w:eastAsia="Arial" w:hAnsi="Arial"/>
          <w:rtl w:val="0"/>
        </w:rPr>
        <w:t xml:space="preserve">Podría argumentarse que esto ha sido más o menos toda la vida, y efectivamente así es: el conocimiento siempre ha sido el motor de cambio y evolución en todas las sociedades. Lo que justifica el que hoy hablemos con más intensidad de este fenómeno, de este tipo de economía, son dos cuestiones:</w:t>
      </w:r>
    </w:p>
    <w:p w:rsidR="00000000" w:rsidDel="00000000" w:rsidP="00000000" w:rsidRDefault="00000000" w:rsidRPr="00000000" w14:paraId="00000035">
      <w:pPr>
        <w:widowControl w:val="1"/>
        <w:numPr>
          <w:ilvl w:val="0"/>
          <w:numId w:val="1"/>
        </w:numPr>
        <w:spacing w:after="0" w:afterAutospacing="0" w:line="273.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Por un lado, el hecho de que antes el conocimiento era menor y no imprescindible (si eras un zoquete, siempre podías labrar la tierra), mientras que hoy es mayor y absolutamente imprescindible (si quieres tener empleo y/o ingresos, claro)</w:t>
      </w:r>
    </w:p>
    <w:p w:rsidR="00000000" w:rsidDel="00000000" w:rsidP="00000000" w:rsidRDefault="00000000" w:rsidRPr="00000000" w14:paraId="00000036">
      <w:pPr>
        <w:widowControl w:val="1"/>
        <w:numPr>
          <w:ilvl w:val="0"/>
          <w:numId w:val="1"/>
        </w:numPr>
        <w:spacing w:after="200" w:line="273.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Por otro, el hecho de que el ritmo de producción de conocimiento es hoy mayor que nunca  (evolución exponencial). No da tiempo a asimilarlo todo y se impone una tarea de búsqueda y selección.</w:t>
      </w:r>
    </w:p>
    <w:p w:rsidR="00000000" w:rsidDel="00000000" w:rsidP="00000000" w:rsidRDefault="00000000" w:rsidRPr="00000000" w14:paraId="00000037">
      <w:pPr>
        <w:widowControl w:val="1"/>
        <w:spacing w:after="200" w:line="273.6" w:lineRule="auto"/>
        <w:ind w:left="0" w:firstLine="0"/>
        <w:jc w:val="both"/>
        <w:rPr>
          <w:rFonts w:ascii="Arial" w:cs="Arial" w:eastAsia="Arial" w:hAnsi="Arial"/>
        </w:rPr>
      </w:pPr>
      <w:r w:rsidDel="00000000" w:rsidR="00000000" w:rsidRPr="00000000">
        <w:rPr>
          <w:rFonts w:ascii="Arial" w:cs="Arial" w:eastAsia="Arial" w:hAnsi="Arial"/>
          <w:rtl w:val="0"/>
        </w:rPr>
        <w:t xml:space="preserve">Fuente: </w:t>
      </w:r>
      <w:hyperlink r:id="rId8">
        <w:r w:rsidDel="00000000" w:rsidR="00000000" w:rsidRPr="00000000">
          <w:rPr>
            <w:rFonts w:ascii="Arial" w:cs="Arial" w:eastAsia="Arial" w:hAnsi="Arial"/>
            <w:color w:val="1155cc"/>
            <w:u w:val="single"/>
            <w:rtl w:val="0"/>
          </w:rPr>
          <w:t xml:space="preserve">https://agustingrau.com/economia-del-conocimiento/</w:t>
        </w:r>
      </w:hyperlink>
      <w:r w:rsidDel="00000000" w:rsidR="00000000" w:rsidRPr="00000000">
        <w:rPr>
          <w:rtl w:val="0"/>
        </w:rPr>
      </w:r>
    </w:p>
    <w:p w:rsidR="00000000" w:rsidDel="00000000" w:rsidP="00000000" w:rsidRDefault="00000000" w:rsidRPr="00000000" w14:paraId="00000038">
      <w:pPr>
        <w:widowControl w:val="1"/>
        <w:spacing w:after="200" w:line="273.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1"/>
        <w:spacing w:after="200" w:line="273.6"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Economía de la Información</w:t>
      </w:r>
    </w:p>
    <w:p w:rsidR="00000000" w:rsidDel="00000000" w:rsidP="00000000" w:rsidRDefault="00000000" w:rsidRPr="00000000" w14:paraId="0000003A">
      <w:pPr>
        <w:widowControl w:val="1"/>
        <w:spacing w:after="200" w:line="273.6" w:lineRule="auto"/>
        <w:ind w:left="0" w:firstLine="0"/>
        <w:jc w:val="both"/>
        <w:rPr>
          <w:rFonts w:ascii="Arial" w:cs="Arial" w:eastAsia="Arial" w:hAnsi="Arial"/>
        </w:rPr>
      </w:pPr>
      <w:r w:rsidDel="00000000" w:rsidR="00000000" w:rsidRPr="00000000">
        <w:rPr>
          <w:rFonts w:ascii="Arial" w:cs="Arial" w:eastAsia="Arial" w:hAnsi="Arial"/>
          <w:rtl w:val="0"/>
        </w:rPr>
        <w:t xml:space="preserve">El concepto de una sociedad y economía post-industrial fue mencionado por primera vez en los años cincuenta, cuando los investigadores se percataron de que existía una expansión gradual de las secciones no agrícolas, no industriales de las economías industriales avanzadas. Al constatar que estas secciones constituían la base de una nueva economía incipiente, el término “post-industrial” fue empleado con frecuencia para describir esta economía.</w:t>
      </w:r>
    </w:p>
    <w:p w:rsidR="00000000" w:rsidDel="00000000" w:rsidP="00000000" w:rsidRDefault="00000000" w:rsidRPr="00000000" w14:paraId="0000003B">
      <w:pPr>
        <w:widowControl w:val="1"/>
        <w:spacing w:after="200" w:line="273.6" w:lineRule="auto"/>
        <w:ind w:left="0" w:firstLine="0"/>
        <w:jc w:val="both"/>
        <w:rPr>
          <w:rFonts w:ascii="Arial" w:cs="Arial" w:eastAsia="Arial" w:hAnsi="Arial"/>
        </w:rPr>
      </w:pPr>
      <w:r w:rsidDel="00000000" w:rsidR="00000000" w:rsidRPr="00000000">
        <w:rPr>
          <w:rFonts w:ascii="Arial" w:cs="Arial" w:eastAsia="Arial" w:hAnsi="Arial"/>
          <w:rtl w:val="0"/>
        </w:rPr>
        <w:t xml:space="preserve">Los primeros estudios de la economía “post-industrial” la consideraron erróneamente como una economía de servicios. Uno de los primeros autores en reconocer correctamente la característica principal de la nueva economía incipiente fue Machlup (1962), quien para describirla empleó el término “industria basada en el conocimiento”. Él descubrió que en el año 1959, las ocupaciones que generaban conocimiento habían superado en número a las demás. Sin embargo, en 1973, autores como Daniel Bell (1973) seguían refiriéndose a la economía incipiente como economía “post-industrial”. En 1977, Marc Uri Porat (1977), a quién más tarde se unió Rubin, escribió un ensayo de 9 volúmenes, que midió y estimó el alcance de esta economía, y describió este sector emergente como “economía de la información”.</w:t>
      </w:r>
    </w:p>
    <w:p w:rsidR="00000000" w:rsidDel="00000000" w:rsidP="00000000" w:rsidRDefault="00000000" w:rsidRPr="00000000" w14:paraId="0000003C">
      <w:pPr>
        <w:widowControl w:val="1"/>
        <w:spacing w:after="200" w:line="273.6" w:lineRule="auto"/>
        <w:ind w:left="0" w:firstLine="0"/>
        <w:jc w:val="both"/>
        <w:rPr>
          <w:rFonts w:ascii="Arial" w:cs="Arial" w:eastAsia="Arial" w:hAnsi="Arial"/>
        </w:rPr>
      </w:pPr>
      <w:r w:rsidDel="00000000" w:rsidR="00000000" w:rsidRPr="00000000">
        <w:rPr>
          <w:rFonts w:ascii="Arial" w:cs="Arial" w:eastAsia="Arial" w:hAnsi="Arial"/>
          <w:rtl w:val="0"/>
        </w:rPr>
        <w:t xml:space="preserve">Cuando la tecnología digital posibilitó la producción sin límites de copias exactas de textos, imágenes, sonido, video y otros materiales de información, la economía de la información creció rápidamente. Con el surgimiento de Internet y después de la World Wide Web, la economía de la información maduró gradualmente hasta convertirse en la floreciente economía de la actualidad.</w:t>
      </w:r>
    </w:p>
    <w:p w:rsidR="00000000" w:rsidDel="00000000" w:rsidP="00000000" w:rsidRDefault="00000000" w:rsidRPr="00000000" w14:paraId="0000003D">
      <w:pPr>
        <w:widowControl w:val="1"/>
        <w:spacing w:after="200" w:line="273.6" w:lineRule="auto"/>
        <w:ind w:left="0" w:firstLine="0"/>
        <w:jc w:val="both"/>
        <w:rPr>
          <w:rFonts w:ascii="Arial" w:cs="Arial" w:eastAsia="Arial" w:hAnsi="Arial"/>
        </w:rPr>
      </w:pPr>
      <w:r w:rsidDel="00000000" w:rsidR="00000000" w:rsidRPr="00000000">
        <w:rPr>
          <w:rFonts w:ascii="Arial" w:cs="Arial" w:eastAsia="Arial" w:hAnsi="Arial"/>
          <w:rtl w:val="0"/>
        </w:rPr>
        <w:t xml:space="preserve">Fuente: </w:t>
      </w:r>
      <w:hyperlink r:id="rId9">
        <w:r w:rsidDel="00000000" w:rsidR="00000000" w:rsidRPr="00000000">
          <w:rPr>
            <w:rFonts w:ascii="Arial" w:cs="Arial" w:eastAsia="Arial" w:hAnsi="Arial"/>
            <w:color w:val="1155cc"/>
            <w:u w:val="single"/>
            <w:rtl w:val="0"/>
          </w:rPr>
          <w:t xml:space="preserve">https://vecam.org/archives/article725.html</w:t>
        </w:r>
      </w:hyperlink>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left" w:pos="7935"/>
      </w:tabs>
      <w:rPr>
        <w:b w:val="1"/>
        <w:i w:val="1"/>
      </w:rPr>
    </w:pPr>
    <w:r w:rsidDel="00000000" w:rsidR="00000000" w:rsidRPr="00000000">
      <w:rPr>
        <w:b w:val="1"/>
        <w:i w:val="1"/>
        <w:rtl w:val="0"/>
      </w:rPr>
      <w:t xml:space="preserve">2Q2019</w:t>
      <w:tab/>
      <w:t xml:space="preserve">Página </w:t>
    </w:r>
    <w:r w:rsidDel="00000000" w:rsidR="00000000" w:rsidRPr="00000000">
      <w:rPr>
        <w:b w:val="1"/>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line="276" w:lineRule="auto"/>
      <w:ind w:left="5952.755905511812"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 xml:space="preserve">Marketing en Internet y Nueva Economía</w:t>
      <w:br w:type="textWrapping"/>
      <w:t xml:space="preserve">Trabajo Practico:  Definiciones</w:t>
      <w:br w:type="textWrapping"/>
      <w:t xml:space="preserve">Cátedra: Alejandro Prince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-320035</wp:posOffset>
          </wp:positionV>
          <wp:extent cx="1052513" cy="730568"/>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52513" cy="730568"/>
                  </a:xfrm>
                  <a:prstGeom prst="rect"/>
                  <a:ln/>
                </pic:spPr>
              </pic:pic>
            </a:graphicData>
          </a:graphic>
        </wp:anchor>
      </w:drawing>
    </w:r>
  </w:p>
  <w:p w:rsidR="00000000" w:rsidDel="00000000" w:rsidP="00000000" w:rsidRDefault="00000000" w:rsidRPr="00000000" w14:paraId="0000003F">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p w:rsidR="00000000" w:rsidDel="00000000" w:rsidP="00000000" w:rsidRDefault="00000000" w:rsidRPr="00000000" w14:paraId="00000040">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Fonts w:ascii="Arial" w:cs="Arial" w:eastAsia="Arial" w:hAnsi="Arial"/>
        <w:b w:val="1"/>
        <w:i w:val="1"/>
        <w:color w:val="999999"/>
        <w:sz w:val="16.00342559814453"/>
        <w:szCs w:val="16.00342559814453"/>
        <w:rtl w:val="0"/>
      </w:rPr>
      <w:tab/>
    </w:r>
  </w:p>
  <w:p w:rsidR="00000000" w:rsidDel="00000000" w:rsidP="00000000" w:rsidRDefault="00000000" w:rsidRPr="00000000" w14:paraId="00000041">
    <w:pPr>
      <w:spacing w:line="276" w:lineRule="auto"/>
      <w:ind w:left="0" w:right="-40.8661417322827" w:firstLine="0"/>
      <w:rPr>
        <w:rFonts w:ascii="Arial" w:cs="Arial" w:eastAsia="Arial" w:hAnsi="Arial"/>
        <w:b w:val="1"/>
        <w:i w:val="1"/>
        <w:color w:val="999999"/>
        <w:sz w:val="16.00342559814453"/>
        <w:szCs w:val="16.00342559814453"/>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120" w:before="400" w:line="276" w:lineRule="auto"/>
    </w:pPr>
    <w:rPr>
      <w:rFonts w:ascii="Arial" w:cs="Arial" w:eastAsia="Arial" w:hAnsi="Arial"/>
      <w:b w:val="1"/>
      <w:u w:val="singl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jc w:val="center"/>
    </w:pPr>
    <w:rPr>
      <w:b w:val="1"/>
      <w:sz w:val="60"/>
      <w:szCs w:val="60"/>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cam.org/archives/article725.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adriw.com/conceptos-economicos/economia-digital/" TargetMode="External"/><Relationship Id="rId8" Type="http://schemas.openxmlformats.org/officeDocument/2006/relationships/hyperlink" Target="https://agustingrau.com/economia-del-conocimien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