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rPr>
          <w:sz w:val="36"/>
          <w:szCs w:val="36"/>
        </w:rPr>
      </w:pPr>
      <w:r w:rsidDel="00000000" w:rsidR="00000000" w:rsidRPr="00000000">
        <w:rPr>
          <w:b w:val="1"/>
          <w:sz w:val="36"/>
          <w:szCs w:val="36"/>
          <w:u w:val="single"/>
          <w:rtl w:val="0"/>
        </w:rPr>
        <w:t xml:space="preserve">Alumno</w:t>
      </w:r>
      <w:r w:rsidDel="00000000" w:rsidR="00000000" w:rsidRPr="00000000">
        <w:rPr>
          <w:sz w:val="36"/>
          <w:szCs w:val="36"/>
          <w:rtl w:val="0"/>
        </w:rPr>
        <w:t xml:space="preserve">: Franco Zanette (147.074-7)</w:t>
      </w:r>
    </w:p>
    <w:p w:rsidR="00000000" w:rsidDel="00000000" w:rsidP="00000000" w:rsidRDefault="00000000" w:rsidRPr="00000000">
      <w:pPr>
        <w:pBdr/>
        <w:spacing w:after="0" w:line="240" w:lineRule="auto"/>
        <w:contextualSpacing w:val="0"/>
        <w:rPr>
          <w:sz w:val="36"/>
          <w:szCs w:val="36"/>
        </w:rPr>
      </w:pPr>
      <w:r w:rsidDel="00000000" w:rsidR="00000000" w:rsidRPr="00000000">
        <w:rPr>
          <w:b w:val="1"/>
          <w:sz w:val="36"/>
          <w:szCs w:val="36"/>
          <w:u w:val="single"/>
          <w:rtl w:val="0"/>
        </w:rPr>
        <w:t xml:space="preserve">Institución</w:t>
      </w:r>
      <w:r w:rsidDel="00000000" w:rsidR="00000000" w:rsidRPr="00000000">
        <w:rPr>
          <w:sz w:val="36"/>
          <w:szCs w:val="36"/>
          <w:rtl w:val="0"/>
        </w:rPr>
        <w:t xml:space="preserve">: UTN-FRBA</w:t>
      </w:r>
    </w:p>
    <w:p w:rsidR="00000000" w:rsidDel="00000000" w:rsidP="00000000" w:rsidRDefault="00000000" w:rsidRPr="00000000">
      <w:pPr>
        <w:pBdr/>
        <w:spacing w:after="0" w:line="240" w:lineRule="auto"/>
        <w:contextualSpacing w:val="0"/>
        <w:rPr>
          <w:sz w:val="36"/>
          <w:szCs w:val="36"/>
        </w:rPr>
      </w:pPr>
      <w:r w:rsidDel="00000000" w:rsidR="00000000" w:rsidRPr="00000000">
        <w:rPr>
          <w:b w:val="1"/>
          <w:sz w:val="36"/>
          <w:szCs w:val="36"/>
          <w:u w:val="single"/>
          <w:rtl w:val="0"/>
        </w:rPr>
        <w:t xml:space="preserve">TP:</w:t>
      </w:r>
      <w:r w:rsidDel="00000000" w:rsidR="00000000" w:rsidRPr="00000000">
        <w:rPr>
          <w:sz w:val="36"/>
          <w:szCs w:val="36"/>
          <w:rtl w:val="0"/>
        </w:rPr>
        <w:t xml:space="preserve"> TP Nº1 “Wikinomics”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b w:val="1"/>
          <w:sz w:val="36"/>
          <w:szCs w:val="36"/>
          <w:u w:val="single"/>
          <w:rtl w:val="0"/>
        </w:rPr>
        <w:t xml:space="preserve">Fecha de Presentación:</w:t>
      </w:r>
      <w:r w:rsidDel="00000000" w:rsidR="00000000" w:rsidRPr="00000000">
        <w:rPr>
          <w:sz w:val="36"/>
          <w:szCs w:val="36"/>
          <w:rtl w:val="0"/>
        </w:rPr>
        <w:t xml:space="preserve"> 03/04/2017</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Desarrolle el concepto “producción entre iguales”.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 concepto “producción entre iguales” hace referencia a la participación de la gente de forma masiva en la innovación y la creación de la riqueza desde todos los sectores de la economía. En este contexto  masas de personas y empresas colaboran abiertamente para potenciar la innovación y el crecimiento en sus sectores.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Dicha realidad es posible debido a la accesibilidad de las tecnologías de información que ponen en manos de las masas los instrumentos necesarios para que ellas puedan colaborar, crear valor y competir.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Enuncie y desarrolle las 4 ideas o componentes en las que se basa la wikinomía.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Dé  un ejemplo de cada una.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Los principios de la wikinomía  son: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Apertura: el principio de apertura refiere a un cambio radical en la manera de pensar y actuar tanto de las empresas y las instituciones como de la sociedad en la cual están inmersas. Las empresas comenzaron a compartir información corporativa, a confiar en recursos humanos externos a su organización, a exponer información de manera transparente que genera confianza en la sociedad y entre sus trabajadores y a participar de en el desarrollo de tecnologías abiertas y colaborativas. En la actualidad, las empresas cuyas fronteras se vuelven porosas a las nuevas ideas, estándares, y tecnologías obtienen mejores resultados que las organizaciones que únicamente confían en recursos y capacidades internas. Ejempl</w:t>
      </w:r>
      <w:r w:rsidDel="00000000" w:rsidR="00000000" w:rsidRPr="00000000">
        <w:rPr>
          <w:rFonts w:ascii="Times New Roman" w:cs="Times New Roman" w:eastAsia="Times New Roman" w:hAnsi="Times New Roman"/>
          <w:sz w:val="24"/>
          <w:szCs w:val="24"/>
          <w:rtl w:val="0"/>
        </w:rPr>
        <w:t xml:space="preserve">o: Linux,es un claro ejemplo de apertura, ya que es un sistema operativo desarrollado de forma colaborativa por programadores.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Producción entre iguales: este concepto refiere a un nuevo tipo de organización empresarial que compite con la típica forma jerárquica de organización. La producción entre iguales trata de una organización horizontal que potencia la autoorganización y permite eliminar el típico modelo jerárquico de “superiores” y “subordinados”. Aquellas personas que forman partes de una producción entre iguales presentan muchas motivaciones distintas para intervenir que van desde la diversión y el altruismo hasta conseguir algo que les reporta el valor directo.  Un ejemplo </w:t>
      </w:r>
      <w:r w:rsidDel="00000000" w:rsidR="00000000" w:rsidRPr="00000000">
        <w:rPr>
          <w:rFonts w:ascii="Times New Roman" w:cs="Times New Roman" w:eastAsia="Times New Roman" w:hAnsi="Times New Roman"/>
          <w:sz w:val="24"/>
          <w:szCs w:val="24"/>
          <w:rtl w:val="0"/>
        </w:rPr>
        <w:t xml:space="preserve">de esto es el portal Wikipedia.</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Compartir: el principio de “Compartir” hace referencia a una nueva economía de la propiedad intelectual que se está imponiendo en la actualidad. Cada vez son más las empresas que descubren que mantener y defender un sistema de propiedad intelectual no libre, casi siempre, paraliza su capacidad de crear valor. De esta forma, dichas empresas tratan a la propiedad intelectual como si fuese un fondo de inversión colectivo en donde protegen lo mínimo e indispensable de sus valores de propiedad intelectual y comparten los demás.  El motor de</w:t>
      </w:r>
      <w:r w:rsidDel="00000000" w:rsidR="00000000" w:rsidRPr="00000000">
        <w:rPr>
          <w:rFonts w:ascii="Times New Roman" w:cs="Times New Roman" w:eastAsia="Times New Roman" w:hAnsi="Times New Roman"/>
          <w:sz w:val="24"/>
          <w:szCs w:val="24"/>
          <w:rtl w:val="0"/>
        </w:rPr>
        <w:t xml:space="preserve"> base de datos MySQL es un ejemplo de esto , ya que una comunidad de programadores compartió el código (en vez de protegerlo) , con el objetivo de que otros programadores colaborarán con el proyecto.</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Actuación global: el principio de actuación global trata acerca de una nueva globalización que es causante, y está causada por los cambios en la colaboración y en la manera de las empresas de organizar la capacidad de innovar y producir las cosas. Las alianzas mundiales, los mercados de capital humano y las comunidades de producción entre iguales le permiten a las empresas el acceso a nuevos mercados, ideas y tecnologías .Para </w:t>
      </w:r>
      <w:r w:rsidDel="00000000" w:rsidR="00000000" w:rsidRPr="00000000">
        <w:rPr>
          <w:rFonts w:ascii="Times New Roman" w:cs="Times New Roman" w:eastAsia="Times New Roman" w:hAnsi="Times New Roman"/>
          <w:sz w:val="24"/>
          <w:szCs w:val="24"/>
          <w:rtl w:val="0"/>
        </w:rPr>
        <w:t xml:space="preserve">llegar</w:t>
      </w:r>
      <w:r w:rsidDel="00000000" w:rsidR="00000000" w:rsidRPr="00000000">
        <w:rPr>
          <w:rFonts w:ascii="Times New Roman" w:cs="Times New Roman" w:eastAsia="Times New Roman" w:hAnsi="Times New Roman"/>
          <w:sz w:val="24"/>
          <w:szCs w:val="24"/>
          <w:vertAlign w:val="baseline"/>
          <w:rtl w:val="0"/>
        </w:rPr>
        <w:t xml:space="preserve"> actuar de  manera global, se deben gestionar los activos personales e intelectuales trascendiendo culturas, disciplinas y fronteras de las organizaciones. </w:t>
        <w:tab/>
        <w:tab/>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Explique y dé ejemplos de la “emergencia”, como consecuencia de la colaboración masiva.</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tabs>
          <w:tab w:val="center" w:pos="4252"/>
        </w:tabs>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emergencia consiste en la creación de atributos, estructuras y capacidades que no son inherentes a ningún nodo de las red  por sí solo. No son ideas nuevas. Un claro ejemplo que reúne las característica emergentes es el precio : en un mercado competitivo , ninguna empresa fija el precio, sino que lo hacen todas de forma colaborativa.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Ejemplos claros de la emergencia son: el descubrimiento científico , las wikis, Google, Amazon.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Qué enunciaba la ley de Coase originalmente. Y ahora, </w:t>
      </w:r>
      <w:r w:rsidDel="00000000" w:rsidR="00000000" w:rsidRPr="00000000">
        <w:rPr>
          <w:rFonts w:ascii="Times New Roman" w:cs="Times New Roman" w:eastAsia="Times New Roman" w:hAnsi="Times New Roman"/>
          <w:sz w:val="24"/>
          <w:szCs w:val="24"/>
          <w:rtl w:val="0"/>
        </w:rPr>
        <w:t xml:space="preserve">qué</w:t>
      </w:r>
      <w:r w:rsidDel="00000000" w:rsidR="00000000" w:rsidRPr="00000000">
        <w:rPr>
          <w:rFonts w:ascii="Times New Roman" w:cs="Times New Roman" w:eastAsia="Times New Roman" w:hAnsi="Times New Roman"/>
          <w:sz w:val="24"/>
          <w:szCs w:val="24"/>
          <w:vertAlign w:val="baseline"/>
          <w:rtl w:val="0"/>
        </w:rPr>
        <w:t xml:space="preserve"> implicancias tiene? Explique qué y cuáles son los costos de transacción.</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ley Coase originalmente enunciaba que una empresa tenderá a expandirse hasta que los costos  que supone organizar una transacción adicional dentro de la empresa igualen a los cost</w:t>
      </w:r>
      <w:r w:rsidDel="00000000" w:rsidR="00000000" w:rsidRPr="00000000">
        <w:rPr>
          <w:rFonts w:ascii="Times New Roman" w:cs="Times New Roman" w:eastAsia="Times New Roman" w:hAnsi="Times New Roman"/>
          <w:sz w:val="24"/>
          <w:szCs w:val="24"/>
          <w:rtl w:val="0"/>
        </w:rPr>
        <w:t xml:space="preserve">os</w:t>
      </w:r>
      <w:r w:rsidDel="00000000" w:rsidR="00000000" w:rsidRPr="00000000">
        <w:rPr>
          <w:rFonts w:ascii="Times New Roman" w:cs="Times New Roman" w:eastAsia="Times New Roman" w:hAnsi="Times New Roman"/>
          <w:sz w:val="24"/>
          <w:szCs w:val="24"/>
          <w:vertAlign w:val="baseline"/>
          <w:rtl w:val="0"/>
        </w:rPr>
        <w:t xml:space="preserve"> que implica desempeñar esa misma función en el mercado abierto. Cuando salga más barato realizar una transacción dentro de la empresa, es recomendable hacerlo así; en cambio sí resulta más económico salir al mercado, no hay que intentar hacerlo de forma interna.</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la actualidad, resulta más útil comprender la ley Coase a la inversa: las empresas deben replegarse hasta que el costo que supone realizar una transacción de forma interna no supere el coste que implica realizarla de forma externa. Los costes de transacción siguen existiendo, pero ahora suelen ser más onerosos en las empresas que en el mercado.</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Los costos de transición, originalmente, eran los costos que tenía una empresa cuando decidía desempeñar una función en el mercado abierto , en vez de hacerlo dentro de la empresa. Los costos son: </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Costos de búsqueda</w:t>
      </w:r>
      <w:r w:rsidDel="00000000" w:rsidR="00000000" w:rsidRPr="00000000">
        <w:rPr>
          <w:rFonts w:ascii="Times New Roman" w:cs="Times New Roman" w:eastAsia="Times New Roman" w:hAnsi="Times New Roman"/>
          <w:sz w:val="24"/>
          <w:szCs w:val="24"/>
          <w:vertAlign w:val="baseline"/>
          <w:rtl w:val="0"/>
        </w:rPr>
        <w:t xml:space="preserve">: localizar distintos proveedores y determinar la idoneidad de los bienes que ofrecen.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Costos de contratación</w:t>
      </w:r>
      <w:r w:rsidDel="00000000" w:rsidR="00000000" w:rsidRPr="00000000">
        <w:rPr>
          <w:rFonts w:ascii="Times New Roman" w:cs="Times New Roman" w:eastAsia="Times New Roman" w:hAnsi="Times New Roman"/>
          <w:sz w:val="24"/>
          <w:szCs w:val="24"/>
          <w:vertAlign w:val="baseline"/>
          <w:rtl w:val="0"/>
        </w:rPr>
        <w:t xml:space="preserve">: negociar el precio y contratar las condiciones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Costos de coordinación</w:t>
      </w:r>
      <w:r w:rsidDel="00000000" w:rsidR="00000000" w:rsidRPr="00000000">
        <w:rPr>
          <w:rFonts w:ascii="Times New Roman" w:cs="Times New Roman" w:eastAsia="Times New Roman" w:hAnsi="Times New Roman"/>
          <w:sz w:val="24"/>
          <w:szCs w:val="24"/>
          <w:vertAlign w:val="baseline"/>
          <w:rtl w:val="0"/>
        </w:rPr>
        <w:t xml:space="preserve">: encajar los distintos productos y procesos.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Qué elementos favorecen la producción colaborativa?</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producción colaborativa se ve favorecida por las siguientes razones: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1)La tecnología , la cual dio lugar a la nueva economía, ha cambiado radicalmente los costos y beneficios de producir información y colaborar.</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2)La producción colaborativa resulta eficaz para las empresas en los momentos que deben asignar tiempo y atención a una gran cantidad de tareas.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3)La producción entre pares es muyeficiente para la atracción de talentos de diversas especialidades estén  más o menos dispersos,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4)Las personas que contribuyen disfrutan de la libertad y del hecho de estar formando parte de un proceso de producción entre pares.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 Qué rol juega la “autoselección” en la producción entre pares?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producción entre pares aprovecha las motivaciones voluntarias de las personas que se “autoseleccionan” para llevar a cabo una tarea determinada. De esta forma se realiza una asignación de personas más eficiente que si la decisión de asignar o no a cierta persona estuviese en manos de un tercero. En la mayoría de los casos, cuando las personas se “autoseleccionan” para llevar a cabo una tarea creativa basada en conocimientos, es muy que escojan tareas para las cuales poseen una calificación excelente</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 Bajo qué 3 condiciones se favorece la producción entre iguales?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Este tipo de producción funciona mejor cuando se cumplen</w:t>
      </w:r>
      <w:r w:rsidDel="00000000" w:rsidR="00000000" w:rsidRPr="00000000">
        <w:rPr>
          <w:rFonts w:ascii="Times New Roman" w:cs="Times New Roman" w:eastAsia="Times New Roman" w:hAnsi="Times New Roman"/>
          <w:sz w:val="24"/>
          <w:szCs w:val="24"/>
          <w:rtl w:val="0"/>
        </w:rPr>
        <w:t xml:space="preserve"> por lo menos las siguientes condiciones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el objeto de la producción es información o cultura, una circunstancia que mantiene a un nivel bajo el cost</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vertAlign w:val="baseline"/>
          <w:rtl w:val="0"/>
        </w:rPr>
        <w:t xml:space="preserve">  de participación para las personas que contribuyen;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 las tareas pueden descomponerse en porciones reducidas que los individuos pueden aportar con pequeños incrementos y con independencia de los demás productores. Esto hace que la inversión global en tiempo y energía resulte mínima en comparación con los beneficios que reciben a cambio.</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el cost</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vertAlign w:val="baseline"/>
          <w:rtl w:val="0"/>
        </w:rPr>
        <w:t xml:space="preserve"> de combinar esas porciones  par obtener un producto final terminado, incluyendo aquí el liderazgo y los mecanismos de control de calidad, debe ser bajo.</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pBdr/>
        <w:spacing w:after="0" w:line="240" w:lineRule="auto"/>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sectPr>
      <w:footerReference r:id="rId5"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200" w:before="0" w:line="276" w:lineRule="auto"/>
      <w:ind w:left="0" w:right="0" w:firstLine="0"/>
      <w:contextualSpacing w:val="0"/>
      <w:jc w:val="right"/>
      <w:rPr>
        <w:rFonts w:ascii="Calibri" w:cs="Calibri" w:eastAsia="Calibri" w:hAnsi="Calibri"/>
        <w:b w:val="0"/>
        <w:i w:val="0"/>
        <w:smallCaps w:val="0"/>
        <w:strike w:val="0"/>
        <w:color w:val="000000"/>
        <w:sz w:val="22"/>
        <w:szCs w:val="22"/>
        <w:u w:val="none"/>
        <w:vertAlign w:val="baseline"/>
      </w:rPr>
    </w:pP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pBdr/>
      <w:tabs>
        <w:tab w:val="center" w:pos="4419"/>
        <w:tab w:val="right" w:pos="8838"/>
      </w:tabs>
      <w:spacing w:after="908" w:before="0" w:line="276" w:lineRule="auto"/>
      <w:ind w:left="0" w:right="36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