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2124710</wp:posOffset>
            </wp:positionH>
            <wp:positionV relativeFrom="margin">
              <wp:posOffset>0</wp:posOffset>
            </wp:positionV>
            <wp:extent cx="719455" cy="890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27.350000pt;margin-top:9.850000pt;width:71.800000pt;height:30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643" w:lineRule="exact"/>
                    <w:ind w:left="77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  <w:lang w:val="ar"/>
                    </w:rPr>
                    <w:t xml:space="preserve">١١١١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rtl/>
                      <w:lang w:bidi="ar"/>
                    </w:rPr>
                    <w:t xml:space="preserve">/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ar"/>
                    </w:rPr>
                    <w:t xml:space="preserve">١l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44.400000pt;margin-top:51.600000pt;width:36.750000pt;height:17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10" w:righ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ar"/>
                    </w:rPr>
                    <w:t xml:space="preserve">2191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150.250000pt;margin-top:70.100000pt;width:95.550000pt;height:24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79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الوقائع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الاسرائيلية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1749425</wp:posOffset>
            </wp:positionH>
            <wp:positionV relativeFrom="margin">
              <wp:posOffset>780415</wp:posOffset>
            </wp:positionV>
            <wp:extent cx="94615" cy="1155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11.350000pt;margin-top:105.100000pt;width:175.500000pt;height:45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835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78"/>
                      <w:szCs w:val="78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78"/>
                      <w:szCs w:val="7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78"/>
                      <w:szCs w:val="78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78"/>
                      <w:szCs w:val="7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296.150000pt;margin-top:184.100000pt;width:100.600000pt;height:18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7" coordsize="21600,21600" o:spt="202" path="m,l,21600r21600,l21600,xe"/>
          <v:shape id="sh_0_7" type="#st_0_7" stroked="f" filled="f" style="position:absolute;margin-left:176.650000pt;margin-top:176.150000pt;width:58.350000pt;height:26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442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العد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ar"/>
                    </w:rPr>
                    <w:t xml:space="preserve">اكر٧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8" coordsize="21600,21600" o:spt="202" path="m,l,21600r21600,l21600,xe"/>
          <v:shape id="sh_0_8" type="#st_0_8" stroked="f" filled="f" style="position:absolute;margin-left:0.000000pt;margin-top:184.100000pt;width:127.950000pt;height:18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9" coordsize="21600,21600" o:spt="202" path="m,l,21600r21600,l21600,xe"/>
          <v:shape id="sh_0_9" type="#st_0_9" stroked="f" filled="f" style="position:absolute;margin-left:1.200000pt;margin-top:207.850000pt;width:233.350000pt;height:19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940"/>
                    </w:tabs>
                    <w:spacing w:after="0" w:line="336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المحتويات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2/٩١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الصفحة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0" coordsize="21600,21600" o:spt="202" path="m,l,21600r21600,l21600,xe"/>
          <v:shape id="sh_0_10" type="#st_0_10" stroked="f" filled="f" style="position:absolute;margin-left:6.500000pt;margin-top:243.100000pt;width:390.550000pt;height:118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right" w:leader="none" w:pos="7747"/>
                    </w:tabs>
                    <w:spacing w:after="0" w:line="288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المحافظة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النظافة(تعديل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رقم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ab/>
                    <w:t xml:space="preserve">١٥٤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7747"/>
                    </w:tabs>
                    <w:spacing w:after="0" w:line="499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المحلية(الانتخابات)(تعديل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رقم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ab/>
                    <w:t xml:space="preserve">١٥٤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7742"/>
                    </w:tabs>
                    <w:spacing w:after="0" w:line="490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التأمين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الوطني(تعديل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رقم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)(تعديل)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ab/>
                    <w:t xml:space="preserve">١٥٦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7747"/>
                    </w:tabs>
                    <w:spacing w:after="0" w:line="499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المساعدة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القضائية(تعديل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رقم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ab/>
                    <w:t xml:space="preserve">١٥٦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7747"/>
                    </w:tabs>
                    <w:spacing w:after="0" w:line="499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التأمين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الصحي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الرسمي(تعديل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رقم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ab/>
                    <w:t xml:space="preserve">١٥٧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485" w:right="983" w:bottom="360" w:left="334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17" w:lineRule="exact"/>
        <w:ind w:left="1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المحافظة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على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النظافة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١٢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</w:t>
      </w:r>
      <w:r>
        <w:rPr>
          <w:rFonts w:ascii="Arial" w:eastAsia="Arial" w:hAnsi="Arial" w:cs="Arial"/>
          <w:sz w:val="30"/>
          <w:szCs w:val="30"/>
          <w:lang w:val="ar"/>
        </w:rPr>
        <w:t xml:space="preserve">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94" w:lineRule="exact"/>
        <w:ind w:left="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</w:t>
      </w:r>
      <w:r>
        <w:rPr>
          <w:rFonts w:ascii="Arial" w:eastAsia="Arial" w:hAnsi="Arial" w:cs="Arial"/>
          <w:sz w:val="30"/>
          <w:szCs w:val="30"/>
          <w:lang w:val="ar"/>
        </w:rPr>
        <w:t xml:space="preserve">-بعد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٢١</w:t>
      </w:r>
      <w:r>
        <w:rPr>
          <w:rFonts w:ascii="Arial" w:eastAsia="Arial" w:hAnsi="Arial" w:cs="Arial"/>
          <w:sz w:val="30"/>
          <w:szCs w:val="30"/>
          <w:lang w:val="ar"/>
        </w:rPr>
        <w:t xml:space="preserve">أ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المحافظة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على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النظافة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٥٧٤٤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١٩٨٤</w:t>
      </w:r>
      <w:r>
        <w:rPr>
          <w:rFonts w:ascii="Arial" w:eastAsia="Arial" w:hAnsi="Arial" w:cs="Arial"/>
          <w:sz w:val="30"/>
          <w:szCs w:val="30"/>
          <w:lang w:val="ar"/>
        </w:rPr>
        <w:t xml:space="preserve">'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يحل: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</w:t>
      </w:r>
      <w:r>
        <w:rPr>
          <w:rFonts w:ascii="Arial" w:eastAsia="Arial" w:hAnsi="Arial" w:cs="Arial"/>
          <w:sz w:val="20"/>
          <w:szCs w:val="20"/>
          <w:lang w:val="ar"/>
        </w:rPr>
        <w:t xml:space="preserve">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82" w:lineRule="atLeast"/>
        <w:rPr>
          <w:sz w:val="9"/>
        </w:rPr>
        <w:sectPr>
          <w:type w:val="continuous"/>
          <w:pgSz w:w="12240" w:h="15840"/>
          <w:pgMar w:top="542" w:right="3621" w:bottom="360" w:left="594" w:header="0" w:footer="0" w:gutter="0"/>
          <w:cols w:num="2" w:equalWidth="0">
            <w:col w:w="6715" w:space="562"/>
            <w:col w:w="749"/>
          </w:cols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20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ب-(أ)يعين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قطريا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تكثيف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المفتوحة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نيسان(حسب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التقويم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العبري).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0" w:right="0" w:firstLine="12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القطري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أرجاء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معسكرات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والمؤسسات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ثقافية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وايضاحية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تصنيع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النفايات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والمشاركة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"يوم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النظافة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القطري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52" w:lineRule="atLeast"/>
        <w:rPr>
          <w:sz w:val="27"/>
        </w:rPr>
        <w:sectPr>
          <w:type w:val="continuous"/>
          <w:pgSz w:w="12240" w:h="15840"/>
          <w:pgMar w:top="542" w:right="4960" w:bottom="360" w:left="421" w:header="0" w:footer="0" w:gutter="0"/>
          <w:cols w:num="2" w:equalWidth="0">
            <w:col w:w="5779" w:space="595"/>
            <w:col w:w="485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192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غدعون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عزرا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98" w:lineRule="exact"/>
        <w:ind w:left="0" w:right="557" w:firstLine="8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41" w:lineRule="exact"/>
        <w:ind w:left="547" w:right="0" w:firstLine="11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  <w:r>
        <w:br w:type="column"/>
      </w:r>
    </w:p>
    <w:p>
      <w:pPr>
        <w:pStyle w:val="Style"/>
        <w:spacing w:after="0" w:line="346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38" w:lineRule="atLeast"/>
        <w:rPr>
          <w:sz w:val="31"/>
        </w:rPr>
        <w:sectPr>
          <w:type w:val="continuous"/>
          <w:pgSz w:w="12240" w:h="15840"/>
          <w:pgMar w:top="542" w:right="5402" w:bottom="360" w:left="1035" w:header="0" w:footer="0" w:gutter="0"/>
          <w:cols w:num="3" w:equalWidth="0">
            <w:col w:w="1594" w:space="576"/>
            <w:col w:w="1877" w:space="523"/>
            <w:col w:w="1234"/>
          </w:cols>
          <w:docGrid w:linePitch="0"/>
        </w:sectPr>
      </w:pPr>
      <w:r>
        <w:br/>
      </w:r>
    </w:p>
    <w:p>
      <w:pPr>
        <w:pStyle w:val="Style"/>
        <w:spacing w:after="0" w:line="245" w:lineRule="exact"/>
        <w:ind w:left="0" w:right="295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٢٠٠٨/١١/٤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346" w:lineRule="exact"/>
        <w:ind w:left="845" w:right="869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السلطات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المحلية(الانتخابات)(تعديل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٣٩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</w:t>
      </w:r>
      <w:r>
        <w:rPr>
          <w:rFonts w:ascii="Arial" w:eastAsia="Arial" w:hAnsi="Arial" w:cs="Arial"/>
          <w:sz w:val="30"/>
          <w:szCs w:val="30"/>
          <w:lang w:val="ar"/>
        </w:rPr>
        <w:t xml:space="preserve">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94" w:lineRule="exact"/>
        <w:ind w:left="24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السلطات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المحلية(الانتخابات)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٥٧٢٥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١٩٦٥</w:t>
      </w:r>
      <w:r>
        <w:rPr>
          <w:rFonts w:ascii="Arial" w:eastAsia="Arial" w:hAnsi="Arial" w:cs="Arial"/>
          <w:sz w:val="30"/>
          <w:szCs w:val="30"/>
          <w:lang w:val="ar"/>
        </w:rPr>
        <w:t xml:space="preserve">'(فيما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يلي-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الاصلي)-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45" w:lineRule="exact"/>
        <w:ind w:left="43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٢٠٠٨/١١/٤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2208"/>
          <w:tab w:val="left" w:leader="none" w:pos="2770"/>
        </w:tabs>
        <w:spacing w:after="0" w:line="24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٤١٠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21" w:lineRule="exact"/>
        <w:ind w:left="22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20" w:lineRule="atLeast"/>
        <w:rPr>
          <w:sz w:val="106"/>
          <w:szCs w:val="106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920" w:lineRule="atLeast"/>
        <w:rPr>
          <w:sz w:val="96"/>
          <w:szCs w:val="96"/>
        </w:rPr>
      </w:pPr>
    </w:p>
    <w:p>
      <w:pPr>
        <w:pStyle w:val="Style"/>
        <w:spacing w:after="0" w:line="21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42" w:right="3693" w:bottom="360" w:left="570" w:header="0" w:footer="0" w:gutter="0"/>
          <w:cols w:num="2" w:equalWidth="0">
            <w:col w:w="6667" w:space="797"/>
            <w:col w:w="514"/>
          </w:cols>
          <w:docGrid w:linePitch="0"/>
        </w:sectPr>
      </w:pPr>
      <w:r>
        <w:br w:type="page"/>
      </w:r>
    </w:p>
    <w:p>
      <w:pPr>
        <w:pStyle w:val="Style"/>
        <w:spacing w:line="5960" w:lineRule="atLeast"/>
        <w:rPr>
          <w:sz w:val="298"/>
          <w:szCs w:val="298"/>
        </w:rPr>
      </w:pP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مرسوم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التأسيس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80" w:lineRule="atLeast"/>
        <w:rPr>
          <w:sz w:val="59"/>
          <w:szCs w:val="59"/>
        </w:rPr>
      </w:pPr>
    </w:p>
    <w:p>
      <w:pPr>
        <w:pStyle w:val="Style"/>
        <w:spacing w:after="0" w:line="245" w:lineRule="exact"/>
        <w:ind w:left="5" w:right="9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4"/>
          <w:szCs w:val="14"/>
          <w:lang w:val="ar"/>
        </w:rPr>
        <w:t xml:space="preserve">يدع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90" w:lineRule="exact"/>
        <w:ind w:left="667" w:right="139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"الفقرة(ب)"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"الفقرتين(ا/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50" w:lineRule="exact"/>
        <w:ind w:left="221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٠١٤٣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١٤٣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البلديات'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ترشيح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وانتخابه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21" w:lineRule="exact"/>
        <w:ind w:left="21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3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الاقليمية)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322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90" w:lineRule="atLeast"/>
        <w:rPr>
          <w:sz w:val="29"/>
        </w:rPr>
        <w:sectPr>
          <w:type w:val="continuous"/>
          <w:pgSz w:w="12240" w:h="15840"/>
          <w:pgMar w:top="571" w:right="1111" w:bottom="360" w:left="3670" w:header="0" w:footer="0" w:gutter="0"/>
          <w:cols w:num="2" w:equalWidth="0">
            <w:col w:w="504" w:space="192"/>
            <w:col w:w="6763"/>
          </w:cols>
          <w:docGrid w:linePitch="0"/>
        </w:sectPr>
      </w:pPr>
      <w:r>
        <w:br/>
      </w:r>
    </w:p>
    <w:p>
      <w:pPr>
        <w:pStyle w:val="Style"/>
        <w:spacing w:after="0" w:line="3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منير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شطريت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792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07" w:lineRule="exact"/>
        <w:ind w:left="763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pStyle w:val="Style"/>
        <w:spacing w:after="0" w:line="34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90" w:lineRule="atLeast"/>
        <w:rPr>
          <w:sz w:val="24"/>
        </w:rPr>
        <w:sectPr>
          <w:type w:val="continuous"/>
          <w:pgSz w:w="12240" w:h="15840"/>
          <w:pgMar w:top="571" w:right="1485" w:bottom="360" w:left="4990" w:header="0" w:footer="0" w:gutter="0"/>
          <w:cols w:num="3" w:equalWidth="0">
            <w:col w:w="1200" w:space="758"/>
            <w:col w:w="2098" w:space="470"/>
            <w:col w:w="1238"/>
          </w:cols>
          <w:docGrid w:linePitch="0"/>
        </w:sectPr>
      </w:pPr>
      <w:r>
        <w:br/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5" w:right="797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»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٤٩٤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م.أ.سنة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2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,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1" w:right="1145" w:bottom="360" w:left="3209" w:header="0" w:footer="0" w:gutter="0"/>
          <w:cols w:num="2" w:equalWidth="0">
            <w:col w:w="312" w:space="3158"/>
            <w:col w:w="4416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36830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46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840" w:lineRule="atLeast"/>
        <w:rPr>
          <w:sz w:val="42"/>
          <w:szCs w:val="42"/>
        </w:rPr>
      </w:pPr>
      <w:r>
        <w:br w:type="column"/>
      </w:r>
    </w:p>
    <w:p>
      <w:pPr>
        <w:pStyle w:val="Style"/>
        <w:spacing w:after="0" w:line="288" w:lineRule="exact"/>
        <w:ind w:left="145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لا)(تعديل)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792"/>
          <w:tab w:val="left" w:leader="none" w:pos="1882"/>
        </w:tabs>
        <w:spacing w:after="0" w:line="57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</w:p>
    <w:p>
      <w:pPr>
        <w:pStyle w:val="Style"/>
        <w:tabs>
          <w:tab w:val="left" w:leader="none" w:pos="792"/>
          <w:tab w:val="left" w:leader="none" w:pos="2971"/>
          <w:tab w:val="left" w:leader="none" w:pos="5952"/>
          <w:tab w:val="left" w:leader="none" w:pos="6974"/>
          <w:tab w:val="left" w:leader="none" w:pos="7627"/>
        </w:tabs>
        <w:spacing w:after="0" w:line="13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ab/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١٦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=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٠٠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=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- </w:t>
      </w:r>
    </w:p>
    <w:p>
      <w:pPr>
        <w:pStyle w:val="Style"/>
        <w:spacing w:after="0" w:line="245" w:lineRule="exact"/>
        <w:ind w:left="108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18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مخصصا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مؤمنا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وإن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"المؤمن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792"/>
          <w:tab w:val="left" w:leader="none" w:pos="1867"/>
        </w:tabs>
        <w:spacing w:after="0" w:line="58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1٩٩٦/١/١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</w:p>
    <w:p>
      <w:pPr>
        <w:pStyle w:val="Style"/>
        <w:spacing w:line="163" w:lineRule="atLeast"/>
        <w:rPr>
          <w:sz w:val="8"/>
        </w:rPr>
        <w:sectPr>
          <w:type w:val="continuous"/>
          <w:pgSz w:w="12240" w:h="15840"/>
          <w:pgMar w:top="360" w:right="3912" w:bottom="360" w:left="0" w:header="0" w:footer="0" w:gutter="0"/>
          <w:cols w:num="2" w:equalWidth="0">
            <w:col w:w="58" w:space="288"/>
            <w:col w:w="7982"/>
          </w:cols>
          <w:docGrid w:linePitch="0"/>
        </w:sectPr>
      </w:pPr>
      <w:r>
        <w:br/>
      </w:r>
    </w:p>
    <w:p>
      <w:pPr>
        <w:pStyle w:val="Style"/>
        <w:spacing w:after="0" w:line="288" w:lineRule="exact"/>
        <w:ind w:left="82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هرصوغ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الرفاه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الاجتماعية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58" w:lineRule="atLeast"/>
        <w:rPr>
          <w:sz w:val="7"/>
        </w:rPr>
        <w:sectPr>
          <w:type w:val="continuous"/>
          <w:pgSz w:w="12240" w:h="15840"/>
          <w:pgMar w:top="360" w:right="6883" w:bottom="360" w:left="365" w:header="0" w:footer="0" w:gutter="0"/>
          <w:cols w:num="2" w:equalWidth="0">
            <w:col w:w="3005" w:space="667"/>
            <w:col w:w="1320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79" w:lineRule="atLeast"/>
        <w:rPr>
          <w:sz w:val="18"/>
        </w:rPr>
        <w:sectPr>
          <w:type w:val="continuous"/>
          <w:pgSz w:w="12240" w:h="15840"/>
          <w:pgMar w:top="360" w:right="5347" w:bottom="360" w:left="3067" w:header="0" w:footer="0" w:gutter="0"/>
          <w:cols w:num="2" w:equalWidth="0">
            <w:col w:w="1339" w:space="1243"/>
            <w:col w:w="1243"/>
          </w:cols>
          <w:docGrid w:linePitch="0"/>
        </w:sectPr>
      </w:pPr>
      <w:r>
        <w:br/>
      </w:r>
    </w:p>
    <w:p>
      <w:pPr>
        <w:pStyle w:val="Style"/>
        <w:spacing w:after="0" w:line="226" w:lineRule="exact"/>
        <w:ind w:left="0" w:right="316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٢٨١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480" w:lineRule="exact"/>
        <w:ind w:left="120" w:right="0" w:firstLine="461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ا-تلغى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١٩٧٢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17" w:lineRule="exact"/>
        <w:ind w:left="13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أ(ا)(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i٣٧٥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  <w:r>
        <w:br w:type="column"/>
      </w:r>
    </w:p>
    <w:p>
      <w:pPr>
        <w:pStyle w:val="Style"/>
        <w:spacing w:after="0" w:line="27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64" w:lineRule="exact"/>
        <w:ind w:left="10" w:right="1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2" w:lineRule="atLeast"/>
        <w:rPr>
          <w:sz w:val="16"/>
        </w:rPr>
        <w:sectPr>
          <w:type w:val="continuous"/>
          <w:pgSz w:w="12240" w:h="15840"/>
          <w:pgMar w:top="360" w:right="3912" w:bottom="360" w:left="355" w:header="0" w:footer="0" w:gutter="0"/>
          <w:cols w:num="2" w:equalWidth="0">
            <w:col w:w="6888" w:space="571"/>
            <w:col w:w="514"/>
          </w:cols>
          <w:docGrid w:linePitch="0"/>
        </w:sectPr>
      </w:pPr>
      <w:r>
        <w:br/>
      </w:r>
    </w:p>
    <w:p>
      <w:pPr>
        <w:pStyle w:val="Style"/>
        <w:spacing w:after="0" w:line="350" w:lineRule="exact"/>
        <w:ind w:left="1128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07" w:lineRule="exact"/>
        <w:ind w:left="0" w:right="1147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1219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1" w:lineRule="exact"/>
        <w:ind w:left="77" w:right="130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13" w:lineRule="atLeast"/>
        <w:rPr>
          <w:sz w:val="20"/>
        </w:rPr>
        <w:sectPr>
          <w:type w:val="continuous"/>
          <w:pgSz w:w="12240" w:h="15840"/>
          <w:pgMar w:top="360" w:right="5678" w:bottom="360" w:left="1195" w:header="0" w:footer="0" w:gutter="0"/>
          <w:cols w:num="2" w:equalWidth="0">
            <w:col w:w="2482" w:space="350"/>
            <w:col w:w="2534"/>
          </w:cols>
          <w:docGrid w:linePitch="0"/>
        </w:sectPr>
      </w:pPr>
      <w:r>
        <w:br/>
      </w:r>
    </w:p>
    <w:p>
      <w:pPr>
        <w:pStyle w:val="Style"/>
        <w:spacing w:after="0" w:line="235" w:lineRule="exact"/>
        <w:ind w:left="0" w:right="30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١٧١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11" w:lineRule="exact"/>
        <w:ind w:left="22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20" w:lineRule="atLeast"/>
        <w:rPr>
          <w:sz w:val="46"/>
          <w:szCs w:val="46"/>
        </w:rPr>
      </w:pPr>
      <w:r>
        <w:br w:type="column"/>
      </w:r>
    </w:p>
    <w:p>
      <w:pPr>
        <w:pStyle w:val="Style"/>
        <w:spacing w:after="0" w:line="211" w:lineRule="exact"/>
        <w:ind w:left="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922" w:bottom="360" w:left="360" w:header="0" w:footer="0" w:gutter="0"/>
          <w:cols w:num="2" w:equalWidth="0">
            <w:col w:w="6734" w:space="869"/>
            <w:col w:w="355"/>
          </w:cols>
          <w:docGrid w:linePitch="0"/>
        </w:sectPr>
      </w:pPr>
      <w:r>
        <w:br w:type="page"/>
      </w:r>
    </w:p>
    <w:p>
      <w:pPr>
        <w:pStyle w:val="Style"/>
        <w:spacing w:line="12380" w:lineRule="atLeast"/>
        <w:rPr>
          <w:sz w:val="619"/>
          <w:szCs w:val="619"/>
        </w:rPr>
      </w:pP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2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14" w:after="0" w:line="86" w:lineRule="exact"/>
        <w:ind w:left="2491" w:right="4008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8"/>
          <w:szCs w:val="8"/>
          <w:lang w:val="ar"/>
        </w:rPr>
        <w:t xml:space="preserve">٠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٩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٠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م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98" w:lineRule="exact"/>
        <w:ind w:left="14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الرسمي(تعديل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4٣</w:t>
      </w:r>
      <w:r>
        <w:rPr>
          <w:rFonts w:ascii="Arial" w:eastAsia="Arial" w:hAnsi="Arial" w:cs="Arial"/>
          <w:sz w:val="28"/>
          <w:szCs w:val="28"/>
          <w:lang w:val="ar"/>
        </w:rPr>
        <w:t xml:space="preserve">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70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١٩٩٤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3" w:lineRule="exact"/>
        <w:ind w:left="104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التخصصات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/\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تشخيصهم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التوحدية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مرشد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التصنيف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والتشخيص-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DSM-4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مارسوا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مطور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48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التوحدية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97" w:after="0" w:line="298" w:lineRule="exact"/>
        <w:ind w:left="1723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6" w:lineRule="exact"/>
        <w:ind w:left="1699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التخصصات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المعالج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بالعوامل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ومعالج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التواصل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والمعالج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بالانشغال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الاسبوع".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384"/>
          <w:tab w:val="left" w:leader="none" w:pos="926"/>
        </w:tabs>
        <w:spacing w:after="0" w:line="23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٢٨٠ </w:t>
      </w:r>
    </w:p>
    <w:p>
      <w:pPr>
        <w:pStyle w:val="Style"/>
        <w:spacing w:line="1540" w:lineRule="atLeast"/>
        <w:rPr>
          <w:sz w:val="77"/>
          <w:szCs w:val="77"/>
        </w:rPr>
      </w:pPr>
    </w:p>
    <w:p>
      <w:pPr>
        <w:pStyle w:val="Style"/>
        <w:spacing w:after="0" w:line="216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06" w:right="1370" w:bottom="360" w:left="2964" w:header="0" w:footer="0" w:gutter="0"/>
          <w:cols w:num="3" w:equalWidth="0">
            <w:col w:w="317" w:space="355"/>
            <w:col w:w="346" w:space="216"/>
            <w:col w:w="6672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0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l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٢٠٠٩/١/١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٥٧٧٠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الأسبوع.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٥٧٧٢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٢٠١١/١٢/٣١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بعضهم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بعضها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41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فاتورة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صرفه.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36" w:lineRule="exact"/>
        <w:ind w:left="211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مسبقًا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باعتباره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مشمولا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بالترتيبات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المعقودة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46" w:lineRule="exact"/>
        <w:ind w:left="72" w:right="0" w:firstLine="85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بدء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وحكم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98" w:lineRule="atLeast"/>
        <w:rPr>
          <w:sz w:val="19"/>
        </w:rPr>
        <w:sectPr>
          <w:type w:val="continuous"/>
          <w:pgSz w:w="12240" w:h="15840"/>
          <w:pgMar w:top="605" w:right="829" w:bottom="360" w:left="3438" w:header="0" w:footer="0" w:gutter="0"/>
          <w:cols w:num="2" w:equalWidth="0">
            <w:col w:w="6662" w:space="898"/>
            <w:col w:w="413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يعقوب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614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07" w:lineRule="exact"/>
        <w:ind w:left="600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60" w:lineRule="atLeast"/>
        <w:rPr>
          <w:sz w:val="48"/>
          <w:szCs w:val="48"/>
        </w:rPr>
      </w:pPr>
      <w:r>
        <w:br w:type="column"/>
      </w:r>
    </w:p>
    <w:p>
      <w:pPr>
        <w:pStyle w:val="Style"/>
        <w:spacing w:after="0" w:line="350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71" w:lineRule="atLeast"/>
        <w:rPr>
          <w:sz w:val="28"/>
        </w:rPr>
        <w:sectPr>
          <w:type w:val="continuous"/>
          <w:pgSz w:w="12240" w:h="15840"/>
          <w:pgMar w:top="605" w:right="2696" w:bottom="360" w:left="3894" w:header="0" w:footer="0" w:gutter="0"/>
          <w:cols w:num="3" w:equalWidth="0">
            <w:col w:w="1502" w:space="538"/>
            <w:col w:w="1925" w:space="461"/>
            <w:col w:w="1224"/>
          </w:cols>
          <w:docGrid w:linePitch="0"/>
        </w:sectPr>
      </w:pPr>
      <w:r>
        <w:br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382"/>
          <w:tab w:val="left" w:leader="none" w:pos="7934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59" w:lineRule="exact"/>
        <w:ind w:left="21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57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2191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٢o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72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١٥٨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ار</w:t>
      </w:r>
      <w:r>
        <w:rPr>
          <w:rFonts w:ascii="Arial" w:eastAsia="Arial" w:hAnsi="Arial" w:cs="Arial"/>
          <w:sz w:val="20"/>
          <w:szCs w:val="20"/>
          <w:lang w:val="ar"/>
        </w:rPr>
        <w:t xml:space="preserve">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1" w:lineRule="atLeast"/>
        <w:rPr>
          <w:sz w:val="4"/>
        </w:rPr>
        <w:sectPr>
          <w:type w:val="continuous"/>
          <w:pgSz w:w="12240" w:h="15840"/>
          <w:pgMar w:top="605" w:right="862" w:bottom="360" w:left="3419" w:header="0" w:footer="0" w:gutter="0"/>
          <w:cols w:num="2" w:equalWidth="0">
            <w:col w:w="4430" w:space="2006"/>
            <w:col w:w="1522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4023360" cy="9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05" w:right="152" w:bottom="360" w:left="575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g"/><Relationship Id="rId11" Type="http://schemas.openxmlformats.org/officeDocument/2006/relationships/image" Target="media/image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219-02-2019-001087</dc:title>
  <cp:keywords>CreatedByIRIS_Readiris_17.3</cp:keywords>
  <cp:revision>1</cp:revision>
  <dcterms:created xsi:type="dcterms:W3CDTF">2022-03-22T18:20:23+02:00</dcterms:created>
  <dcterms:modified xsi:type="dcterms:W3CDTF">2022-03-22T18:20:23+02:00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