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after="0" w:line="173" w:lineRule="exact"/>
        <w:ind w:left="151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4"/>
          <w:szCs w:val="24"/>
          <w:lang w:val="ar"/>
        </w:rPr>
        <w:t xml:space="preserve">٦</w:t>
      </w:r>
      <w:r>
        <w:rPr>
          <w:rFonts w:ascii="Arial" w:eastAsia="Arial" w:hAnsi="Arial" w:cs="Arial"/>
          <w:sz w:val="24"/>
          <w:szCs w:val="24"/>
          <w:lang w:val="ar"/>
        </w:rPr>
        <w:t xml:space="preserve">-د-سه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  <w:r>
        <w:rPr>
          <w:rFonts w:ascii="Arial" w:eastAsia="Arial" w:hAnsi="Arial" w:cs="Arial"/>
          <w:sz w:val="24"/>
          <w:szCs w:val="24"/>
          <w:lang w:val="ar"/>
        </w:rPr>
        <w:t xml:space="preserve">-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78" w:right="4314" w:bottom="360" w:left="3457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514" w:lineRule="exact"/>
        <w:ind w:left="16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8"/>
          <w:szCs w:val="38"/>
          <w:lang w:val="ar"/>
        </w:rPr>
        <w:t xml:space="preserve">١/١١١Il</w:t>
      </w:r>
      <w:r>
        <w:rPr>
          <w:rFonts w:ascii="Arial" w:eastAsia="Arial" w:hAnsi="Arial" w:cs="Arial"/>
          <w:sz w:val="38"/>
          <w:szCs w:val="38"/>
          <w:lang w:val="ar"/>
        </w:rPr>
        <w:t xml:space="preserve">ا</w:t>
      </w:r>
      <w:r>
        <w:rPr>
          <w:rFonts w:ascii="Arial" w:eastAsia="Arial" w:hAnsi="Arial" w:cs="Arial"/>
          <w:sz w:val="38"/>
          <w:szCs w:val="38"/>
          <w:lang w:val="ar"/>
        </w:rPr>
        <w:t xml:space="preserve">/ </w:t>
      </w:r>
      <w:r>
        <w:rPr>
          <w:rFonts w:ascii="Arial" w:eastAsia="Arial" w:hAnsi="Arial" w:cs="Arial"/>
          <w:sz w:val="38"/>
          <w:szCs w:val="3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46" w:lineRule="exact"/>
        <w:ind w:left="360" w:right="1958" w:firstLine="0"/>
        <w:textAlignment w:val="baseline"/>
      </w:pPr>
      <w:r>
        <w:rPr>
          <w:rFonts w:ascii="Arial" w:eastAsia="Arial" w:hAnsi="Arial" w:cs="Arial"/>
          <w:sz w:val="34"/>
          <w:szCs w:val="34"/>
          <w:lang w:val="ar"/>
        </w:rPr>
        <w:t xml:space="preserve">2193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125" w:lineRule="exact"/>
        <w:ind w:left="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 xml:space="preserve">"د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719455" cy="89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78" w:right="4496" w:bottom="360" w:left="3404" w:header="0" w:footer="0" w:gutter="0"/>
          <w:cols w:num="2" w:equalWidth="0">
            <w:col w:w="3014" w:space="192"/>
            <w:col w:w="1133"/>
          </w:cols>
          <w:docGrid w:linePitch="0"/>
        </w:sectPr>
      </w:pPr>
      <w:r>
        <w:br/>
      </w:r>
    </w:p>
    <w:p>
      <w:pPr>
        <w:pStyle w:val="Style"/>
        <w:spacing w:after="0" w:line="379" w:lineRule="exact"/>
        <w:ind w:left="826" w:right="1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8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pStyle w:val="Style"/>
        <w:spacing w:line="317" w:lineRule="atLeast"/>
        <w:rPr>
          <w:sz w:val="15"/>
        </w:rPr>
        <w:sectPr>
          <w:type w:val="continuous"/>
          <w:pgSz w:w="12240" w:h="15840"/>
          <w:pgMar w:top="878" w:right="3258" w:bottom="360" w:left="3323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3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283" w:lineRule="exact"/>
        <w:ind w:left="1963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720" w:lineRule="exact"/>
        <w:ind w:left="19" w:right="763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68"/>
          <w:szCs w:val="68"/>
          <w:lang w:val="ar"/>
        </w:rPr>
        <w:t xml:space="preserve">ه </w:t>
      </w:r>
      <w:r>
        <w:rPr>
          <w:rFonts w:ascii="Arial" w:eastAsia="Arial" w:hAnsi="Arial" w:cs="Arial"/>
          <w:sz w:val="68"/>
          <w:szCs w:val="68"/>
          <w:lang w:val="ar"/>
        </w:rPr>
        <w:t xml:space="preserve"> </w:t>
      </w:r>
      <w:r>
        <w:rPr>
          <w:rFonts w:ascii="Arial" w:eastAsia="Arial" w:hAnsi="Arial" w:cs="Arial"/>
          <w:sz w:val="68"/>
          <w:szCs w:val="68"/>
          <w:lang w:val="ar"/>
        </w:rPr>
        <w:t xml:space="preserve">«٦ </w:t>
      </w:r>
      <w:r>
        <w:rPr>
          <w:rFonts w:ascii="Arial" w:eastAsia="Arial" w:hAnsi="Arial" w:cs="Arial"/>
          <w:sz w:val="68"/>
          <w:szCs w:val="68"/>
          <w:lang w:val="ar"/>
        </w:rPr>
        <w:t xml:space="preserve">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37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المحتويات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93</w:t>
      </w:r>
      <w:r>
        <w:rPr>
          <w:rFonts w:ascii="Arial" w:eastAsia="Arial" w:hAnsi="Arial" w:cs="Arial"/>
          <w:sz w:val="34"/>
          <w:szCs w:val="34"/>
          <w:lang w:val="ar"/>
        </w:rPr>
        <w:t xml:space="preserve">\</w:t>
      </w:r>
      <w:r>
        <w:rPr>
          <w:rFonts w:ascii="Arial" w:eastAsia="Arial" w:hAnsi="Arial" w:cs="Arial"/>
          <w:sz w:val="34"/>
          <w:szCs w:val="34"/>
          <w:lang w:val="ar"/>
        </w:rPr>
        <w:t xml:space="preserve">2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6" w:lineRule="atLeast"/>
        <w:rPr>
          <w:sz w:val="29"/>
        </w:rPr>
        <w:sectPr>
          <w:type w:val="continuous"/>
          <w:pgSz w:w="12240" w:h="15840"/>
          <w:pgMar w:top="878" w:right="1055" w:bottom="360" w:left="3289" w:header="0" w:footer="0" w:gutter="0"/>
          <w:cols w:num="3" w:equalWidth="0">
            <w:col w:w="2674" w:space="14"/>
            <w:col w:w="1958" w:space="1267"/>
            <w:col w:w="1982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توحيد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الكروم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768"/>
          <w:tab w:val="left" w:leader="none" w:pos="7627"/>
        </w:tabs>
        <w:spacing w:after="0" w:line="32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والبعنة)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٢٠٢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878" w:right="1045" w:bottom="360" w:left="3428" w:header="0" w:footer="0" w:gutter="0"/>
          <w:cols w:num="1" w:equalWidth="1"/>
          <w:docGrid w:linePitch="0"/>
        </w:sectPr>
      </w:pPr>
      <w:r>
        <w:br w:type="page"/>
      </w:r>
    </w:p>
    <w:p>
      <w:pPr>
        <w:ind w:left="5976"/>
        <w:pStyle w:val="Style"/>
        <w:spacing w:line="1" w:lineRule="atLeast"/>
      </w:pPr>
      <w:r>
        <w:drawing>
          <wp:inline>
            <wp:extent cx="207010" cy="5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after="0" w:line="398" w:lineRule="exact"/>
        <w:ind w:left="1469" w:right="182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السلطات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المحلية(الغاء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توحيد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المجالس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مجد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الكروم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ودير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الاسد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والبعنة)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</w:t>
      </w:r>
      <w:r>
        <w:rPr>
          <w:rFonts w:ascii="Arial" w:eastAsia="Arial" w:hAnsi="Arial" w:cs="Arial"/>
          <w:sz w:val="30"/>
          <w:szCs w:val="30"/>
          <w:lang w:val="ar"/>
        </w:rPr>
        <w:t xml:space="preserve">·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tabs>
          <w:tab w:val="left" w:leader="none" w:pos="840"/>
          <w:tab w:val="left" w:leader="none" w:pos="2160"/>
        </w:tabs>
        <w:spacing w:after="0" w:line="259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</w:p>
    <w:p>
      <w:pPr>
        <w:pStyle w:val="Style"/>
        <w:spacing w:after="0" w:line="480" w:lineRule="exact"/>
        <w:ind w:left="13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"الانتخابات"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50" w:lineRule="exact"/>
        <w:ind w:left="18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" w:after="0" w:line="451" w:lineRule="exact"/>
        <w:ind w:left="1334" w:right="19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٥٧٦٤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٢٠٠٣/١٠/٢٧</w:t>
      </w:r>
      <w:r>
        <w:rPr>
          <w:rFonts w:ascii="Arial" w:eastAsia="Arial" w:hAnsi="Arial" w:cs="Arial"/>
          <w:sz w:val="28"/>
          <w:szCs w:val="28"/>
          <w:lang w:val="ar"/>
        </w:rPr>
        <w:t xml:space="preserve">)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الشاغور.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3" w:after="0" w:line="456" w:lineRule="exact"/>
        <w:ind w:left="1339" w:right="20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"الوزير"-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70" w:lineRule="atLeast"/>
        <w:rPr>
          <w:sz w:val="23"/>
        </w:rPr>
        <w:sectPr>
          <w:type w:val="continuous"/>
          <w:pgSz w:w="12240" w:h="15840"/>
          <w:pgMar w:top="984" w:right="3101" w:bottom="360" w:left="1176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36" w:lineRule="exact"/>
        <w:ind w:left="0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الكروم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والبعنة(في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وابتداء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336" w:lineRule="exact"/>
        <w:ind w:left="5" w:right="3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الثلاثاء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بتسعين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60" w:lineRule="exact"/>
        <w:ind w:left="19" w:right="0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لأغراض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المحلية(الانتخابات)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١٩٦٥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50" w:lineRule="exact"/>
        <w:ind w:left="3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المادة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٤</w:t>
      </w:r>
      <w:r>
        <w:rPr>
          <w:rFonts w:ascii="Arial" w:eastAsia="Arial" w:hAnsi="Arial" w:cs="Arial"/>
          <w:sz w:val="30"/>
          <w:szCs w:val="30"/>
          <w:lang w:val="ar"/>
        </w:rPr>
        <w:t xml:space="preserve">-مع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مراعاة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أحكام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هذا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تظل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للسلطة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الموحدة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شخصية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معنوية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تتمتع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بالأهلية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لكل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التزام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ابتداء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من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تاريخ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بدء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السريان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وحتى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بدء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ولاية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المجالس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ورؤساء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المجالس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المحلية،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أيهما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ألحق(في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هذا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القانون-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الفترة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الانتقالية).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45" w:lineRule="exact"/>
        <w:ind w:left="62" w:right="269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1٢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٢٠٠٨/١١/١٠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٤١٠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16" w:lineRule="exact"/>
        <w:ind w:left="22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0" w:lineRule="exact"/>
        <w:ind w:left="10" w:right="17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اعادة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الوضع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القانوني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لسلطات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محلية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معينة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182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الانتخابات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00" w:lineRule="atLeast"/>
        <w:rPr>
          <w:sz w:val="120"/>
          <w:szCs w:val="120"/>
        </w:rPr>
      </w:pPr>
    </w:p>
    <w:p>
      <w:pPr>
        <w:pStyle w:val="Style"/>
        <w:spacing w:after="0" w:line="240" w:lineRule="exact"/>
        <w:ind w:left="34" w:right="1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فترة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440" w:lineRule="atLeast"/>
        <w:rPr>
          <w:sz w:val="122"/>
          <w:szCs w:val="122"/>
        </w:rPr>
      </w:pPr>
    </w:p>
    <w:p>
      <w:pPr>
        <w:pStyle w:val="Style"/>
        <w:spacing w:after="0" w:line="211" w:lineRule="exact"/>
        <w:ind w:left="110" w:right="1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984" w:right="3101" w:bottom="360" w:left="1152" w:header="0" w:footer="0" w:gutter="0"/>
          <w:cols w:num="2" w:equalWidth="0">
            <w:col w:w="6658" w:space="677"/>
            <w:col w:w="653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58.800000pt;margin-top:0.000000pt;width:337.000000pt;height:35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2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نهاية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الانتقالية(في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الالغاء)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تلغى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وتنقضي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شخصيتها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المعنوية.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34.100000pt;margin-top:58.300000pt;width:362.950000pt;height:100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2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تنتهي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خدمة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البلدية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ويتولى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تؤدي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مهام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البلدية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ورؤساء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ألحق،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انتخابهم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الغرض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١٤٥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البلديات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بالتغييرات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rtl/>
                      <w:lang w:bidi="ar"/>
                    </w:rPr>
                    <w:t xml:space="preserve">المقتضاة.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58.100000pt;margin-top:170.650000pt;width:338.950000pt;height:51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2" w:lineRule="exact"/>
                    <w:ind w:left="14" w:right="24" w:firstLine="86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عضوا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بمقتضى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المعينة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أعضائها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التوقف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وظيفته.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58.100000pt;margin-top:245.300000pt;width:339.400000pt;height:51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بمراعاة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توزيع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أموال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وحقوقها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وديونها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وتعهداتها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القيام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يتطلبه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الغاؤها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وضمان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توالي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حدود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8.100000pt;margin-top:320.400000pt;width:338.950000pt;height:204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-يصدر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بمرسوم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تعليمات،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يتعلق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بالتغييرات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المترتبة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وانشاء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واللازمة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لضمان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3" w:after="0" w:line="336" w:lineRule="exact"/>
                    <w:ind w:left="19" w:hanging="1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توزيع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الأموال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والحقوق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والديون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والتعهدات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الحقوق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وغير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والتعهدات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المشروطة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والمستقبلية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والمعروفة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وغيراالمعروفة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عشية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المدفوعات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الالزامية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فرضتها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تستوف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حيث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تصبح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ملكا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58" w:after="0" w:line="346" w:lineRule="exact"/>
                    <w:ind w:left="134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تحديد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يخلف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كافة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الإجراءات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معلقة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عشية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24.000000pt;margin-top:0.950000pt;width:25.000000pt;height:35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31.450000pt;margin-top:73.900000pt;width:17.800000pt;height:8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30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معينة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7" coordsize="21600,21600" o:spt="202" path="m,l,21600r21600,l21600,xe"/>
          <v:shape id="sh_2_7" type="#st_2_7" stroked="f" filled="f" style="position:absolute;margin-left:16.550000pt;margin-top:245.750000pt;width:33.150000pt;height:2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9" w:lineRule="exact"/>
                    <w:ind w:left="0" w:right="11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صلاحية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8" coordsize="21600,21600" o:spt="202" path="m,l,21600r21600,l21600,xe"/>
          <v:shape id="sh_2_8" type="#st_2_8" stroked="f" filled="f" style="position:absolute;margin-left:16.300000pt;margin-top:320.900000pt;width:33.150000pt;height:83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بشان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توزيع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الأموال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والحقوق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والديون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والتعهدات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9" coordsize="21600,21600" o:spt="202" path="m,l,21600r21600,l21600,xe"/>
          <v:shape id="sh_2_9" type="#st_2_9" stroked="f" filled="f" style="position:absolute;margin-left:58.100000pt;margin-top:555.600000pt;width:338.950000pt;height:12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اسرائيل،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نص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جديد،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العدد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٣٨٧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0" coordsize="21600,21600" o:spt="202" path="m,l,21600r21600,l21600,xe"/>
          <v:shape id="sh_2_10" type="#st_2_10" stroked="f" filled="f" style="position:absolute;margin-left:58.100000pt;margin-top:599.750000pt;width:338.950000pt;height:1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1" coordsize="21600,21600" o:spt="202" path="m,l,21600r21600,l21600,xe"/>
          <v:shape id="sh_2_11" type="#st_2_11" stroked="f" filled="f" style="position:absolute;margin-left:0.000000pt;margin-top:599.500000pt;width:16.8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1786255</wp:posOffset>
            </wp:positionH>
            <wp:positionV relativeFrom="margin">
              <wp:posOffset>8354695</wp:posOffset>
            </wp:positionV>
            <wp:extent cx="701040" cy="39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39370"/>
                    </a:xfrm>
                    <a:custGeom>
                      <a:pathLst>
                        <a:path w="1104" h="62">
                          <a:moveTo>
                            <a:pt x="1104" y="0"/>
                          </a:moveTo>
                          <a:lnTo>
                            <a:pt x="0" y="0"/>
                          </a:lnTo>
                          <a:lnTo>
                            <a:pt x="0" y="38"/>
                          </a:lnTo>
                          <a:lnTo>
                            <a:pt x="43" y="38"/>
                          </a:lnTo>
                          <a:lnTo>
                            <a:pt x="43" y="62"/>
                          </a:lnTo>
                          <a:lnTo>
                            <a:pt x="1008" y="62"/>
                          </a:lnTo>
                          <a:lnTo>
                            <a:pt x="1008" y="48"/>
                          </a:lnTo>
                          <a:lnTo>
                            <a:pt x="1104" y="48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96" w:right="1177" w:bottom="360" w:left="3138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555" w:right="39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قائمة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آنذاك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بالعوائد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والضرائب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المساهمة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والمدفوعات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الالزامية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أقامتها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المواعيد.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41" w:lineRule="exact"/>
        <w:ind w:left="0" w:right="38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مكافأة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اعتزال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انتقاله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كموظف.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5" w:lineRule="exact"/>
        <w:ind w:left="43" w:right="341" w:firstLine="86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جماعي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55" w:lineRule="exact"/>
        <w:ind w:left="77" w:right="31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رصد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المصادق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وتوزيعها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211" w:lineRule="exact"/>
        <w:ind w:left="106" w:right="3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٣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٥٧٤٥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٩٨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30" w:lineRule="exact"/>
        <w:ind w:left="2386" w:right="30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2084705" cy="6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4400" w:lineRule="atLeast"/>
        <w:rPr>
          <w:sz w:val="220"/>
          <w:szCs w:val="220"/>
        </w:rPr>
      </w:pPr>
      <w:r>
        <w:br w:type="column"/>
      </w:r>
    </w:p>
    <w:p>
      <w:pPr>
        <w:pStyle w:val="Style"/>
        <w:spacing w:after="0" w:line="235" w:lineRule="exact"/>
        <w:ind w:left="0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موظفو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الموحدة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380" w:lineRule="atLeast"/>
        <w:rPr>
          <w:sz w:val="219"/>
          <w:szCs w:val="219"/>
        </w:rPr>
      </w:pPr>
    </w:p>
    <w:p>
      <w:pPr>
        <w:pStyle w:val="Style"/>
        <w:spacing w:after="0" w:line="235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بشان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الميزانية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600" w:lineRule="atLeast"/>
        <w:rPr>
          <w:sz w:val="80"/>
          <w:szCs w:val="80"/>
        </w:rPr>
      </w:pPr>
    </w:p>
    <w:p>
      <w:pPr>
        <w:pStyle w:val="Style"/>
        <w:spacing w:after="0" w:line="216" w:lineRule="exact"/>
        <w:ind w:left="144" w:right="12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77" w:right="3912" w:bottom="360" w:left="0" w:header="0" w:footer="0" w:gutter="0"/>
          <w:cols w:num="2" w:equalWidth="0">
            <w:col w:w="7123" w:space="595"/>
            <w:col w:w="610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66.000000pt;margin-top:0.000000pt;width:332.950000pt;height:102.9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ا-جميع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أوامر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العوائد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والأنظمة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والأنظمة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والمراسيم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والرخص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والتراخيص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معمولا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داخل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حدود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تظل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نافذة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المفعول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المنطقة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وكأنها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صدرت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نفس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المنطقة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يزول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مفعولها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ورد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بمقتضى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التشريع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صدرت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لحين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صدور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بالغائها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بتغييرها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قانونا.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31.700000pt;margin-top:125.300000pt;width:367.750000pt;height:67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-ابتداء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نشر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ترتبط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حظر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بأي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عقد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تتجاوز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مدته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تمرن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يترتب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حقوق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والتزامات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لانتخابات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جديدة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39.850000pt;margin-top:217.900000pt;width:359.350000pt;height:49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مراعاة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خلال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حظر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الانتقالية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استخدام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موظف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3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65.500000pt;margin-top:276.000000pt;width:332.950000pt;height:112.8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14" w:right="0" w:firstLine="97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خلال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الممتدة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شهرا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لأي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استخدام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موظف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مسبقة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31" w:lineRule="exact"/>
                    <w:ind w:left="0" w:right="0" w:firstLine="98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أيضا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الموظفين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واستخدامهم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بواسطة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مقاول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قوة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بشرية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تعريفه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استخدام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74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مقاولي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القوة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البشرية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٥٧٥٦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١٩٩٦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64.550000pt;margin-top:412.300000pt;width:333.650000pt;height:10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مهمة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صلاحية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عمل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يخص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ينبغي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بالتعاون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أعمال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مشتركة)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يصدر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التعليمات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اللازمة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للقيام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بالأعمال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المشتركة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طريقة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ادائها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وتوزيع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الصلاحيات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والواجبات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وتوزيع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المصروفات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اللازمة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للقيام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وادارتها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وتوزيع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تدره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ايرادات.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19.200000pt;margin-top:0.500000pt;width:37.750000pt;height:71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العوائد،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الأنظمة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المحلية،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المراسيم،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الرخص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والتراخيص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31.200000pt;margin-top:233.050000pt;width:25.500000pt;height:20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استخدام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موظفين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43.450000pt;margin-top:253.900000pt;width:13.500000pt;height:11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78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جدد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8" coordsize="21600,21600" o:spt="202" path="m,l,21600r21600,l21600,xe"/>
          <v:shape id="sh_4_8" type="#st_4_8" stroked="f" filled="f" style="position:absolute;margin-left:30.000000pt;margin-top:412.300000pt;width:25.750000pt;height:2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أعمال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مشتركة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9" coordsize="21600,21600" o:spt="202" path="m,l,21600r21600,l21600,xe"/>
          <v:shape id="sh_4_9" type="#st_4_9" stroked="f" filled="f" style="position:absolute;margin-left:65.750000pt;margin-top:553.900000pt;width:332.450000pt;height:11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ق.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سيئة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٥٧٥٦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ص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٤٤٠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0" coordsize="21600,21600" o:spt="202" path="m,l,21600r21600,l21600,xe"/>
          <v:shape id="sh_4_10" type="#st_4_10" stroked="f" filled="f" style="position:absolute;margin-left:65.750000pt;margin-top:600.000000pt;width:332.450000pt;height:13.2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1" coordsize="21600,21600" o:spt="202" path="m,l,21600r21600,l21600,xe"/>
          <v:shape id="sh_4_11" type="#st_4_11" stroked="f" filled="f" style="position:absolute;margin-left:0.000000pt;margin-top:599.300000pt;width:16.8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٢٠٥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01" w:right="1554" w:bottom="360" w:left="2723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14" w:right="5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محاسبا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الانتقالية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الانتقالية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١٤٢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١٤٢</w:t>
      </w:r>
      <w:r>
        <w:rPr>
          <w:rFonts w:ascii="Arial" w:eastAsia="Arial" w:hAnsi="Arial" w:cs="Arial"/>
          <w:sz w:val="28"/>
          <w:szCs w:val="28"/>
          <w:lang w:val="ar"/>
        </w:rPr>
        <w:t xml:space="preserve">ج/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البلديات.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29" w:right="38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اتضح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وظائف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منتظمة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وناجعة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تخويله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لجانها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جزءا،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وظائف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منتظمة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وناجعة،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لجانها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29" w:right="38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محاسب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336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-(I)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يرصد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مشروع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"بالمشروع"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مدلوله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الميزانية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٠١٩٨٥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38" w:right="0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يوعز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باعطاء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بمناسبة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المجالس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740" w:lineRule="atLeast"/>
        <w:rPr>
          <w:sz w:val="87"/>
          <w:szCs w:val="87"/>
        </w:rPr>
      </w:pPr>
    </w:p>
    <w:p>
      <w:pPr>
        <w:pStyle w:val="Style"/>
        <w:spacing w:after="0" w:line="221" w:lineRule="exact"/>
        <w:ind w:left="225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0" w:right="3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تعيين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محاسب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مرافق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300" w:lineRule="atLeast"/>
        <w:rPr>
          <w:sz w:val="315"/>
          <w:szCs w:val="315"/>
        </w:rPr>
      </w:pPr>
    </w:p>
    <w:p>
      <w:pPr>
        <w:pStyle w:val="Style"/>
        <w:spacing w:before="5" w:after="0" w:line="192" w:lineRule="exact"/>
        <w:ind w:left="19" w:right="16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رصد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منحة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تكيف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لالغاء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السلطة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الموحدة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600" w:lineRule="atLeast"/>
        <w:rPr>
          <w:sz w:val="180"/>
          <w:szCs w:val="180"/>
        </w:rPr>
      </w:pPr>
    </w:p>
    <w:p>
      <w:pPr>
        <w:pStyle w:val="Style"/>
        <w:spacing w:after="0" w:line="211" w:lineRule="exact"/>
        <w:ind w:left="120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01" w:right="2688" w:bottom="360" w:left="1589" w:header="0" w:footer="0" w:gutter="0"/>
          <w:cols w:num="2" w:equalWidth="0">
            <w:col w:w="6662" w:space="782"/>
            <w:col w:w="518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5.550000pt;height:10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rtl/>
                      <w:lang w:bidi="ar"/>
                    </w:rPr>
                    <w:t xml:space="preserve">ا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74.650000pt;margin-top:52.550000pt;width:361.950000pt;height:51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مكلف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اصدار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أنظمة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يتعلق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النابعة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والمترتبة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الوضع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65.300000pt;margin-top:66.700000pt;width:23.800000pt;height:10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وانظمة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98.150000pt;margin-top:110.400000pt;width:289.750000pt;height:320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26" w:lineRule="exact"/>
                    <w:ind w:left="14" w:hanging="1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ادارة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ولغاية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شهرا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الالغاء،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وتعليمات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82" w:after="0" w:line="331" w:lineRule="exact"/>
                    <w:ind w:left="10" w:hanging="1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تعهدات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وتعاقدات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واجراءات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وتمديد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مفعولها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الأعمال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المصدقة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الالغاء.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14" w:lineRule="exact"/>
                    <w:ind w:left="49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شروط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وطرق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موظفي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17" w:lineRule="exact"/>
                    <w:ind w:left="14" w:hanging="1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تعليمات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بشأن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اعداد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الميزاينة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السنوية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مجلس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17" w:lineRule="exact"/>
                    <w:ind w:left="14" w:hanging="1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كيفية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استلام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المبالغ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تدفعها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للسلطة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الموحدة.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17" w:lineRule="exact"/>
                    <w:ind w:left="14" w:hanging="1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تعليمات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لضمان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توالي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منطقة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المجالس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المحلية.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78" w:after="0" w:line="317" w:lineRule="exact"/>
                    <w:ind w:left="14" w:hanging="14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لتعيين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شاغلي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المناصب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الواجب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تعيينهم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تشريع.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6.800000pt;margin-top:454.100000pt;width:359.800000pt;height:35.0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-يسري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اعتبارا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كسليف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.(٢٠٠٨/١٢/١)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67.200000pt;margin-top:470.150000pt;width:21.650000pt;height:8.1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سريان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248.650000pt;margin-top:517.200000pt;width:67.000000pt;height:33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12" w:lineRule="exact"/>
                    <w:ind w:left="0" w:right="0" w:firstLine="101"/>
                    <w:bidi/>
                    <w:jc w:val="center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اهود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اولمرت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128.650000pt;margin-top:517.450000pt;width:61.950000pt;height:33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مثير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شطريت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الداخلية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8" coordsize="21600,21600" o:spt="202" path="m,l,21600r21600,l21600,xe"/>
          <v:shape id="sh_6_8" type="#st_6_8" stroked="f" filled="f" style="position:absolute;margin-left:346.800000pt;margin-top:568.800000pt;width:63.150000pt;height:33.6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0" w:right="0" w:firstLine="0"/>
                    <w:bidi/>
                    <w:jc w:val="center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شمعون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9" coordsize="21600,21600" o:spt="202" path="m,l,21600r21600,l21600,xe"/>
          <v:shape id="sh_6_9" type="#st_6_9" stroked="f" filled="f" style="position:absolute;margin-left:218.150000pt;margin-top:568.550000pt;width:67.950000pt;height:33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12" w:lineRule="exact"/>
                    <w:ind w:left="0" w:right="0" w:firstLine="101"/>
                    <w:bidi/>
                    <w:jc w:val="center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داليا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ايتصيك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الكنيست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0" coordsize="21600,21600" o:spt="202" path="m,l,21600r21600,l21600,xe"/>
          <v:shape id="sh_6_10" type="#st_6_10" stroked="f" filled="f" style="position:absolute;margin-left:213.600000pt;margin-top:651.850000pt;width:222.550000pt;height:1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٢١٩٣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1" coordsize="21600,21600" o:spt="202" path="m,l,21600r21600,l21600,xe"/>
          <v:shape id="sh_6_11" type="#st_6_11" stroked="f" filled="f" style="position:absolute;margin-left:39.850000pt;margin-top:652.100000pt;width:16.60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533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550"/>
          <w:tab w:val="left" w:leader="none" w:pos="8102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74" w:lineRule="exact"/>
        <w:ind w:left="34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6" w:lineRule="exact"/>
        <w:ind w:left="7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2193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no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06" w:lineRule="exact"/>
        <w:ind w:left="72" w:right="114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٢٠٨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</w:t>
      </w:r>
      <w:r>
        <w:rPr>
          <w:rFonts w:ascii="Arial" w:eastAsia="Arial" w:hAnsi="Arial" w:cs="Arial"/>
          <w:sz w:val="20"/>
          <w:szCs w:val="20"/>
          <w:lang w:val="ar"/>
        </w:rPr>
        <w:t xml:space="preserve">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12715" w:right="2724" w:bottom="360" w:left="1567" w:header="0" w:footer="0" w:gutter="0"/>
          <w:cols w:num="2" w:equalWidth="0">
            <w:col w:w="4426" w:space="1997"/>
            <w:col w:w="1526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g"/><Relationship Id="rId11" Type="http://schemas.openxmlformats.org/officeDocument/2006/relationships/image" Target="media/image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219-02-2019-001089</dc:title>
  <cp:keywords>CreatedByIRIS_Readiris_17.3</cp:keywords>
  <cp:revision>1</cp:revision>
  <dcterms:created xsi:type="dcterms:W3CDTF">2022-03-22T18:20:53+02:00</dcterms:created>
  <dcterms:modified xsi:type="dcterms:W3CDTF">2022-03-22T18:20:53+02:00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