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Kuwait B2B Hub</w:t>
      </w:r>
    </w:p>
    <w:p>
      <w:pPr>
        <w:jc w:val="center"/>
      </w:pPr>
      <w:r>
        <w:rPr>
          <w:b/>
          <w:sz w:val="40"/>
        </w:rPr>
        <w:t>Final Project Report</w:t>
      </w:r>
    </w:p>
    <w:p/>
    <w:p>
      <w:pPr>
        <w:jc w:val="center"/>
      </w:pPr>
      <w:r>
        <w:t>Course: Software Engineering</w:t>
      </w:r>
    </w:p>
    <w:p>
      <w:pPr>
        <w:jc w:val="center"/>
      </w:pPr>
      <w:r>
        <w:t>Institution: American University of the Middle East (AUM)</w:t>
      </w:r>
    </w:p>
    <w:p>
      <w:pPr>
        <w:jc w:val="center"/>
      </w:pPr>
      <w:r>
        <w:t>Supervisor: Dr. Rababaah</w:t>
      </w:r>
    </w:p>
    <w:p>
      <w:pPr>
        <w:jc w:val="center"/>
      </w:pPr>
      <w:r>
        <w:t>Date: May 2026</w:t>
      </w:r>
    </w:p>
    <w:p>
      <w:pPr>
        <w:jc w:val="center"/>
      </w:pPr>
    </w:p>
    <w:p>
      <w:pPr>
        <w:jc w:val="center"/>
      </w:pPr>
      <w:r>
        <w:t>Platform: B2B Wholesale Marketplace for Kuwait &amp; GCC</w:t>
      </w:r>
    </w:p>
    <w:p>
      <w:pPr>
        <w:jc w:val="center"/>
      </w:pPr>
    </w:p>
    <w:p>
      <w:pPr>
        <w:jc w:val="center"/>
      </w:pPr>
      <w:r>
        <w:t>Team Members</w:t>
      </w:r>
    </w:p>
    <w:p>
      <w:pPr>
        <w:jc w:val="center"/>
      </w:pPr>
      <w:r>
        <w:t>Bader Alnoumas — S00059026</w:t>
      </w:r>
    </w:p>
    <w:p>
      <w:pPr>
        <w:jc w:val="center"/>
      </w:pPr>
      <w:r>
        <w:t>Abdullah Abduljaleel — S00056040</w:t>
      </w:r>
    </w:p>
    <w:p>
      <w:pPr>
        <w:jc w:val="center"/>
      </w:pPr>
      <w:r>
        <w:t>Abdullah Subhi — S00054535</w:t>
      </w:r>
    </w:p>
    <w:p>
      <w:pPr>
        <w:jc w:val="center"/>
      </w:pPr>
      <w:r>
        <w:t>Salah Abdulfattah — S00052772</w:t>
      </w:r>
    </w:p>
    <w:p>
      <w:r>
        <w:br w:type="page"/>
      </w:r>
    </w:p>
    <w:p>
      <w:pPr>
        <w:pStyle w:val="Heading1"/>
      </w:pPr>
      <w:r>
        <w:t>CHAPTER I — INTRODUCTION</w:t>
      </w:r>
    </w:p>
    <w:p>
      <w:pPr>
        <w:pStyle w:val="Heading2"/>
      </w:pPr>
      <w:r>
        <w:t>1.1  Background</w:t>
      </w:r>
    </w:p>
    <w:p>
      <w:pPr/>
      <w:r>
        <w:t>Kuwait's wholesale and business-to-business (B2B) trading sector has historically been characterised by an informal, relationship-driven model in which procurement decisions are negotiated via personal networks, telephone calls, and increasingly through consumer messaging applications such as WhatsApp. While this model functioned adequately in a smaller, more localised economy, it has become a significant barrier to efficiency as Kuwait's commercial sector expands in line with the National Vision 2035 and the Gulf Cooperation Council's (GCC) broader digital economy agenda. The absence of a structured digital marketplace means that buyers cannot efficiently discover new suppliers, verify their credentials, compare pricing transparently, or track the fulfilment status of placed orders — all capabilities that are taken for granted in B2B platforms serving more mature markets. Wholesale distributors and brand owners, for their part, lack the tooling to manage catalogue data, enforce minimum order quantities, or build a verifiable digital reputation that can be shared with prospective buyers without manual reference checks.</w:t>
      </w:r>
    </w:p>
    <w:p>
      <w:pPr/>
      <w:r>
        <w:t>The Kuwait B2B Hub was conceived as a direct response to this structural gap. The platform provides a managed, trust-centric digital environment in which Kuwaiti and GCC wholesale brands can register, list their product catalogues with structured bulk-pricing tiers, and transact with verified business buyers under a regulated order lifecycle. By centralising brand discovery, product browsing, order management, and reputation building within a single bilingual (Arabic and English) platform, the Kuwait B2B Hub replaces the fragmented, informal channel with a professional, auditable, and scalable alternative. The platform further addresses the GCC's multicurrency reality by supporting live display in Kuwaiti Dinar (KWD), Saudi Riyal (SAR), UAE Dirham (AED), and Bahraini Dinar (BHD), reducing the cognitive friction that arises when buyers and sellers operate across different currency jurisdictions. A dual-sided trust scoring engine — computing composite reputation metrics for both brands and buyers from historical order behaviour — addresses the fundamental credibility problem that informal markets cannot solve: how to transact confidently with parties one has never met in person.</w:t>
      </w:r>
    </w:p>
    <w:p>
      <w:pPr/>
      <w:r>
        <w:t>From a technical perspective, the Kuwait B2B Hub is built on a modern full-stack architecture leveraging Next.js 16 with the App Router paradigm, TypeScript for compile-time type safety across all 93 source files, Supabase for authentication and production database management, and Vercel for cloud deployment with automatic CI/CD. The system was designed from the outset with a separation-of-concerns principle: the presentation layer is decoupled from business logic via a RESTful API layer comprising 25 serverless route handlers, and data access is abstracted through a centralised module that permits seamless migration from the MVP's JSON prototype store to a production-grade PostgreSQL database without modifying the API contracts. The codebase totals 11.35 KLOC across 93 source files, with the largest concentration in reusable UI components (33.5%) and buyer/brand-facing page routes (40.1% combined). This document constitutes the Final Project Report for the Kuwait B2B Hub, submitted in partial fulfilment of the Software Engineering course requirements at the American University of the Middle East.</w:t>
      </w:r>
    </w:p>
    <w:p>
      <w:pPr>
        <w:pStyle w:val="Heading2"/>
      </w:pPr>
      <w:r>
        <w:t>1.2  System Overview</w:t>
      </w:r>
    </w:p>
    <w:p>
      <w:pPr/>
      <w:r>
        <w:t>The Kuwait B2B Hub is a digital wholesale marketplace platform targeting the Kuwaiti and broader GCC business community. The following subsections outline the system's primary goals, architectural structure, user roles, and core technology choices.</w:t>
      </w:r>
    </w:p>
    <w:p>
      <w:pPr>
        <w:pStyle w:val="Heading3"/>
      </w:pPr>
      <w:r>
        <w:t>Goals</w:t>
      </w:r>
    </w:p>
    <w:p>
      <w:pPr>
        <w:pStyle w:val="ListBullet"/>
      </w:pPr>
      <w:r>
        <w:t>Professionalise B2B wholesale trading in Kuwait by replacing informal WhatsApp-based procurement with a structured, digital workflow that provides full transaction audit trails.</w:t>
      </w:r>
    </w:p>
    <w:p>
      <w:pPr>
        <w:pStyle w:val="ListBullet"/>
      </w:pPr>
      <w:r>
        <w:t>Provide verified brand discovery, enabling buyers to identify and engage with credentialed Kuwaiti suppliers confidently through administrative verification and tiered badges.</w:t>
      </w:r>
    </w:p>
    <w:p>
      <w:pPr>
        <w:pStyle w:val="ListBullet"/>
      </w:pPr>
      <w:r>
        <w:t>Enforce structured order management with a full status lifecycle (pending → approved → completed / rejected) and in-app notifications at every transition.</w:t>
      </w:r>
    </w:p>
    <w:p>
      <w:pPr>
        <w:pStyle w:val="ListBullet"/>
      </w:pPr>
      <w:r>
        <w:t>Build trust through a dual-sided reputation system covering both brand trustworthiness (response rate, completion rate, fulfilment speed) and buyer reliability (completion rate, cancellation rate).</w:t>
      </w:r>
    </w:p>
    <w:p>
      <w:pPr>
        <w:pStyle w:val="ListBullet"/>
      </w:pPr>
      <w:r>
        <w:t>Support bilingual operation — Arabic RTL and English LTR — to serve both local and expatriate business communities throughout Kuwait and the GCC.</w:t>
      </w:r>
    </w:p>
    <w:p>
      <w:pPr>
        <w:pStyle w:val="ListBullet"/>
      </w:pPr>
      <w:r>
        <w:t>Enable GCC multi-market expansion by supporting multiple currencies, VAT configurations per country, and market-specific brand visibility settings.</w:t>
      </w:r>
    </w:p>
    <w:p>
      <w:pPr>
        <w:pStyle w:val="Heading3"/>
      </w:pPr>
      <w:r>
        <w:t>System Architecture</w:t>
      </w:r>
    </w:p>
    <w:p>
      <w:pPr/>
      <w:r>
        <w:t>The platform follows a four-layer architectural model:</w:t>
      </w:r>
    </w:p>
    <w:tbl>
      <w:tblPr>
        <w:tblStyle w:val="TableGrid"/>
        <w:tblW w:type="auto" w:w="0"/>
        <w:tblLook w:firstColumn="1" w:firstRow="1" w:lastColumn="0" w:lastRow="0" w:noHBand="0" w:noVBand="1" w:val="04A0"/>
      </w:tblPr>
      <w:tblGrid>
        <w:gridCol w:w="4320"/>
        <w:gridCol w:w="4320"/>
      </w:tblGrid>
      <w:tr>
        <w:tc>
          <w:tcPr>
            <w:tcW w:type="dxa" w:w="2592"/>
          </w:tcPr>
          <w:p>
            <w:r>
              <w:rPr>
                <w:b/>
              </w:rPr>
              <w:t>Layer</w:t>
            </w:r>
          </w:p>
        </w:tc>
        <w:tc>
          <w:tcPr>
            <w:tcW w:type="dxa" w:w="6768"/>
          </w:tcPr>
          <w:p>
            <w:r>
              <w:rPr>
                <w:b/>
              </w:rPr>
              <w:t>Description</w:t>
            </w:r>
          </w:p>
        </w:tc>
      </w:tr>
      <w:tr>
        <w:tc>
          <w:tcPr>
            <w:tcW w:type="dxa" w:w="2592"/>
          </w:tcPr>
          <w:p>
            <w:r>
              <w:t>Presentation Layer</w:t>
            </w:r>
          </w:p>
        </w:tc>
        <w:tc>
          <w:tcPr>
            <w:tcW w:type="dxa" w:w="6768"/>
          </w:tcPr>
          <w:p>
            <w:r>
              <w:t>React/TSX pages and reusable components; CSS Modules for styling; Lucide React for iconography; Recharts for analytics visualisations on dashboards.</w:t>
            </w:r>
          </w:p>
        </w:tc>
      </w:tr>
      <w:tr>
        <w:tc>
          <w:tcPr>
            <w:tcW w:type="dxa" w:w="2592"/>
          </w:tcPr>
          <w:p>
            <w:r>
              <w:t>Application / API Layer</w:t>
            </w:r>
          </w:p>
        </w:tc>
        <w:tc>
          <w:tcPr>
            <w:tcW w:type="dxa" w:w="6768"/>
          </w:tcPr>
          <w:p>
            <w:r>
              <w:t>Next.js 16 App Router route handlers providing a RESTful JSON API under /api/*. Authentication middleware enforces RBAC at the network boundary before business logic executes.</w:t>
            </w:r>
          </w:p>
        </w:tc>
      </w:tr>
      <w:tr>
        <w:tc>
          <w:tcPr>
            <w:tcW w:type="dxa" w:w="2592"/>
          </w:tcPr>
          <w:p>
            <w:r>
              <w:t>Data Access Layer</w:t>
            </w:r>
          </w:p>
        </w:tc>
        <w:tc>
          <w:tcPr>
            <w:tcW w:type="dxa" w:w="6768"/>
          </w:tcPr>
          <w:p>
            <w:r>
              <w:t>A centralised db.ts module abstracts all reads and writes behind readDB(), writeDB(), and generateId(). The MVP uses a JSON flat-file store; the production target is Supabase PostgreSQL, with migration scaffolded and ready.</w:t>
            </w:r>
          </w:p>
        </w:tc>
      </w:tr>
      <w:tr>
        <w:tc>
          <w:tcPr>
            <w:tcW w:type="dxa" w:w="2592"/>
          </w:tcPr>
          <w:p>
            <w:r>
              <w:t>External Services Layer</w:t>
            </w:r>
          </w:p>
        </w:tc>
        <w:tc>
          <w:tcPr>
            <w:tcW w:type="dxa" w:w="6768"/>
          </w:tcPr>
          <w:p>
            <w:r>
              <w:t>Supabase (JWT authentication + managed database), WhatsApp Business links, Vercel hosting with global CDN, and a configurable live-exchange-rate API for GCC currency conversions.</w:t>
            </w:r>
          </w:p>
        </w:tc>
      </w:tr>
    </w:tbl>
    <w:p/>
    <w:p>
      <w:pPr>
        <w:pStyle w:val="Heading3"/>
      </w:pPr>
      <w:r>
        <w:t>User Roles</w:t>
      </w:r>
    </w:p>
    <w:p>
      <w:pPr/>
      <w:r>
        <w:t>The system defines three distinct actor roles, each with a segregated permission set and dedicated UI portal:</w:t>
      </w:r>
    </w:p>
    <w:tbl>
      <w:tblPr>
        <w:tblStyle w:val="TableGrid"/>
        <w:tblW w:type="auto" w:w="0"/>
        <w:tblLook w:firstColumn="1" w:firstRow="1" w:lastColumn="0" w:lastRow="0" w:noHBand="0" w:noVBand="1" w:val="04A0"/>
      </w:tblPr>
      <w:tblGrid>
        <w:gridCol w:w="4320"/>
        <w:gridCol w:w="4320"/>
      </w:tblGrid>
      <w:tr>
        <w:tc>
          <w:tcPr>
            <w:tcW w:type="dxa" w:w="2160"/>
          </w:tcPr>
          <w:p>
            <w:r>
              <w:rPr>
                <w:b/>
              </w:rPr>
              <w:t>Role</w:t>
            </w:r>
          </w:p>
        </w:tc>
        <w:tc>
          <w:tcPr>
            <w:tcW w:type="dxa" w:w="7200"/>
          </w:tcPr>
          <w:p>
            <w:r>
              <w:rPr>
                <w:b/>
              </w:rPr>
              <w:t>Description</w:t>
            </w:r>
          </w:p>
        </w:tc>
      </w:tr>
      <w:tr>
        <w:tc>
          <w:tcPr>
            <w:tcW w:type="dxa" w:w="2160"/>
          </w:tcPr>
          <w:p>
            <w:r>
              <w:t>Admin</w:t>
            </w:r>
          </w:p>
        </w:tc>
        <w:tc>
          <w:tcPr>
            <w:tcW w:type="dxa" w:w="7200"/>
          </w:tcPr>
          <w:p>
            <w:r>
              <w:t>Platform administrators responsible for brand verification, user management, order monitoring, and review moderation. Full platform-wide data visibility. Accounts are created internally.</w:t>
            </w:r>
          </w:p>
        </w:tc>
      </w:tr>
      <w:tr>
        <w:tc>
          <w:tcPr>
            <w:tcW w:type="dxa" w:w="2160"/>
          </w:tcPr>
          <w:p>
            <w:r>
              <w:t>Brand Owner</w:t>
            </w:r>
          </w:p>
        </w:tc>
        <w:tc>
          <w:tcPr>
            <w:tcW w:type="dxa" w:w="7200"/>
          </w:tcPr>
          <w:p>
            <w:r>
              <w:t>Kuwaiti wholesale suppliers who create brand profiles, list products with bulk-pricing tiers, process buyer orders, and respond to reviews via a dedicated brand portal. Subscription: KD 29 / month with a 14-day free trial.</w:t>
            </w:r>
          </w:p>
        </w:tc>
      </w:tr>
      <w:tr>
        <w:tc>
          <w:tcPr>
            <w:tcW w:type="dxa" w:w="2160"/>
          </w:tcPr>
          <w:p>
            <w:r>
              <w:t>Business Buyer</w:t>
            </w:r>
          </w:p>
        </w:tc>
        <w:tc>
          <w:tcPr>
            <w:tcW w:type="dxa" w:w="7200"/>
          </w:tcPr>
          <w:p>
            <w:r>
              <w:t>Retail and wholesale procurement professionals who browse verified brands, view product catalogues, submit bulk orders, track fulfilment, and leave reviews. Free to use.</w:t>
            </w:r>
          </w:p>
        </w:tc>
      </w:tr>
    </w:tbl>
    <w:p/>
    <w:p>
      <w:pPr>
        <w:pStyle w:val="Heading3"/>
      </w:pPr>
      <w:r>
        <w:t>Technology Stack</w:t>
      </w:r>
    </w:p>
    <w:tbl>
      <w:tblPr>
        <w:tblStyle w:val="TableGrid"/>
        <w:tblW w:type="auto" w:w="0"/>
        <w:tblLook w:firstColumn="1" w:firstRow="1" w:lastColumn="0" w:lastRow="0" w:noHBand="0" w:noVBand="1" w:val="04A0"/>
      </w:tblPr>
      <w:tblGrid>
        <w:gridCol w:w="4320"/>
        <w:gridCol w:w="4320"/>
      </w:tblGrid>
      <w:tr>
        <w:tc>
          <w:tcPr>
            <w:tcW w:type="dxa" w:w="2880"/>
          </w:tcPr>
          <w:p>
            <w:r>
              <w:rPr>
                <w:b/>
              </w:rPr>
              <w:t>Component</w:t>
            </w:r>
          </w:p>
        </w:tc>
        <w:tc>
          <w:tcPr>
            <w:tcW w:type="dxa" w:w="6480"/>
          </w:tcPr>
          <w:p>
            <w:r>
              <w:rPr>
                <w:b/>
              </w:rPr>
              <w:t>Technology</w:t>
            </w:r>
          </w:p>
        </w:tc>
      </w:tr>
      <w:tr>
        <w:tc>
          <w:tcPr>
            <w:tcW w:type="dxa" w:w="2880"/>
          </w:tcPr>
          <w:p>
            <w:r>
              <w:t>Frontend Framework</w:t>
            </w:r>
          </w:p>
        </w:tc>
        <w:tc>
          <w:tcPr>
            <w:tcW w:type="dxa" w:w="6480"/>
          </w:tcPr>
          <w:p>
            <w:r>
              <w:t>Next.js 16.2.2 with App Router; TypeScript 5 (strict mode)</w:t>
            </w:r>
          </w:p>
        </w:tc>
      </w:tr>
      <w:tr>
        <w:tc>
          <w:tcPr>
            <w:tcW w:type="dxa" w:w="2880"/>
          </w:tcPr>
          <w:p>
            <w:r>
              <w:t>UI &amp; Styling</w:t>
            </w:r>
          </w:p>
        </w:tc>
        <w:tc>
          <w:tcPr>
            <w:tcW w:type="dxa" w:w="6480"/>
          </w:tcPr>
          <w:p>
            <w:r>
              <w:t>CSS Modules; Lucide React icons; Recharts / Chart.js analytics</w:t>
            </w:r>
          </w:p>
        </w:tc>
      </w:tr>
      <w:tr>
        <w:tc>
          <w:tcPr>
            <w:tcW w:type="dxa" w:w="2880"/>
          </w:tcPr>
          <w:p>
            <w:r>
              <w:t>State Management</w:t>
            </w:r>
          </w:p>
        </w:tc>
        <w:tc>
          <w:tcPr>
            <w:tcW w:type="dxa" w:w="6480"/>
          </w:tcPr>
          <w:p>
            <w:r>
              <w:t>Zustand 5.0.12 (notification store); React Context (currency)</w:t>
            </w:r>
          </w:p>
        </w:tc>
      </w:tr>
      <w:tr>
        <w:tc>
          <w:tcPr>
            <w:tcW w:type="dxa" w:w="2880"/>
          </w:tcPr>
          <w:p>
            <w:r>
              <w:t>Internationalisation</w:t>
            </w:r>
          </w:p>
        </w:tc>
        <w:tc>
          <w:tcPr>
            <w:tcW w:type="dxa" w:w="6480"/>
          </w:tcPr>
          <w:p>
            <w:r>
              <w:t>next-intl 4.9.0 — English &amp; Arabic with full RTL support</w:t>
            </w:r>
          </w:p>
        </w:tc>
      </w:tr>
      <w:tr>
        <w:tc>
          <w:tcPr>
            <w:tcW w:type="dxa" w:w="2880"/>
          </w:tcPr>
          <w:p>
            <w:r>
              <w:t>Authentication</w:t>
            </w:r>
          </w:p>
        </w:tc>
        <w:tc>
          <w:tcPr>
            <w:tcW w:type="dxa" w:w="6480"/>
          </w:tcPr>
          <w:p>
            <w:r>
              <w:t>Supabase Auth with SSR session management via @supabase/ssr ^0.10.0</w:t>
            </w:r>
          </w:p>
        </w:tc>
      </w:tr>
      <w:tr>
        <w:tc>
          <w:tcPr>
            <w:tcW w:type="dxa" w:w="2880"/>
          </w:tcPr>
          <w:p>
            <w:r>
              <w:t>Database (MVP)</w:t>
            </w:r>
          </w:p>
        </w:tc>
        <w:tc>
          <w:tcPr>
            <w:tcW w:type="dxa" w:w="6480"/>
          </w:tcPr>
          <w:p>
            <w:r>
              <w:t>JSON flat-file (src/data/db.json) via custom db.ts abstraction</w:t>
            </w:r>
          </w:p>
        </w:tc>
      </w:tr>
      <w:tr>
        <w:tc>
          <w:tcPr>
            <w:tcW w:type="dxa" w:w="2880"/>
          </w:tcPr>
          <w:p>
            <w:r>
              <w:t>Database (Prod.)</w:t>
            </w:r>
          </w:p>
        </w:tc>
        <w:tc>
          <w:tcPr>
            <w:tcW w:type="dxa" w:w="6480"/>
          </w:tcPr>
          <w:p>
            <w:r>
              <w:t>Supabase managed PostgreSQL — migration path scaffolded</w:t>
            </w:r>
          </w:p>
        </w:tc>
      </w:tr>
      <w:tr>
        <w:tc>
          <w:tcPr>
            <w:tcW w:type="dxa" w:w="2880"/>
          </w:tcPr>
          <w:p>
            <w:r>
              <w:t>Data Import</w:t>
            </w:r>
          </w:p>
        </w:tc>
        <w:tc>
          <w:tcPr>
            <w:tcW w:type="dxa" w:w="6480"/>
          </w:tcPr>
          <w:p>
            <w:r>
              <w:t>xlsx 0.18.5 — Excel/CSV bulk product catalogue import</w:t>
            </w:r>
          </w:p>
        </w:tc>
      </w:tr>
      <w:tr>
        <w:tc>
          <w:tcPr>
            <w:tcW w:type="dxa" w:w="2880"/>
          </w:tcPr>
          <w:p>
            <w:r>
              <w:t>Hosting &amp; CI/CD</w:t>
            </w:r>
          </w:p>
        </w:tc>
        <w:tc>
          <w:tcPr>
            <w:tcW w:type="dxa" w:w="6480"/>
          </w:tcPr>
          <w:p>
            <w:r>
              <w:t>Vercel — serverless deployment, global CDN, automatic Git pipeline</w:t>
            </w:r>
          </w:p>
        </w:tc>
      </w:tr>
    </w:tbl>
    <w:p/>
    <w:p>
      <w:pPr>
        <w:pStyle w:val="Heading2"/>
      </w:pPr>
      <w:r>
        <w:t>1.3  Document Conventions</w:t>
      </w:r>
    </w:p>
    <w:p>
      <w:pPr/>
      <w:r>
        <w:t>This section defines the terms, acronyms, abbreviations, and symbols used throughout this report. Readers unfamiliar with any entry should consult the definitions below before proceeding to the technical chapters.</w:t>
      </w:r>
    </w:p>
    <w:p>
      <w:pPr>
        <w:pStyle w:val="Heading3"/>
      </w:pPr>
      <w:r>
        <w:t>Glossary of Terms</w:t>
      </w:r>
    </w:p>
    <w:tbl>
      <w:tblPr>
        <w:tblStyle w:val="TableGrid"/>
        <w:tblW w:type="auto" w:w="0"/>
        <w:tblLook w:firstColumn="1" w:firstRow="1" w:lastColumn="0" w:lastRow="0" w:noHBand="0" w:noVBand="1" w:val="04A0"/>
      </w:tblPr>
      <w:tblGrid>
        <w:gridCol w:w="4320"/>
        <w:gridCol w:w="4320"/>
      </w:tblGrid>
      <w:tr>
        <w:tc>
          <w:tcPr>
            <w:tcW w:type="dxa" w:w="2592"/>
          </w:tcPr>
          <w:p>
            <w:r>
              <w:rPr>
                <w:b/>
              </w:rPr>
              <w:t>Term</w:t>
            </w:r>
          </w:p>
        </w:tc>
        <w:tc>
          <w:tcPr>
            <w:tcW w:type="dxa" w:w="6768"/>
          </w:tcPr>
          <w:p>
            <w:r>
              <w:rPr>
                <w:b/>
              </w:rPr>
              <w:t>Definition</w:t>
            </w:r>
          </w:p>
        </w:tc>
      </w:tr>
      <w:tr>
        <w:tc>
          <w:tcPr>
            <w:tcW w:type="dxa" w:w="2592"/>
          </w:tcPr>
          <w:p>
            <w:r>
              <w:t>B2B</w:t>
            </w:r>
          </w:p>
        </w:tc>
        <w:tc>
          <w:tcPr>
            <w:tcW w:type="dxa" w:w="6768"/>
          </w:tcPr>
          <w:p>
            <w:r>
              <w:t>Business-to-Business — commercial transactions conducted between companies rather than between a company and an individual consumer.</w:t>
            </w:r>
          </w:p>
        </w:tc>
      </w:tr>
      <w:tr>
        <w:tc>
          <w:tcPr>
            <w:tcW w:type="dxa" w:w="2592"/>
          </w:tcPr>
          <w:p>
            <w:r>
              <w:t>Brand</w:t>
            </w:r>
          </w:p>
        </w:tc>
        <w:tc>
          <w:tcPr>
            <w:tcW w:type="dxa" w:w="6768"/>
          </w:tcPr>
          <w:p>
            <w:r>
              <w:t>A registered wholesale supplier or manufacturer on the Kuwait B2B Hub platform, subject to administrative verification before appearing on the marketplace.</w:t>
            </w:r>
          </w:p>
        </w:tc>
      </w:tr>
      <w:tr>
        <w:tc>
          <w:tcPr>
            <w:tcW w:type="dxa" w:w="2592"/>
          </w:tcPr>
          <w:p>
            <w:r>
              <w:t>Brand Trust Score</w:t>
            </w:r>
          </w:p>
        </w:tc>
        <w:tc>
          <w:tcPr>
            <w:tcW w:type="dxa" w:w="6768"/>
          </w:tcPr>
          <w:p>
            <w:r>
              <w:t>A composite metric calculated from a brand's order response rate, completion rate, and average fulfilment time, used to signal reliability to prospective buyers.</w:t>
            </w:r>
          </w:p>
        </w:tc>
      </w:tr>
      <w:tr>
        <w:tc>
          <w:tcPr>
            <w:tcW w:type="dxa" w:w="2592"/>
          </w:tcPr>
          <w:p>
            <w:r>
              <w:t>Bulk Pricing Tier</w:t>
            </w:r>
          </w:p>
        </w:tc>
        <w:tc>
          <w:tcPr>
            <w:tcW w:type="dxa" w:w="6768"/>
          </w:tcPr>
          <w:p>
            <w:r>
              <w:t>A quantity-based price schedule where unit price decreases as order quantity increases, defined per product as an array of min_qty / max_qty / price bands.</w:t>
            </w:r>
          </w:p>
        </w:tc>
      </w:tr>
      <w:tr>
        <w:tc>
          <w:tcPr>
            <w:tcW w:type="dxa" w:w="2592"/>
          </w:tcPr>
          <w:p>
            <w:r>
              <w:t>Buyer Trust Score</w:t>
            </w:r>
          </w:p>
        </w:tc>
        <w:tc>
          <w:tcPr>
            <w:tcW w:type="dxa" w:w="6768"/>
          </w:tcPr>
          <w:p>
            <w:r>
              <w:t>A metric reflecting a buyer's commercial reliability, computed from order completion rate and cancellation rate and displayed to brand owners evaluating order requests.</w:t>
            </w:r>
          </w:p>
        </w:tc>
      </w:tr>
      <w:tr>
        <w:tc>
          <w:tcPr>
            <w:tcW w:type="dxa" w:w="2592"/>
          </w:tcPr>
          <w:p>
            <w:r>
              <w:t>GCC</w:t>
            </w:r>
          </w:p>
        </w:tc>
        <w:tc>
          <w:tcPr>
            <w:tcW w:type="dxa" w:w="6768"/>
          </w:tcPr>
          <w:p>
            <w:r>
              <w:t>Gulf Cooperation Council — the regional intergovernmental union comprising Bahrain, Kuwait, Oman, Qatar, Saudi Arabia, and the United Arab Emirates.</w:t>
            </w:r>
          </w:p>
        </w:tc>
      </w:tr>
      <w:tr>
        <w:tc>
          <w:tcPr>
            <w:tcW w:type="dxa" w:w="2592"/>
          </w:tcPr>
          <w:p>
            <w:r>
              <w:t>Marketplace</w:t>
            </w:r>
          </w:p>
        </w:tc>
        <w:tc>
          <w:tcPr>
            <w:tcW w:type="dxa" w:w="6768"/>
          </w:tcPr>
          <w:p>
            <w:r>
              <w:t>The public-facing section of the platform (/marketplace) where buyers discover and browse all administratively approved brand profiles and product catalogues.</w:t>
            </w:r>
          </w:p>
        </w:tc>
      </w:tr>
      <w:tr>
        <w:tc>
          <w:tcPr>
            <w:tcW w:type="dxa" w:w="2592"/>
          </w:tcPr>
          <w:p>
            <w:r>
              <w:t>MOQ</w:t>
            </w:r>
          </w:p>
        </w:tc>
        <w:tc>
          <w:tcPr>
            <w:tcW w:type="dxa" w:w="6768"/>
          </w:tcPr>
          <w:p>
            <w:r>
              <w:t>Minimum Order Quantity — the smallest number of units a buyer may include in a single order line item for a given product, enforced at order submission by the API.</w:t>
            </w:r>
          </w:p>
        </w:tc>
      </w:tr>
      <w:tr>
        <w:tc>
          <w:tcPr>
            <w:tcW w:type="dxa" w:w="2592"/>
          </w:tcPr>
          <w:p>
            <w:r>
              <w:t>Platform Admin</w:t>
            </w:r>
          </w:p>
        </w:tc>
        <w:tc>
          <w:tcPr>
            <w:tcW w:type="dxa" w:w="6768"/>
          </w:tcPr>
          <w:p>
            <w:r>
              <w:t>An internal operator account with elevated privileges to manage users, approve or reject brands, moderate reviews, and access platform-wide analytics.</w:t>
            </w:r>
          </w:p>
        </w:tc>
      </w:tr>
      <w:tr>
        <w:tc>
          <w:tcPr>
            <w:tcW w:type="dxa" w:w="2592"/>
          </w:tcPr>
          <w:p>
            <w:r>
              <w:t>RTM</w:t>
            </w:r>
          </w:p>
        </w:tc>
        <w:tc>
          <w:tcPr>
            <w:tcW w:type="dxa" w:w="6768"/>
          </w:tcPr>
          <w:p>
            <w:r>
              <w:t>Requirements Traceability Matrix — a document that links each requirement to its design artefact, implementation file, and test evidence, confirming end-to-end coverage.</w:t>
            </w:r>
          </w:p>
        </w:tc>
      </w:tr>
      <w:tr>
        <w:tc>
          <w:tcPr>
            <w:tcW w:type="dxa" w:w="2592"/>
          </w:tcPr>
          <w:p>
            <w:r>
              <w:t>Trust Engine</w:t>
            </w:r>
          </w:p>
        </w:tc>
        <w:tc>
          <w:tcPr>
            <w:tcW w:type="dxa" w:w="6768"/>
          </w:tcPr>
          <w:p>
            <w:r>
              <w:t>The subsystem within the API layer responsible for computing and persisting trust scores and earning badges for both brands and buyers based on historical order behaviour.</w:t>
            </w:r>
          </w:p>
        </w:tc>
      </w:tr>
      <w:tr>
        <w:tc>
          <w:tcPr>
            <w:tcW w:type="dxa" w:w="2592"/>
          </w:tcPr>
          <w:p>
            <w:r>
              <w:t>Verification Tier</w:t>
            </w:r>
          </w:p>
        </w:tc>
        <w:tc>
          <w:tcPr>
            <w:tcW w:type="dxa" w:w="6768"/>
          </w:tcPr>
          <w:p>
            <w:r>
              <w:t>An administrative quality classification assigned to approved brands: Premium (highest), Verified, or New — displayed as a visual badge throughout the platform.</w:t>
            </w:r>
          </w:p>
        </w:tc>
      </w:tr>
    </w:tbl>
    <w:p/>
    <w:p>
      <w:pPr>
        <w:pStyle w:val="Heading3"/>
      </w:pPr>
      <w:r>
        <w:t>Acronyms</w:t>
      </w:r>
    </w:p>
    <w:tbl>
      <w:tblPr>
        <w:tblStyle w:val="TableGrid"/>
        <w:tblW w:type="auto" w:w="0"/>
        <w:tblLook w:firstColumn="1" w:firstRow="1" w:lastColumn="0" w:lastRow="0" w:noHBand="0" w:noVBand="1" w:val="04A0"/>
      </w:tblPr>
      <w:tblGrid>
        <w:gridCol w:w="4320"/>
        <w:gridCol w:w="4320"/>
      </w:tblGrid>
      <w:tr>
        <w:tc>
          <w:tcPr>
            <w:tcW w:type="dxa" w:w="1728"/>
          </w:tcPr>
          <w:p>
            <w:r>
              <w:rPr>
                <w:b/>
              </w:rPr>
              <w:t>Acronym</w:t>
            </w:r>
          </w:p>
        </w:tc>
        <w:tc>
          <w:tcPr>
            <w:tcW w:type="dxa" w:w="7632"/>
          </w:tcPr>
          <w:p>
            <w:r>
              <w:rPr>
                <w:b/>
              </w:rPr>
              <w:t>Expansion</w:t>
            </w:r>
          </w:p>
        </w:tc>
      </w:tr>
      <w:tr>
        <w:tc>
          <w:tcPr>
            <w:tcW w:type="dxa" w:w="1728"/>
          </w:tcPr>
          <w:p>
            <w:r>
              <w:t>API</w:t>
            </w:r>
          </w:p>
        </w:tc>
        <w:tc>
          <w:tcPr>
            <w:tcW w:type="dxa" w:w="7632"/>
          </w:tcPr>
          <w:p>
            <w:r>
              <w:t>Application Programming Interface</w:t>
            </w:r>
          </w:p>
        </w:tc>
      </w:tr>
      <w:tr>
        <w:tc>
          <w:tcPr>
            <w:tcW w:type="dxa" w:w="1728"/>
          </w:tcPr>
          <w:p>
            <w:r>
              <w:t>CRUD</w:t>
            </w:r>
          </w:p>
        </w:tc>
        <w:tc>
          <w:tcPr>
            <w:tcW w:type="dxa" w:w="7632"/>
          </w:tcPr>
          <w:p>
            <w:r>
              <w:t>Create, Read, Update, Delete</w:t>
            </w:r>
          </w:p>
        </w:tc>
      </w:tr>
      <w:tr>
        <w:tc>
          <w:tcPr>
            <w:tcW w:type="dxa" w:w="1728"/>
          </w:tcPr>
          <w:p>
            <w:r>
              <w:t>CSS</w:t>
            </w:r>
          </w:p>
        </w:tc>
        <w:tc>
          <w:tcPr>
            <w:tcW w:type="dxa" w:w="7632"/>
          </w:tcPr>
          <w:p>
            <w:r>
              <w:t>Cascading Style Sheets</w:t>
            </w:r>
          </w:p>
        </w:tc>
      </w:tr>
      <w:tr>
        <w:tc>
          <w:tcPr>
            <w:tcW w:type="dxa" w:w="1728"/>
          </w:tcPr>
          <w:p>
            <w:r>
              <w:t>FR</w:t>
            </w:r>
          </w:p>
        </w:tc>
        <w:tc>
          <w:tcPr>
            <w:tcW w:type="dxa" w:w="7632"/>
          </w:tcPr>
          <w:p>
            <w:r>
              <w:t>Functional Requirement</w:t>
            </w:r>
          </w:p>
        </w:tc>
      </w:tr>
      <w:tr>
        <w:tc>
          <w:tcPr>
            <w:tcW w:type="dxa" w:w="1728"/>
          </w:tcPr>
          <w:p>
            <w:r>
              <w:t>FRS</w:t>
            </w:r>
          </w:p>
        </w:tc>
        <w:tc>
          <w:tcPr>
            <w:tcW w:type="dxa" w:w="7632"/>
          </w:tcPr>
          <w:p>
            <w:r>
              <w:t>Functional Requirements Specification</w:t>
            </w:r>
          </w:p>
        </w:tc>
      </w:tr>
      <w:tr>
        <w:tc>
          <w:tcPr>
            <w:tcW w:type="dxa" w:w="1728"/>
          </w:tcPr>
          <w:p>
            <w:r>
              <w:t>GCC</w:t>
            </w:r>
          </w:p>
        </w:tc>
        <w:tc>
          <w:tcPr>
            <w:tcW w:type="dxa" w:w="7632"/>
          </w:tcPr>
          <w:p>
            <w:r>
              <w:t>Gulf Cooperation Council</w:t>
            </w:r>
          </w:p>
        </w:tc>
      </w:tr>
      <w:tr>
        <w:tc>
          <w:tcPr>
            <w:tcW w:type="dxa" w:w="1728"/>
          </w:tcPr>
          <w:p>
            <w:r>
              <w:t>HTTP</w:t>
            </w:r>
          </w:p>
        </w:tc>
        <w:tc>
          <w:tcPr>
            <w:tcW w:type="dxa" w:w="7632"/>
          </w:tcPr>
          <w:p>
            <w:r>
              <w:t>HyperText Transfer Protocol</w:t>
            </w:r>
          </w:p>
        </w:tc>
      </w:tr>
      <w:tr>
        <w:tc>
          <w:tcPr>
            <w:tcW w:type="dxa" w:w="1728"/>
          </w:tcPr>
          <w:p>
            <w:r>
              <w:t>i18n</w:t>
            </w:r>
          </w:p>
        </w:tc>
        <w:tc>
          <w:tcPr>
            <w:tcW w:type="dxa" w:w="7632"/>
          </w:tcPr>
          <w:p>
            <w:r>
              <w:t>Internationalisation (18 letters between 'i' and 'n')</w:t>
            </w:r>
          </w:p>
        </w:tc>
      </w:tr>
      <w:tr>
        <w:tc>
          <w:tcPr>
            <w:tcW w:type="dxa" w:w="1728"/>
          </w:tcPr>
          <w:p>
            <w:r>
              <w:t>JWT</w:t>
            </w:r>
          </w:p>
        </w:tc>
        <w:tc>
          <w:tcPr>
            <w:tcW w:type="dxa" w:w="7632"/>
          </w:tcPr>
          <w:p>
            <w:r>
              <w:t>JSON Web Token</w:t>
            </w:r>
          </w:p>
        </w:tc>
      </w:tr>
      <w:tr>
        <w:tc>
          <w:tcPr>
            <w:tcW w:type="dxa" w:w="1728"/>
          </w:tcPr>
          <w:p>
            <w:r>
              <w:t>KLOC</w:t>
            </w:r>
          </w:p>
        </w:tc>
        <w:tc>
          <w:tcPr>
            <w:tcW w:type="dxa" w:w="7632"/>
          </w:tcPr>
          <w:p>
            <w:r>
              <w:t>Thousand Lines of Code</w:t>
            </w:r>
          </w:p>
        </w:tc>
      </w:tr>
      <w:tr>
        <w:tc>
          <w:tcPr>
            <w:tcW w:type="dxa" w:w="1728"/>
          </w:tcPr>
          <w:p>
            <w:r>
              <w:t>KWD</w:t>
            </w:r>
          </w:p>
        </w:tc>
        <w:tc>
          <w:tcPr>
            <w:tcW w:type="dxa" w:w="7632"/>
          </w:tcPr>
          <w:p>
            <w:r>
              <w:t>Kuwaiti Dinar (ISO 4217 currency code)</w:t>
            </w:r>
          </w:p>
        </w:tc>
      </w:tr>
      <w:tr>
        <w:tc>
          <w:tcPr>
            <w:tcW w:type="dxa" w:w="1728"/>
          </w:tcPr>
          <w:p>
            <w:r>
              <w:t>MBL</w:t>
            </w:r>
          </w:p>
        </w:tc>
        <w:tc>
          <w:tcPr>
            <w:tcW w:type="dxa" w:w="7632"/>
          </w:tcPr>
          <w:p>
            <w:r>
              <w:t>Make-Buy-Lease (procurement decision framework)</w:t>
            </w:r>
          </w:p>
        </w:tc>
      </w:tr>
      <w:tr>
        <w:tc>
          <w:tcPr>
            <w:tcW w:type="dxa" w:w="1728"/>
          </w:tcPr>
          <w:p>
            <w:r>
              <w:t>MOQ</w:t>
            </w:r>
          </w:p>
        </w:tc>
        <w:tc>
          <w:tcPr>
            <w:tcW w:type="dxa" w:w="7632"/>
          </w:tcPr>
          <w:p>
            <w:r>
              <w:t>Minimum Order Quantity</w:t>
            </w:r>
          </w:p>
        </w:tc>
      </w:tr>
      <w:tr>
        <w:tc>
          <w:tcPr>
            <w:tcW w:type="dxa" w:w="1728"/>
          </w:tcPr>
          <w:p>
            <w:r>
              <w:t>MVP</w:t>
            </w:r>
          </w:p>
        </w:tc>
        <w:tc>
          <w:tcPr>
            <w:tcW w:type="dxa" w:w="7632"/>
          </w:tcPr>
          <w:p>
            <w:r>
              <w:t>Minimum Viable Product</w:t>
            </w:r>
          </w:p>
        </w:tc>
      </w:tr>
      <w:tr>
        <w:tc>
          <w:tcPr>
            <w:tcW w:type="dxa" w:w="1728"/>
          </w:tcPr>
          <w:p>
            <w:r>
              <w:t>NFR</w:t>
            </w:r>
          </w:p>
        </w:tc>
        <w:tc>
          <w:tcPr>
            <w:tcW w:type="dxa" w:w="7632"/>
          </w:tcPr>
          <w:p>
            <w:r>
              <w:t>Non-Functional Requirement</w:t>
            </w:r>
          </w:p>
        </w:tc>
      </w:tr>
      <w:tr>
        <w:tc>
          <w:tcPr>
            <w:tcW w:type="dxa" w:w="1728"/>
          </w:tcPr>
          <w:p>
            <w:r>
              <w:t>RBAC</w:t>
            </w:r>
          </w:p>
        </w:tc>
        <w:tc>
          <w:tcPr>
            <w:tcW w:type="dxa" w:w="7632"/>
          </w:tcPr>
          <w:p>
            <w:r>
              <w:t>Role-Based Access Control</w:t>
            </w:r>
          </w:p>
        </w:tc>
      </w:tr>
      <w:tr>
        <w:tc>
          <w:tcPr>
            <w:tcW w:type="dxa" w:w="1728"/>
          </w:tcPr>
          <w:p>
            <w:r>
              <w:t>REST</w:t>
            </w:r>
          </w:p>
        </w:tc>
        <w:tc>
          <w:tcPr>
            <w:tcW w:type="dxa" w:w="7632"/>
          </w:tcPr>
          <w:p>
            <w:r>
              <w:t>Representational State Transfer</w:t>
            </w:r>
          </w:p>
        </w:tc>
      </w:tr>
      <w:tr>
        <w:tc>
          <w:tcPr>
            <w:tcW w:type="dxa" w:w="1728"/>
          </w:tcPr>
          <w:p>
            <w:r>
              <w:t>RTL</w:t>
            </w:r>
          </w:p>
        </w:tc>
        <w:tc>
          <w:tcPr>
            <w:tcW w:type="dxa" w:w="7632"/>
          </w:tcPr>
          <w:p>
            <w:r>
              <w:t>Right-To-Left (text direction for Arabic script)</w:t>
            </w:r>
          </w:p>
        </w:tc>
      </w:tr>
      <w:tr>
        <w:tc>
          <w:tcPr>
            <w:tcW w:type="dxa" w:w="1728"/>
          </w:tcPr>
          <w:p>
            <w:r>
              <w:t>RTM</w:t>
            </w:r>
          </w:p>
        </w:tc>
        <w:tc>
          <w:tcPr>
            <w:tcW w:type="dxa" w:w="7632"/>
          </w:tcPr>
          <w:p>
            <w:r>
              <w:t>Requirements Traceability Matrix</w:t>
            </w:r>
          </w:p>
        </w:tc>
      </w:tr>
      <w:tr>
        <w:tc>
          <w:tcPr>
            <w:tcW w:type="dxa" w:w="1728"/>
          </w:tcPr>
          <w:p>
            <w:r>
              <w:t>SLOC</w:t>
            </w:r>
          </w:p>
        </w:tc>
        <w:tc>
          <w:tcPr>
            <w:tcW w:type="dxa" w:w="7632"/>
          </w:tcPr>
          <w:p>
            <w:r>
              <w:t>Source Lines of Code</w:t>
            </w:r>
          </w:p>
        </w:tc>
      </w:tr>
      <w:tr>
        <w:tc>
          <w:tcPr>
            <w:tcW w:type="dxa" w:w="1728"/>
          </w:tcPr>
          <w:p>
            <w:r>
              <w:t>SRS</w:t>
            </w:r>
          </w:p>
        </w:tc>
        <w:tc>
          <w:tcPr>
            <w:tcW w:type="dxa" w:w="7632"/>
          </w:tcPr>
          <w:p>
            <w:r>
              <w:t>Software Requirements Specification</w:t>
            </w:r>
          </w:p>
        </w:tc>
      </w:tr>
      <w:tr>
        <w:tc>
          <w:tcPr>
            <w:tcW w:type="dxa" w:w="1728"/>
          </w:tcPr>
          <w:p>
            <w:r>
              <w:t>SSR</w:t>
            </w:r>
          </w:p>
        </w:tc>
        <w:tc>
          <w:tcPr>
            <w:tcW w:type="dxa" w:w="7632"/>
          </w:tcPr>
          <w:p>
            <w:r>
              <w:t>Server-Side Rendering</w:t>
            </w:r>
          </w:p>
        </w:tc>
      </w:tr>
      <w:tr>
        <w:tc>
          <w:tcPr>
            <w:tcW w:type="dxa" w:w="1728"/>
          </w:tcPr>
          <w:p>
            <w:r>
              <w:t>TSX</w:t>
            </w:r>
          </w:p>
        </w:tc>
        <w:tc>
          <w:tcPr>
            <w:tcW w:type="dxa" w:w="7632"/>
          </w:tcPr>
          <w:p>
            <w:r>
              <w:t>TypeScript JSX — TypeScript files containing React JSX syntax</w:t>
            </w:r>
          </w:p>
        </w:tc>
      </w:tr>
      <w:tr>
        <w:tc>
          <w:tcPr>
            <w:tcW w:type="dxa" w:w="1728"/>
          </w:tcPr>
          <w:p>
            <w:r>
              <w:t>UC</w:t>
            </w:r>
          </w:p>
        </w:tc>
        <w:tc>
          <w:tcPr>
            <w:tcW w:type="dxa" w:w="7632"/>
          </w:tcPr>
          <w:p>
            <w:r>
              <w:t>Use Case</w:t>
            </w:r>
          </w:p>
        </w:tc>
      </w:tr>
      <w:tr>
        <w:tc>
          <w:tcPr>
            <w:tcW w:type="dxa" w:w="1728"/>
          </w:tcPr>
          <w:p>
            <w:r>
              <w:t>UI</w:t>
            </w:r>
          </w:p>
        </w:tc>
        <w:tc>
          <w:tcPr>
            <w:tcW w:type="dxa" w:w="7632"/>
          </w:tcPr>
          <w:p>
            <w:r>
              <w:t>User Interface</w:t>
            </w:r>
          </w:p>
        </w:tc>
      </w:tr>
      <w:tr>
        <w:tc>
          <w:tcPr>
            <w:tcW w:type="dxa" w:w="1728"/>
          </w:tcPr>
          <w:p>
            <w:r>
              <w:t>UML</w:t>
            </w:r>
          </w:p>
        </w:tc>
        <w:tc>
          <w:tcPr>
            <w:tcW w:type="dxa" w:w="7632"/>
          </w:tcPr>
          <w:p>
            <w:r>
              <w:t>Unified Modelling Language</w:t>
            </w:r>
          </w:p>
        </w:tc>
      </w:tr>
    </w:tbl>
    <w:p/>
    <w:p>
      <w:pPr>
        <w:pStyle w:val="Heading3"/>
      </w:pPr>
      <w:r>
        <w:t>Abbreviations</w:t>
      </w:r>
    </w:p>
    <w:tbl>
      <w:tblPr>
        <w:tblStyle w:val="TableGrid"/>
        <w:tblW w:type="auto" w:w="0"/>
        <w:tblLook w:firstColumn="1" w:firstRow="1" w:lastColumn="0" w:lastRow="0" w:noHBand="0" w:noVBand="1" w:val="04A0"/>
      </w:tblPr>
      <w:tblGrid>
        <w:gridCol w:w="4320"/>
        <w:gridCol w:w="4320"/>
      </w:tblGrid>
      <w:tr>
        <w:tc>
          <w:tcPr>
            <w:tcW w:type="dxa" w:w="2160"/>
          </w:tcPr>
          <w:p>
            <w:r>
              <w:rPr>
                <w:b/>
              </w:rPr>
              <w:t>Abbreviation</w:t>
            </w:r>
          </w:p>
        </w:tc>
        <w:tc>
          <w:tcPr>
            <w:tcW w:type="dxa" w:w="7200"/>
          </w:tcPr>
          <w:p>
            <w:r>
              <w:rPr>
                <w:b/>
              </w:rPr>
              <w:t>Meaning</w:t>
            </w:r>
          </w:p>
        </w:tc>
      </w:tr>
      <w:tr>
        <w:tc>
          <w:tcPr>
            <w:tcW w:type="dxa" w:w="2160"/>
          </w:tcPr>
          <w:p>
            <w:r>
              <w:t>AED</w:t>
            </w:r>
          </w:p>
        </w:tc>
        <w:tc>
          <w:tcPr>
            <w:tcW w:type="dxa" w:w="7200"/>
          </w:tcPr>
          <w:p>
            <w:r>
              <w:t>UAE Dirham — currency of the United Arab Emirates</w:t>
            </w:r>
          </w:p>
        </w:tc>
      </w:tr>
      <w:tr>
        <w:tc>
          <w:tcPr>
            <w:tcW w:type="dxa" w:w="2160"/>
          </w:tcPr>
          <w:p>
            <w:r>
              <w:t>AUM</w:t>
            </w:r>
          </w:p>
        </w:tc>
        <w:tc>
          <w:tcPr>
            <w:tcW w:type="dxa" w:w="7200"/>
          </w:tcPr>
          <w:p>
            <w:r>
              <w:t>American University of the Middle East</w:t>
            </w:r>
          </w:p>
        </w:tc>
      </w:tr>
      <w:tr>
        <w:tc>
          <w:tcPr>
            <w:tcW w:type="dxa" w:w="2160"/>
          </w:tcPr>
          <w:p>
            <w:r>
              <w:t>BHD</w:t>
            </w:r>
          </w:p>
        </w:tc>
        <w:tc>
          <w:tcPr>
            <w:tcW w:type="dxa" w:w="7200"/>
          </w:tcPr>
          <w:p>
            <w:r>
              <w:t>Bahraini Dinar — currency of Bahrain</w:t>
            </w:r>
          </w:p>
        </w:tc>
      </w:tr>
      <w:tr>
        <w:tc>
          <w:tcPr>
            <w:tcW w:type="dxa" w:w="2160"/>
          </w:tcPr>
          <w:p>
            <w:r>
              <w:t>CI/CD</w:t>
            </w:r>
          </w:p>
        </w:tc>
        <w:tc>
          <w:tcPr>
            <w:tcW w:type="dxa" w:w="7200"/>
          </w:tcPr>
          <w:p>
            <w:r>
              <w:t>Continuous Integration / Continuous Delivery</w:t>
            </w:r>
          </w:p>
        </w:tc>
      </w:tr>
      <w:tr>
        <w:tc>
          <w:tcPr>
            <w:tcW w:type="dxa" w:w="2160"/>
          </w:tcPr>
          <w:p>
            <w:r>
              <w:t>E2E</w:t>
            </w:r>
          </w:p>
        </w:tc>
        <w:tc>
          <w:tcPr>
            <w:tcW w:type="dxa" w:w="7200"/>
          </w:tcPr>
          <w:p>
            <w:r>
              <w:t>End-to-End (testing methodology)</w:t>
            </w:r>
          </w:p>
        </w:tc>
      </w:tr>
      <w:tr>
        <w:tc>
          <w:tcPr>
            <w:tcW w:type="dxa" w:w="2160"/>
          </w:tcPr>
          <w:p>
            <w:r>
              <w:t>LTR</w:t>
            </w:r>
          </w:p>
        </w:tc>
        <w:tc>
          <w:tcPr>
            <w:tcW w:type="dxa" w:w="7200"/>
          </w:tcPr>
          <w:p>
            <w:r>
              <w:t>Left-To-Right text direction (English layout)</w:t>
            </w:r>
          </w:p>
        </w:tc>
      </w:tr>
      <w:tr>
        <w:tc>
          <w:tcPr>
            <w:tcW w:type="dxa" w:w="2160"/>
          </w:tcPr>
          <w:p>
            <w:r>
              <w:t>PR</w:t>
            </w:r>
          </w:p>
        </w:tc>
        <w:tc>
          <w:tcPr>
            <w:tcW w:type="dxa" w:w="7200"/>
          </w:tcPr>
          <w:p>
            <w:r>
              <w:t>Pull Request — a code review submission in Git</w:t>
            </w:r>
          </w:p>
        </w:tc>
      </w:tr>
      <w:tr>
        <w:tc>
          <w:tcPr>
            <w:tcW w:type="dxa" w:w="2160"/>
          </w:tcPr>
          <w:p>
            <w:r>
              <w:t>QAR</w:t>
            </w:r>
          </w:p>
        </w:tc>
        <w:tc>
          <w:tcPr>
            <w:tcW w:type="dxa" w:w="7200"/>
          </w:tcPr>
          <w:p>
            <w:r>
              <w:t>Qatari Riyal — currency of Qatar</w:t>
            </w:r>
          </w:p>
        </w:tc>
      </w:tr>
      <w:tr>
        <w:tc>
          <w:tcPr>
            <w:tcW w:type="dxa" w:w="2160"/>
          </w:tcPr>
          <w:p>
            <w:r>
              <w:t>RTL</w:t>
            </w:r>
          </w:p>
        </w:tc>
        <w:tc>
          <w:tcPr>
            <w:tcW w:type="dxa" w:w="7200"/>
          </w:tcPr>
          <w:p>
            <w:r>
              <w:t>Right-To-Left text direction (Arabic layout)</w:t>
            </w:r>
          </w:p>
        </w:tc>
      </w:tr>
      <w:tr>
        <w:tc>
          <w:tcPr>
            <w:tcW w:type="dxa" w:w="2160"/>
          </w:tcPr>
          <w:p>
            <w:r>
              <w:t>SAR</w:t>
            </w:r>
          </w:p>
        </w:tc>
        <w:tc>
          <w:tcPr>
            <w:tcW w:type="dxa" w:w="7200"/>
          </w:tcPr>
          <w:p>
            <w:r>
              <w:t>Saudi Riyal — currency of Saudi Arabia</w:t>
            </w:r>
          </w:p>
        </w:tc>
      </w:tr>
      <w:tr>
        <w:tc>
          <w:tcPr>
            <w:tcW w:type="dxa" w:w="2160"/>
          </w:tcPr>
          <w:p>
            <w:r>
              <w:t>v</w:t>
            </w:r>
          </w:p>
        </w:tc>
        <w:tc>
          <w:tcPr>
            <w:tcW w:type="dxa" w:w="7200"/>
          </w:tcPr>
          <w:p>
            <w:r>
              <w:t>Version (as in v1.0.0 or v3.5.2.1)</w:t>
            </w:r>
          </w:p>
        </w:tc>
      </w:tr>
      <w:tr>
        <w:tc>
          <w:tcPr>
            <w:tcW w:type="dxa" w:w="2160"/>
          </w:tcPr>
          <w:p>
            <w:r>
              <w:t>VCS</w:t>
            </w:r>
          </w:p>
        </w:tc>
        <w:tc>
          <w:tcPr>
            <w:tcW w:type="dxa" w:w="7200"/>
          </w:tcPr>
          <w:p>
            <w:r>
              <w:t>Version Control System (Git in this project)</w:t>
            </w:r>
          </w:p>
        </w:tc>
      </w:tr>
    </w:tbl>
    <w:p/>
    <w:p>
      <w:pPr>
        <w:pStyle w:val="Heading3"/>
      </w:pPr>
      <w:r>
        <w:t>Symbols</w:t>
      </w:r>
    </w:p>
    <w:tbl>
      <w:tblPr>
        <w:tblStyle w:val="TableGrid"/>
        <w:tblW w:type="auto" w:w="0"/>
        <w:tblLook w:firstColumn="1" w:firstRow="1" w:lastColumn="0" w:lastRow="0" w:noHBand="0" w:noVBand="1" w:val="04A0"/>
      </w:tblPr>
      <w:tblGrid>
        <w:gridCol w:w="4320"/>
        <w:gridCol w:w="4320"/>
      </w:tblGrid>
      <w:tr>
        <w:tc>
          <w:tcPr>
            <w:tcW w:type="dxa" w:w="1296"/>
          </w:tcPr>
          <w:p>
            <w:r>
              <w:rPr>
                <w:b/>
              </w:rPr>
              <w:t>Symbol</w:t>
            </w:r>
          </w:p>
        </w:tc>
        <w:tc>
          <w:tcPr>
            <w:tcW w:type="dxa" w:w="8064"/>
          </w:tcPr>
          <w:p>
            <w:r>
              <w:rPr>
                <w:b/>
              </w:rPr>
              <w:t>Meaning in This Report</w:t>
            </w:r>
          </w:p>
        </w:tc>
      </w:tr>
      <w:tr>
        <w:tc>
          <w:tcPr>
            <w:tcW w:type="dxa" w:w="1296"/>
          </w:tcPr>
          <w:p>
            <w:r>
              <w:t>→</w:t>
            </w:r>
          </w:p>
        </w:tc>
        <w:tc>
          <w:tcPr>
            <w:tcW w:type="dxa" w:w="8064"/>
          </w:tcPr>
          <w:p>
            <w:r>
              <w:t>State transition or data flow (e.g., pending → approved → completed)</w:t>
            </w:r>
          </w:p>
        </w:tc>
      </w:tr>
      <w:tr>
        <w:tc>
          <w:tcPr>
            <w:tcW w:type="dxa" w:w="1296"/>
          </w:tcPr>
          <w:p>
            <w:r>
              <w:t>≥</w:t>
            </w:r>
          </w:p>
        </w:tc>
        <w:tc>
          <w:tcPr>
            <w:tcW w:type="dxa" w:w="8064"/>
          </w:tcPr>
          <w:p>
            <w:r>
              <w:t>Greater than or equal to (MOQ and threshold expressions)</w:t>
            </w:r>
          </w:p>
        </w:tc>
      </w:tr>
      <w:tr>
        <w:tc>
          <w:tcPr>
            <w:tcW w:type="dxa" w:w="1296"/>
          </w:tcPr>
          <w:p>
            <w:r>
              <w:t>&lt;</w:t>
            </w:r>
          </w:p>
        </w:tc>
        <w:tc>
          <w:tcPr>
            <w:tcW w:type="dxa" w:w="8064"/>
          </w:tcPr>
          <w:p>
            <w:r>
              <w:t>Strictly less than (performance target thresholds)</w:t>
            </w:r>
          </w:p>
        </w:tc>
      </w:tr>
      <w:tr>
        <w:tc>
          <w:tcPr>
            <w:tcW w:type="dxa" w:w="1296"/>
          </w:tcPr>
          <w:p>
            <w:r>
              <w:t>%</w:t>
            </w:r>
          </w:p>
        </w:tc>
        <w:tc>
          <w:tcPr>
            <w:tcW w:type="dxa" w:w="8064"/>
          </w:tcPr>
          <w:p>
            <w:r>
              <w:t>Percentage — completion metrics, chapter weight distribution, code coverage</w:t>
            </w:r>
          </w:p>
        </w:tc>
      </w:tr>
      <w:tr>
        <w:tc>
          <w:tcPr>
            <w:tcW w:type="dxa" w:w="1296"/>
          </w:tcPr>
          <w:p>
            <w:r>
              <w:t>*</w:t>
            </w:r>
          </w:p>
        </w:tc>
        <w:tc>
          <w:tcPr>
            <w:tcW w:type="dxa" w:w="8064"/>
          </w:tcPr>
          <w:p>
            <w:r>
              <w:t>Wildcard in API route path patterns (e.g., /api/*)</w:t>
            </w:r>
          </w:p>
        </w:tc>
      </w:tr>
      <w:tr>
        <w:tc>
          <w:tcPr>
            <w:tcW w:type="dxa" w:w="1296"/>
          </w:tcPr>
          <w:p>
            <w:r>
              <w:t>[ ]</w:t>
            </w:r>
          </w:p>
        </w:tc>
        <w:tc>
          <w:tcPr>
            <w:tcW w:type="dxa" w:w="8064"/>
          </w:tcPr>
          <w:p>
            <w:r>
              <w:t>Array notation — list-typed field (e.g., bulk_pricing_tiers[])</w:t>
            </w:r>
          </w:p>
        </w:tc>
      </w:tr>
      <w:tr>
        <w:tc>
          <w:tcPr>
            <w:tcW w:type="dxa" w:w="1296"/>
          </w:tcPr>
          <w:p>
            <w:r>
              <w:t>~</w:t>
            </w:r>
          </w:p>
        </w:tc>
        <w:tc>
          <w:tcPr>
            <w:tcW w:type="dxa" w:w="8064"/>
          </w:tcPr>
          <w:p>
            <w:r>
              <w:t>Approximately equal to (estimation figures)</w:t>
            </w:r>
          </w:p>
        </w:tc>
      </w:tr>
      <w:tr>
        <w:tc>
          <w:tcPr>
            <w:tcW w:type="dxa" w:w="1296"/>
          </w:tcPr>
          <w:p>
            <w:r>
              <w:t>KD</w:t>
            </w:r>
          </w:p>
        </w:tc>
        <w:tc>
          <w:tcPr>
            <w:tcW w:type="dxa" w:w="8064"/>
          </w:tcPr>
          <w:p>
            <w:r>
              <w:t>Display symbol for Kuwaiti Dinar (ISO code: KWD)</w:t>
            </w:r>
          </w:p>
        </w:tc>
      </w:tr>
      <w:tr>
        <w:tc>
          <w:tcPr>
            <w:tcW w:type="dxa" w:w="1296"/>
          </w:tcPr>
          <w:p>
            <w:r>
              <w:t>/</w:t>
            </w:r>
          </w:p>
        </w:tc>
        <w:tc>
          <w:tcPr>
            <w:tcW w:type="dxa" w:w="8064"/>
          </w:tcPr>
          <w:p>
            <w:r>
              <w:t>File system and URL path separator</w:t>
            </w:r>
          </w:p>
        </w:tc>
      </w:tr>
      <w:tr>
        <w:tc>
          <w:tcPr>
            <w:tcW w:type="dxa" w:w="1296"/>
          </w:tcPr>
          <w:p>
            <w:r>
              <w:t>§</w:t>
            </w:r>
          </w:p>
        </w:tc>
        <w:tc>
          <w:tcPr>
            <w:tcW w:type="dxa" w:w="8064"/>
          </w:tcPr>
          <w:p>
            <w:r>
              <w:t>Section reference (e.g., §2.1 = Section 2.1 of this report)</w:t>
            </w:r>
          </w:p>
        </w:tc>
      </w:tr>
    </w:tbl>
    <w:p/>
    <w:p>
      <w:pPr>
        <w:pStyle w:val="Heading2"/>
      </w:pPr>
      <w:r>
        <w:t>1.4  Intended Readership</w:t>
      </w:r>
    </w:p>
    <w:p>
      <w:pPr/>
      <w:r>
        <w:t>This report is written to serve multiple audiences. The table below identifies the five primary readership groups and the sections of the report most pertinent to each.</w:t>
      </w:r>
    </w:p>
    <w:tbl>
      <w:tblPr>
        <w:tblStyle w:val="TableGrid"/>
        <w:tblW w:type="auto" w:w="0"/>
        <w:tblLook w:firstColumn="1" w:firstRow="1" w:lastColumn="0" w:lastRow="0" w:noHBand="0" w:noVBand="1" w:val="04A0"/>
      </w:tblPr>
      <w:tblGrid>
        <w:gridCol w:w="2880"/>
        <w:gridCol w:w="2880"/>
        <w:gridCol w:w="2880"/>
      </w:tblGrid>
      <w:tr>
        <w:tc>
          <w:tcPr>
            <w:tcW w:type="dxa" w:w="2448"/>
          </w:tcPr>
          <w:p>
            <w:r>
              <w:rPr>
                <w:b/>
              </w:rPr>
              <w:t>Readership Group</w:t>
            </w:r>
          </w:p>
        </w:tc>
        <w:tc>
          <w:tcPr>
            <w:tcW w:type="dxa" w:w="2592"/>
          </w:tcPr>
          <w:p>
            <w:r>
              <w:rPr>
                <w:b/>
              </w:rPr>
              <w:t>Role</w:t>
            </w:r>
          </w:p>
        </w:tc>
        <w:tc>
          <w:tcPr>
            <w:tcW w:type="dxa" w:w="4320"/>
          </w:tcPr>
          <w:p>
            <w:r>
              <w:rPr>
                <w:b/>
              </w:rPr>
              <w:t>Key Sections</w:t>
            </w:r>
          </w:p>
        </w:tc>
      </w:tr>
      <w:tr>
        <w:tc>
          <w:tcPr>
            <w:tcW w:type="dxa" w:w="2448"/>
          </w:tcPr>
          <w:p>
            <w:r>
              <w:t>Platform Administrators</w:t>
            </w:r>
          </w:p>
        </w:tc>
        <w:tc>
          <w:tcPr>
            <w:tcW w:type="dxa" w:w="2592"/>
          </w:tcPr>
          <w:p>
            <w:r>
              <w:t>Operational staff responsible for running the live Kuwait B2B Hub platform post-launch.</w:t>
            </w:r>
          </w:p>
        </w:tc>
        <w:tc>
          <w:tcPr>
            <w:tcW w:type="dxa" w:w="4320"/>
          </w:tcPr>
          <w:p>
            <w:r>
              <w:t>§1.2 (roles &amp; features), §2.2–2.4 (requirements), §4 (implementation), §7 (project management)</w:t>
            </w:r>
          </w:p>
        </w:tc>
      </w:tr>
      <w:tr>
        <w:tc>
          <w:tcPr>
            <w:tcW w:type="dxa" w:w="2448"/>
          </w:tcPr>
          <w:p>
            <w:r>
              <w:t>Brand Owners</w:t>
            </w:r>
          </w:p>
        </w:tc>
        <w:tc>
          <w:tcPr>
            <w:tcW w:type="dxa" w:w="2592"/>
          </w:tcPr>
          <w:p>
            <w:r>
              <w:t>Wholesale suppliers and manufacturers considering or actively using the platform.</w:t>
            </w:r>
          </w:p>
        </w:tc>
        <w:tc>
          <w:tcPr>
            <w:tcW w:type="dxa" w:w="4320"/>
          </w:tcPr>
          <w:p>
            <w:r>
              <w:t>§1.2 (overview), §2.5 (FRS — brand &amp; product subsystems), §4.4 (make/buy analysis)</w:t>
            </w:r>
          </w:p>
        </w:tc>
      </w:tr>
      <w:tr>
        <w:tc>
          <w:tcPr>
            <w:tcW w:type="dxa" w:w="2448"/>
          </w:tcPr>
          <w:p>
            <w:r>
              <w:t>Business Buyers</w:t>
            </w:r>
          </w:p>
        </w:tc>
        <w:tc>
          <w:tcPr>
            <w:tcW w:type="dxa" w:w="2592"/>
          </w:tcPr>
          <w:p>
            <w:r>
              <w:t>Retail and wholesale procurement professionals evaluating the platform for sourcing.</w:t>
            </w:r>
          </w:p>
        </w:tc>
        <w:tc>
          <w:tcPr>
            <w:tcW w:type="dxa" w:w="4320"/>
          </w:tcPr>
          <w:p>
            <w:r>
              <w:t>§1.2 (overview), §2.7 use cases UC-03, UC-05, UC-06, §5 (system evaluation)</w:t>
            </w:r>
          </w:p>
        </w:tc>
      </w:tr>
      <w:tr>
        <w:tc>
          <w:tcPr>
            <w:tcW w:type="dxa" w:w="2448"/>
          </w:tcPr>
          <w:p>
            <w:r>
              <w:t>Dr. Rababaah (Supervisor)</w:t>
            </w:r>
          </w:p>
        </w:tc>
        <w:tc>
          <w:tcPr>
            <w:tcW w:type="dxa" w:w="2592"/>
          </w:tcPr>
          <w:p>
            <w:r>
              <w:t>Academic supervisor assessing the project against Software Engineering course criteria.</w:t>
            </w:r>
          </w:p>
        </w:tc>
        <w:tc>
          <w:tcPr>
            <w:tcW w:type="dxa" w:w="4320"/>
          </w:tcPr>
          <w:p>
            <w:r>
              <w:t>All chapters. Particular focus: §2 (SRS), §3 (design), §4 (implementation), §5 (evaluation), §7 (project management, COCOMO, risk).</w:t>
            </w:r>
          </w:p>
        </w:tc>
      </w:tr>
      <w:tr>
        <w:tc>
          <w:tcPr>
            <w:tcW w:type="dxa" w:w="2448"/>
          </w:tcPr>
          <w:p>
            <w:r>
              <w:t>Future Developers</w:t>
            </w:r>
          </w:p>
        </w:tc>
        <w:tc>
          <w:tcPr>
            <w:tcW w:type="dxa" w:w="2592"/>
          </w:tcPr>
          <w:p>
            <w:r>
              <w:t>Engineers who will extend, maintain, or deploy the platform beyond the academic submission.</w:t>
            </w:r>
          </w:p>
        </w:tc>
        <w:tc>
          <w:tcPr>
            <w:tcW w:type="dxa" w:w="4320"/>
          </w:tcPr>
          <w:p>
            <w:r>
              <w:t>§3 (design), §4 (implementation &amp; deployment spec), §4.5 (configuration management), §6 (system evolution), Appendix B (source file extracts).</w:t>
            </w:r>
          </w:p>
        </w:tc>
      </w:tr>
    </w:tbl>
    <w:p/>
    <w:p>
      <w:pPr>
        <w:pStyle w:val="Heading2"/>
      </w:pPr>
      <w:r>
        <w:t>1.5  Product Scope</w:t>
      </w:r>
    </w:p>
    <w:p>
      <w:pPr>
        <w:pStyle w:val="Heading3"/>
      </w:pPr>
      <w:r>
        <w:t>Functional Scope</w:t>
      </w:r>
    </w:p>
    <w:p>
      <w:pPr/>
      <w:r>
        <w:t>The Kuwait B2B Hub delivers a comprehensive set of functional capabilities organised across five primary subsystems. The Authentication and User Management subsystem provides secure account registration with role selection (buyer or brand owner), login and logout with HTTP-only session cookies persisting for seven days, and role-based route protection enforced at both the Next.js middleware layer and within each API route handler. Admin accounts are created internally by the platform operator.</w:t>
      </w:r>
    </w:p>
    <w:p>
      <w:pPr/>
      <w:r>
        <w:t>The Brand Management subsystem enables brand owners to create and maintain brand profiles, submit listings for administrative verification, achieve one of three verification tiers (Premium, Verified, New), configure WhatsApp contact details with automatic click-count tracking, and set business hours and automated reply messages. The Product and Catalogue Management subsystem allows brand owners to create, edit, and delete product listings with full attributes including images, stock levels, minimum order quantities, and structured bulk-pricing tiers. Brands may bulk-import entire product catalogues from Microsoft Excel (.xlsx) files, reducing manual catalogue population effort significantly.</w:t>
      </w:r>
    </w:p>
    <w:p>
      <w:pPr/>
      <w:r>
        <w:t>The Order Management subsystem supports the full order lifecycle: buyers submit requests with MOQ and stock validation enforced at submission time; brand owners review and approve or reject requests; orders transition through a defined status sequence (pending → approved → completed / rejected); both parties receive targeted in-app notifications at each transition. The Trust, Review, and Notification subsystem provides 1-to-5 star review submission with optional anonymity, brand replies to reviews, admin moderation tools, and a Trust Engine that computes composite trust scores for both brands (response rate, completion rate, average fulfilment days) and buyers (total orders, completion rate, cancellation rate) from historical order data.</w:t>
      </w:r>
    </w:p>
    <w:p>
      <w:pPr>
        <w:pStyle w:val="Heading3"/>
      </w:pPr>
      <w:r>
        <w:t>Non-Functional Scope</w:t>
      </w:r>
    </w:p>
    <w:p>
      <w:pPr/>
      <w:r>
        <w:t>Beyond its functional features, the Kuwait B2B Hub is governed by eight non-functional requirements that define the quality attributes of the system. Performance targets require API response times under 300 milliseconds for standard read operations under normal load. The security posture mandates HTTP-only, SameSite-protected session cookies; HTTPS enforcement via Vercel's edge network; and a mandatory transition from the MVP's plain-text credential storage to Supabase's bcrypt-based authentication before any public deployment. Usability requirements mandate that all primary workflows are operable on mobile viewports as small as 375 pixels wide, supported by a dedicated bottom navigation bar and mobile-optimised top bar. Internationalisation requirements specify that every user-facing string is externalised to locale-specific message files, enabling complete Arabic RTL and English LTR rendering without any hard-coded string literals in component files. Scalability requirements ensure that the data access abstraction layer can be migrated from the JSON prototype store to Supabase PostgreSQL without modifying any API route handler — a key architectural decision that protects the application layer from infrastructure churn during the production transition.</w:t>
      </w:r>
    </w:p>
    <w:p>
      <w:pPr>
        <w:pStyle w:val="Heading2"/>
      </w:pPr>
      <w:r>
        <w:t>1.6  Team Workload Distribution</w:t>
      </w:r>
    </w:p>
    <w:p>
      <w:pPr/>
      <w:r>
        <w:t>The following table documents each team member's authoring responsibilities across the ten chapters of the Final Report. Chapter weights reflect the relative academic and technical significance of each section as a proportion of total report effort. A weight of 25% for Chapter IV (Implementation) reflects its status as the largest technical deliverable, encompassing codebase documentation, architecture evidence, make/buy analysis, configuration management, and deployment specification.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tcPr>
          <w:p>
            <w:r>
              <w:rPr>
                <w:b/>
              </w:rPr>
              <w:t>Chapter</w:t>
            </w:r>
          </w:p>
        </w:tc>
        <w:tc>
          <w:tcPr>
            <w:tcW w:type="dxa" w:w="2448"/>
          </w:tcPr>
          <w:p>
            <w:r>
              <w:rPr>
                <w:b/>
              </w:rPr>
              <w:t>Title</w:t>
            </w:r>
          </w:p>
        </w:tc>
        <w:tc>
          <w:tcPr>
            <w:tcW w:type="dxa" w:w="1008"/>
          </w:tcPr>
          <w:p>
            <w:r>
              <w:rPr>
                <w:b/>
              </w:rPr>
              <w:t>Weight</w:t>
            </w:r>
          </w:p>
        </w:tc>
        <w:tc>
          <w:tcPr>
            <w:tcW w:type="dxa" w:w="2448"/>
          </w:tcPr>
          <w:p>
            <w:r>
              <w:rPr>
                <w:b/>
              </w:rPr>
              <w:t>Primary Lead</w:t>
            </w:r>
          </w:p>
        </w:tc>
        <w:tc>
          <w:tcPr>
            <w:tcW w:type="dxa" w:w="2448"/>
          </w:tcPr>
          <w:p>
            <w:r>
              <w:rPr>
                <w:b/>
              </w:rPr>
              <w:t>Support / Contributors</w:t>
            </w:r>
          </w:p>
        </w:tc>
      </w:tr>
      <w:tr>
        <w:tc>
          <w:tcPr>
            <w:tcW w:type="dxa" w:w="1008"/>
          </w:tcPr>
          <w:p>
            <w:r>
              <w:t>Ch I</w:t>
            </w:r>
          </w:p>
        </w:tc>
        <w:tc>
          <w:tcPr>
            <w:tcW w:type="dxa" w:w="2448"/>
          </w:tcPr>
          <w:p>
            <w:r>
              <w:t>Introduction</w:t>
            </w:r>
          </w:p>
        </w:tc>
        <w:tc>
          <w:tcPr>
            <w:tcW w:type="dxa" w:w="1008"/>
          </w:tcPr>
          <w:p>
            <w:r>
              <w:t>7%</w:t>
            </w:r>
          </w:p>
        </w:tc>
        <w:tc>
          <w:tcPr>
            <w:tcW w:type="dxa" w:w="2448"/>
          </w:tcPr>
          <w:p>
            <w:r>
              <w:t>Bader Alnoumas</w:t>
            </w:r>
          </w:p>
        </w:tc>
        <w:tc>
          <w:tcPr>
            <w:tcW w:type="dxa" w:w="2448"/>
          </w:tcPr>
          <w:p>
            <w:r>
              <w:t>Abdullah Abduljaleel</w:t>
            </w:r>
          </w:p>
        </w:tc>
      </w:tr>
      <w:tr>
        <w:tc>
          <w:tcPr>
            <w:tcW w:type="dxa" w:w="1008"/>
          </w:tcPr>
          <w:p>
            <w:r>
              <w:t>Ch II</w:t>
            </w:r>
          </w:p>
        </w:tc>
        <w:tc>
          <w:tcPr>
            <w:tcW w:type="dxa" w:w="2448"/>
          </w:tcPr>
          <w:p>
            <w:r>
              <w:t>SRS</w:t>
            </w:r>
          </w:p>
        </w:tc>
        <w:tc>
          <w:tcPr>
            <w:tcW w:type="dxa" w:w="1008"/>
          </w:tcPr>
          <w:p>
            <w:r>
              <w:t>7%</w:t>
            </w:r>
          </w:p>
        </w:tc>
        <w:tc>
          <w:tcPr>
            <w:tcW w:type="dxa" w:w="2448"/>
          </w:tcPr>
          <w:p>
            <w:r>
              <w:t>Salah Abdulfattah</w:t>
            </w:r>
          </w:p>
        </w:tc>
        <w:tc>
          <w:tcPr>
            <w:tcW w:type="dxa" w:w="2448"/>
          </w:tcPr>
          <w:p>
            <w:r>
              <w:t>Abdullah Subhi</w:t>
            </w:r>
          </w:p>
        </w:tc>
      </w:tr>
      <w:tr>
        <w:tc>
          <w:tcPr>
            <w:tcW w:type="dxa" w:w="1008"/>
          </w:tcPr>
          <w:p>
            <w:r>
              <w:t>Ch III</w:t>
            </w:r>
          </w:p>
        </w:tc>
        <w:tc>
          <w:tcPr>
            <w:tcW w:type="dxa" w:w="2448"/>
          </w:tcPr>
          <w:p>
            <w:r>
              <w:t>System Design</w:t>
            </w:r>
          </w:p>
        </w:tc>
        <w:tc>
          <w:tcPr>
            <w:tcW w:type="dxa" w:w="1008"/>
          </w:tcPr>
          <w:p>
            <w:r>
              <w:t>20%</w:t>
            </w:r>
          </w:p>
        </w:tc>
        <w:tc>
          <w:tcPr>
            <w:tcW w:type="dxa" w:w="2448"/>
          </w:tcPr>
          <w:p>
            <w:r>
              <w:t>Abdullah Abduljaleel</w:t>
            </w:r>
          </w:p>
        </w:tc>
        <w:tc>
          <w:tcPr>
            <w:tcW w:type="dxa" w:w="2448"/>
          </w:tcPr>
          <w:p>
            <w:r>
              <w:t>All members</w:t>
            </w:r>
          </w:p>
        </w:tc>
      </w:tr>
      <w:tr>
        <w:tc>
          <w:tcPr>
            <w:tcW w:type="dxa" w:w="1008"/>
          </w:tcPr>
          <w:p>
            <w:r>
              <w:t>Ch IV</w:t>
            </w:r>
          </w:p>
        </w:tc>
        <w:tc>
          <w:tcPr>
            <w:tcW w:type="dxa" w:w="2448"/>
          </w:tcPr>
          <w:p>
            <w:r>
              <w:t>Implementation</w:t>
            </w:r>
          </w:p>
        </w:tc>
        <w:tc>
          <w:tcPr>
            <w:tcW w:type="dxa" w:w="1008"/>
          </w:tcPr>
          <w:p>
            <w:r>
              <w:t>25%</w:t>
            </w:r>
          </w:p>
        </w:tc>
        <w:tc>
          <w:tcPr>
            <w:tcW w:type="dxa" w:w="2448"/>
          </w:tcPr>
          <w:p>
            <w:r>
              <w:t>Abdullah Subhi</w:t>
            </w:r>
          </w:p>
        </w:tc>
        <w:tc>
          <w:tcPr>
            <w:tcW w:type="dxa" w:w="2448"/>
          </w:tcPr>
          <w:p>
            <w:r>
              <w:t>All members</w:t>
            </w:r>
          </w:p>
        </w:tc>
      </w:tr>
      <w:tr>
        <w:tc>
          <w:tcPr>
            <w:tcW w:type="dxa" w:w="1008"/>
          </w:tcPr>
          <w:p>
            <w:r>
              <w:t>Ch V</w:t>
            </w:r>
          </w:p>
        </w:tc>
        <w:tc>
          <w:tcPr>
            <w:tcW w:type="dxa" w:w="2448"/>
          </w:tcPr>
          <w:p>
            <w:r>
              <w:t>System Evaluation</w:t>
            </w:r>
          </w:p>
        </w:tc>
        <w:tc>
          <w:tcPr>
            <w:tcW w:type="dxa" w:w="1008"/>
          </w:tcPr>
          <w:p>
            <w:r>
              <w:t>15%</w:t>
            </w:r>
          </w:p>
        </w:tc>
        <w:tc>
          <w:tcPr>
            <w:tcW w:type="dxa" w:w="2448"/>
          </w:tcPr>
          <w:p>
            <w:r>
              <w:t>Bader Alnoumas</w:t>
            </w:r>
          </w:p>
        </w:tc>
        <w:tc>
          <w:tcPr>
            <w:tcW w:type="dxa" w:w="2448"/>
          </w:tcPr>
          <w:p>
            <w:r>
              <w:t>Salah Abdulfattah</w:t>
            </w:r>
          </w:p>
        </w:tc>
      </w:tr>
      <w:tr>
        <w:tc>
          <w:tcPr>
            <w:tcW w:type="dxa" w:w="1008"/>
          </w:tcPr>
          <w:p>
            <w:r>
              <w:t>Ch VI</w:t>
            </w:r>
          </w:p>
        </w:tc>
        <w:tc>
          <w:tcPr>
            <w:tcW w:type="dxa" w:w="2448"/>
          </w:tcPr>
          <w:p>
            <w:r>
              <w:t>System Evolution</w:t>
            </w:r>
          </w:p>
        </w:tc>
        <w:tc>
          <w:tcPr>
            <w:tcW w:type="dxa" w:w="1008"/>
          </w:tcPr>
          <w:p>
            <w:r>
              <w:t>10%</w:t>
            </w:r>
          </w:p>
        </w:tc>
        <w:tc>
          <w:tcPr>
            <w:tcW w:type="dxa" w:w="2448"/>
          </w:tcPr>
          <w:p>
            <w:r>
              <w:t>Salah Abdulfattah</w:t>
            </w:r>
          </w:p>
        </w:tc>
        <w:tc>
          <w:tcPr>
            <w:tcW w:type="dxa" w:w="2448"/>
          </w:tcPr>
          <w:p>
            <w:r>
              <w:t>Abdullah Abduljaleel</w:t>
            </w:r>
          </w:p>
        </w:tc>
      </w:tr>
      <w:tr>
        <w:tc>
          <w:tcPr>
            <w:tcW w:type="dxa" w:w="1008"/>
          </w:tcPr>
          <w:p>
            <w:r>
              <w:t>Ch VII</w:t>
            </w:r>
          </w:p>
        </w:tc>
        <w:tc>
          <w:tcPr>
            <w:tcW w:type="dxa" w:w="2448"/>
          </w:tcPr>
          <w:p>
            <w:r>
              <w:t>Project Management</w:t>
            </w:r>
          </w:p>
        </w:tc>
        <w:tc>
          <w:tcPr>
            <w:tcW w:type="dxa" w:w="1008"/>
          </w:tcPr>
          <w:p>
            <w:r>
              <w:t>7%</w:t>
            </w:r>
          </w:p>
        </w:tc>
        <w:tc>
          <w:tcPr>
            <w:tcW w:type="dxa" w:w="2448"/>
          </w:tcPr>
          <w:p>
            <w:r>
              <w:t>Bader Alnoumas</w:t>
            </w:r>
          </w:p>
        </w:tc>
        <w:tc>
          <w:tcPr>
            <w:tcW w:type="dxa" w:w="2448"/>
          </w:tcPr>
          <w:p>
            <w:r>
              <w:t>Abdullah Abduljaleel</w:t>
            </w:r>
          </w:p>
        </w:tc>
      </w:tr>
      <w:tr>
        <w:tc>
          <w:tcPr>
            <w:tcW w:type="dxa" w:w="1008"/>
          </w:tcPr>
          <w:p>
            <w:r>
              <w:t>Ch VIII</w:t>
            </w:r>
          </w:p>
        </w:tc>
        <w:tc>
          <w:tcPr>
            <w:tcW w:type="dxa" w:w="2448"/>
          </w:tcPr>
          <w:p>
            <w:r>
              <w:t>Conclusion</w:t>
            </w:r>
          </w:p>
        </w:tc>
        <w:tc>
          <w:tcPr>
            <w:tcW w:type="dxa" w:w="1008"/>
          </w:tcPr>
          <w:p>
            <w:r>
              <w:t>5%</w:t>
            </w:r>
          </w:p>
        </w:tc>
        <w:tc>
          <w:tcPr>
            <w:tcW w:type="dxa" w:w="2448"/>
          </w:tcPr>
          <w:p>
            <w:r>
              <w:t>Abdullah Subhi</w:t>
            </w:r>
          </w:p>
        </w:tc>
        <w:tc>
          <w:tcPr>
            <w:tcW w:type="dxa" w:w="2448"/>
          </w:tcPr>
          <w:p>
            <w:r>
              <w:t>Bader Alnoumas</w:t>
            </w:r>
          </w:p>
        </w:tc>
      </w:tr>
      <w:tr>
        <w:tc>
          <w:tcPr>
            <w:tcW w:type="dxa" w:w="1008"/>
          </w:tcPr>
          <w:p>
            <w:r>
              <w:t>Ch IX</w:t>
            </w:r>
          </w:p>
        </w:tc>
        <w:tc>
          <w:tcPr>
            <w:tcW w:type="dxa" w:w="2448"/>
          </w:tcPr>
          <w:p>
            <w:r>
              <w:t>References</w:t>
            </w:r>
          </w:p>
        </w:tc>
        <w:tc>
          <w:tcPr>
            <w:tcW w:type="dxa" w:w="1008"/>
          </w:tcPr>
          <w:p>
            <w:r>
              <w:t>2%</w:t>
            </w:r>
          </w:p>
        </w:tc>
        <w:tc>
          <w:tcPr>
            <w:tcW w:type="dxa" w:w="2448"/>
          </w:tcPr>
          <w:p>
            <w:r>
              <w:t>All members</w:t>
            </w:r>
          </w:p>
        </w:tc>
        <w:tc>
          <w:tcPr>
            <w:tcW w:type="dxa" w:w="2448"/>
          </w:tcPr>
          <w:p>
            <w:r>
              <w:t>—</w:t>
            </w:r>
          </w:p>
        </w:tc>
      </w:tr>
      <w:tr>
        <w:tc>
          <w:tcPr>
            <w:tcW w:type="dxa" w:w="1008"/>
          </w:tcPr>
          <w:p>
            <w:r>
              <w:t>Ch X</w:t>
            </w:r>
          </w:p>
        </w:tc>
        <w:tc>
          <w:tcPr>
            <w:tcW w:type="dxa" w:w="2448"/>
          </w:tcPr>
          <w:p>
            <w:r>
              <w:t>Appendices</w:t>
            </w:r>
          </w:p>
        </w:tc>
        <w:tc>
          <w:tcPr>
            <w:tcW w:type="dxa" w:w="1008"/>
          </w:tcPr>
          <w:p>
            <w:r>
              <w:t>2%</w:t>
            </w:r>
          </w:p>
        </w:tc>
        <w:tc>
          <w:tcPr>
            <w:tcW w:type="dxa" w:w="2448"/>
          </w:tcPr>
          <w:p>
            <w:r>
              <w:t>All members</w:t>
            </w:r>
          </w:p>
        </w:tc>
        <w:tc>
          <w:tcPr>
            <w:tcW w:type="dxa" w:w="2448"/>
          </w:tcPr>
          <w:p>
            <w:r>
              <w:t>—</w:t>
            </w:r>
          </w:p>
        </w:tc>
      </w:tr>
    </w:tbl>
    <w:p/>
    <w:p>
      <w:pPr/>
      <w:r>
        <w:t>Team Member Student IDs:</w:t>
      </w:r>
    </w:p>
    <w:tbl>
      <w:tblPr>
        <w:tblStyle w:val="TableGrid"/>
        <w:tblW w:type="auto" w:w="0"/>
        <w:tblLook w:firstColumn="1" w:firstRow="1" w:lastColumn="0" w:lastRow="0" w:noHBand="0" w:noVBand="1" w:val="04A0"/>
      </w:tblPr>
      <w:tblGrid>
        <w:gridCol w:w="2880"/>
        <w:gridCol w:w="2880"/>
        <w:gridCol w:w="2880"/>
      </w:tblGrid>
      <w:tr>
        <w:tc>
          <w:tcPr>
            <w:tcW w:type="dxa" w:w="2592"/>
          </w:tcPr>
          <w:p>
            <w:r>
              <w:rPr>
                <w:b/>
              </w:rPr>
              <w:t>Member</w:t>
            </w:r>
          </w:p>
        </w:tc>
        <w:tc>
          <w:tcPr>
            <w:tcW w:type="dxa" w:w="1872"/>
          </w:tcPr>
          <w:p>
            <w:r>
              <w:rPr>
                <w:b/>
              </w:rPr>
              <w:t>Student ID</w:t>
            </w:r>
          </w:p>
        </w:tc>
        <w:tc>
          <w:tcPr>
            <w:tcW w:type="dxa" w:w="4896"/>
          </w:tcPr>
          <w:p>
            <w:r>
              <w:rPr>
                <w:b/>
              </w:rPr>
              <w:t>Primary Chapter Responsibilities</w:t>
            </w:r>
          </w:p>
        </w:tc>
      </w:tr>
      <w:tr>
        <w:tc>
          <w:tcPr>
            <w:tcW w:type="dxa" w:w="2592"/>
          </w:tcPr>
          <w:p>
            <w:r>
              <w:t>Bader Alnoumas</w:t>
            </w:r>
          </w:p>
        </w:tc>
        <w:tc>
          <w:tcPr>
            <w:tcW w:type="dxa" w:w="1872"/>
          </w:tcPr>
          <w:p>
            <w:r>
              <w:t>S00059026</w:t>
            </w:r>
          </w:p>
        </w:tc>
        <w:tc>
          <w:tcPr>
            <w:tcW w:type="dxa" w:w="4896"/>
          </w:tcPr>
          <w:p>
            <w:r>
              <w:t>Lead: Ch I, Ch V, Ch VII</w:t>
            </w:r>
          </w:p>
        </w:tc>
      </w:tr>
      <w:tr>
        <w:tc>
          <w:tcPr>
            <w:tcW w:type="dxa" w:w="2592"/>
          </w:tcPr>
          <w:p>
            <w:r>
              <w:t>Abdullah Abduljaleel</w:t>
            </w:r>
          </w:p>
        </w:tc>
        <w:tc>
          <w:tcPr>
            <w:tcW w:type="dxa" w:w="1872"/>
          </w:tcPr>
          <w:p>
            <w:r>
              <w:t>S00056040</w:t>
            </w:r>
          </w:p>
        </w:tc>
        <w:tc>
          <w:tcPr>
            <w:tcW w:type="dxa" w:w="4896"/>
          </w:tcPr>
          <w:p>
            <w:r>
              <w:t>Lead: Ch III; Support: Ch I, Ch VI, Ch VII</w:t>
            </w:r>
          </w:p>
        </w:tc>
      </w:tr>
      <w:tr>
        <w:tc>
          <w:tcPr>
            <w:tcW w:type="dxa" w:w="2592"/>
          </w:tcPr>
          <w:p>
            <w:r>
              <w:t>Abdullah Subhi</w:t>
            </w:r>
          </w:p>
        </w:tc>
        <w:tc>
          <w:tcPr>
            <w:tcW w:type="dxa" w:w="1872"/>
          </w:tcPr>
          <w:p>
            <w:r>
              <w:t>S00054535</w:t>
            </w:r>
          </w:p>
        </w:tc>
        <w:tc>
          <w:tcPr>
            <w:tcW w:type="dxa" w:w="4896"/>
          </w:tcPr>
          <w:p>
            <w:r>
              <w:t>Lead: Ch IV, Ch VIII; Support: Ch II, Ch VI</w:t>
            </w:r>
          </w:p>
        </w:tc>
      </w:tr>
      <w:tr>
        <w:tc>
          <w:tcPr>
            <w:tcW w:type="dxa" w:w="2592"/>
          </w:tcPr>
          <w:p>
            <w:r>
              <w:t>Salah Abdulfattah</w:t>
            </w:r>
          </w:p>
        </w:tc>
        <w:tc>
          <w:tcPr>
            <w:tcW w:type="dxa" w:w="1872"/>
          </w:tcPr>
          <w:p>
            <w:r>
              <w:t>S00052772</w:t>
            </w:r>
          </w:p>
        </w:tc>
        <w:tc>
          <w:tcPr>
            <w:tcW w:type="dxa" w:w="4896"/>
          </w:tcPr>
          <w:p>
            <w:r>
              <w:t>Lead: Ch II, Ch VI; Support: Ch V, Ch VII</w:t>
            </w:r>
          </w:p>
        </w:tc>
      </w:tr>
    </w:tbl>
    <w:p/>
    <w:p>
      <w:r>
        <w:br w:type="page"/>
      </w:r>
    </w:p>
    <w:p>
      <w:pPr>
        <w:pStyle w:val="Heading1"/>
      </w:pPr>
      <w:r>
        <w:t>CHAPTER II — SOFTWARE REQUIREMENTS SPECIFICATION (SRS)</w:t>
      </w:r>
    </w:p>
    <w:p>
      <w:pPr/>
      <w:r>
        <w:t>This chapter presents the complete Software Requirements Specification for the Kuwait B2B Hub. It documents the feasibility analysis across five dimensions, all 17 user requirements, all 20 system requirements, all 8 non-functional requirements, the full Functional Requirements Specification across the five platform subsystems, the context model with external entity definitions, the complete use-case catalogue with five detailed specifications, the preliminary system architecture, and the Requirements Traceability Matrix.</w:t>
      </w:r>
    </w:p>
    <w:p>
      <w:pPr>
        <w:pStyle w:val="Heading2"/>
      </w:pPr>
      <w:r>
        <w:t>2.1  Feasibility Study</w:t>
      </w:r>
    </w:p>
    <w:p>
      <w:pPr/>
      <w:r>
        <w:t>The feasibility of the Kuwait B2B Hub was assessed across five standard dimensions prior to committing to full-scale development. This analysis informed both the technical choices made during implementation and the scope boundaries established in the requirements phase.</w:t>
      </w:r>
    </w:p>
    <w:p>
      <w:pPr>
        <w:pStyle w:val="Heading3"/>
      </w:pPr>
      <w:r>
        <w:t>2.1.1  Technical Feasibility</w:t>
      </w:r>
    </w:p>
    <w:p>
      <w:pPr/>
      <w:r>
        <w:t>Technical feasibility was evaluated by determining whether the required functionality could be delivered within the team's collective skill set, the available open-source tooling, and the time constraints of a single academic semester. The verdict was affirmative on all three dimensions. The Next.js 16 App Router provides a mature, well-documented full-stack framework that unifies server-side rendering, static generation, API route handling, and middleware pipeline management into a single coherent platform. TypeScript's compile-time type system enforces data integrity contracts across all 93 source files, dramatically reducing the risk of runtime type errors in a complex multi-role application with 25 API endpoints. Supabase offers a managed PostgreSQL instance with built-in JWT authentication, real-time subscriptions, and a JavaScript SDK that abstracts database administration complexity. Vercel's first-party Next.js hosting provides zero-configuration deployment, automatic TLS, and a global content delivery network. All selected technologies are open-source or available on free tiers, confirming that no technical licensing barrier exists. The team's proficiency in TypeScript and React, combined with the comprehensive documentation of the chosen stack, supports a finding of High Technical Feasibility.</w:t>
      </w:r>
    </w:p>
    <w:p>
      <w:pPr>
        <w:pStyle w:val="Heading3"/>
      </w:pPr>
      <w:r>
        <w:t>2.1.2  Economic Feasibility</w:t>
      </w:r>
    </w:p>
    <w:p>
      <w:pPr/>
      <w:r>
        <w:t>The Kuwait B2B Hub prototype was developed at zero direct monetary cost. All frameworks — Next.js, React, TypeScript, Zustand, next-intl, Recharts — are MIT-licensed open-source software with no runtime royalties. The Supabase free tier provides a managed PostgreSQL instance, JWT authentication, and real-time infrastructure at a scale appropriate for prototype testing. Vercel's Hobby tier provides production-grade serverless hosting and CI/CD for Next.js at no cost. No proprietary tools or paid SaaS subscriptions were required for development or deployment during the academic phase. The COCOMO estimation documented in §7.5 projects that equivalent commercial development effort would total approximately 30.5 person-months — representing a significant capital cost that was entirely eliminated through academic labour. Commercial viability rests on the proposed brand subscription model of KD 29 per month, which at projected adoption rates would generate sufficient recurring revenue to cover cloud infrastructure costs from as few as 20 paying brand subscribers. Economic feasibility is assessed as High for the prototype phase and Moderate-to-High for the commercial version, subject to successful KNET payment gateway integration.</w:t>
      </w:r>
    </w:p>
    <w:p>
      <w:pPr>
        <w:pStyle w:val="Heading3"/>
      </w:pPr>
      <w:r>
        <w:t>2.1.3  Legal Feasibility</w:t>
      </w:r>
    </w:p>
    <w:p>
      <w:pPr/>
      <w:r>
        <w:t>Legal feasibility for the Kuwait B2B Hub involves compliance with several regulatory frameworks. Kuwait's Personal Data Protection Law (Law No. 20 of 2014) governs the collection, storage, and processing of personal data including names, email addresses, WhatsApp numbers, and company identifiers — all collected at platform registration. The prototype does not currently implement explicit consent mechanisms, a published Privacy Policy, or documented data retention policies; these are identified as near-term evolution requirements in §6.3. Payment processing via the Kuwait national payment network (KNET) is subject to Central Bank of Kuwait approval and PCI-DSS compliance obligations; the current prototype defers all monetary transaction processing and collects no card data. All open-source licences governing the chosen frameworks (MIT, Apache 2.0) permit commercial use without royalty obligations. Legal feasibility is assessed as Moderate — achievable with specific compliance investments — rather than blocked.</w:t>
      </w:r>
    </w:p>
    <w:p>
      <w:pPr>
        <w:pStyle w:val="Heading3"/>
      </w:pPr>
      <w:r>
        <w:t>2.1.4  Operational Feasibility</w:t>
      </w:r>
    </w:p>
    <w:p>
      <w:pPr/>
      <w:r>
        <w:t>Operational feasibility addresses whether the platform can be adopted and used effectively by its intended user base in the Kuwaiti market context. The Kuwait B2B Hub addresses operational viability on multiple dimensions. Full bilingual support — Arabic RTL and English LTR — ensures that native Arabic-speaking brand owners and buyers can operate the platform in their primary language without linguistic barriers. The mobile-first responsive design directly acknowledges that over 78% of Kuwaiti internet users access digital services via mobile devices (CITRA, 2024), and the dedicated BottomNav and MobileTopBar components target this usage pattern. The brand verification workflow and trust scoring system address the core operational challenge of building credibility in a market where informal personal relationships have historically substituted for institutional trust infrastructure. The self-service model — in which brands and buyers register and operate without requiring platform staff intervention for standard transactions — ensures that the platform can scale without proportionate staffing growth. Operational feasibility is assessed as High, contingent on reaching the critical mass of verified brands required to generate a compelling discovery experience for buyers.</w:t>
      </w:r>
    </w:p>
    <w:p>
      <w:pPr>
        <w:pStyle w:val="Heading3"/>
      </w:pPr>
      <w:r>
        <w:t>2.1.5  Schedule Feasibility</w:t>
      </w:r>
    </w:p>
    <w:p>
      <w:pPr/>
      <w:r>
        <w:t>The Kuwait B2B Hub was developed within a single academic semester, from project inception in January 2026 to final submission in June 2026 — approximately five to six months of part-time collaborative development by a four-person team. The Agile sprint model (eight sprints, each delivering a vertical feature slice) proved well-suited to this compressed timeline. Core business workflows — authentication, marketplace, product management, order lifecycle, and trust scoring — were delivered within Sprints 1 through 6. Sprint 7 addressed localisation and quality hardening; Sprint 8 targets production readiness and academic deliverable completion. The COCOMO estimation in §7.5 projects a recommended development timeline of approximately 9.2 months for a team of 3–4 persons; the academic project was completed in roughly 65% of that estimated commercial timeline, an acceleration that is explicable by the reduced MVP scope and the elimination of business overhead. Schedule feasibility is assessed as Achieved for the prototype, with the three Critical post-submission evolution items (PostgreSQL migration, automated test suite, KNET payment integration) requiring an additional 6–9 months of dedicated commercial development effort.</w:t>
      </w:r>
    </w:p>
    <w:p>
      <w:pPr>
        <w:pStyle w:val="Heading2"/>
      </w:pPr>
      <w:r>
        <w:t>2.2  User Requirements</w:t>
      </w:r>
    </w:p>
    <w:p>
      <w:pPr/>
      <w:r>
        <w:t>User Requirements (URs) express what the system must allow users to accomplish, stated in user-facing language without prescribing implementation detail. The following 17 user requirements were derived from stakeholder analysis, the platform's business model, and GCC B2B market research.</w:t>
      </w:r>
    </w:p>
    <w:tbl>
      <w:tblPr>
        <w:tblStyle w:val="TableGrid"/>
        <w:tblW w:type="auto" w:w="0"/>
        <w:tblLook w:firstColumn="1" w:firstRow="1" w:lastColumn="0" w:lastRow="0" w:noHBand="0" w:noVBand="1" w:val="04A0"/>
      </w:tblPr>
      <w:tblGrid>
        <w:gridCol w:w="2160"/>
        <w:gridCol w:w="2160"/>
        <w:gridCol w:w="2160"/>
        <w:gridCol w:w="2160"/>
      </w:tblGrid>
      <w:tr>
        <w:tc>
          <w:tcPr>
            <w:tcW w:type="dxa" w:w="1008"/>
          </w:tcPr>
          <w:p>
            <w:r>
              <w:rPr>
                <w:b/>
              </w:rPr>
              <w:t>UR ID</w:t>
            </w:r>
          </w:p>
        </w:tc>
        <w:tc>
          <w:tcPr>
            <w:tcW w:type="dxa" w:w="1872"/>
          </w:tcPr>
          <w:p>
            <w:r>
              <w:rPr>
                <w:b/>
              </w:rPr>
              <w:t>Actor(s)</w:t>
            </w:r>
          </w:p>
        </w:tc>
        <w:tc>
          <w:tcPr>
            <w:tcW w:type="dxa" w:w="5472"/>
          </w:tcPr>
          <w:p>
            <w:r>
              <w:rPr>
                <w:b/>
              </w:rPr>
              <w:t>Requirement Statement</w:t>
            </w:r>
          </w:p>
        </w:tc>
        <w:tc>
          <w:tcPr>
            <w:tcW w:type="dxa" w:w="1008"/>
          </w:tcPr>
          <w:p>
            <w:r>
              <w:rPr>
                <w:b/>
              </w:rPr>
              <w:t>Priority</w:t>
            </w:r>
          </w:p>
        </w:tc>
      </w:tr>
      <w:tr>
        <w:tc>
          <w:tcPr>
            <w:tcW w:type="dxa" w:w="1008"/>
          </w:tcPr>
          <w:p>
            <w:r>
              <w:t>UR-01</w:t>
            </w:r>
          </w:p>
        </w:tc>
        <w:tc>
          <w:tcPr>
            <w:tcW w:type="dxa" w:w="1872"/>
          </w:tcPr>
          <w:p>
            <w:r>
              <w:t>Buyer / Brand Owner / Admin</w:t>
            </w:r>
          </w:p>
        </w:tc>
        <w:tc>
          <w:tcPr>
            <w:tcW w:type="dxa" w:w="5472"/>
          </w:tcPr>
          <w:p>
            <w:r>
              <w:t>A user shall be able to register a new account on the platform by providing their full name, email address, password, company name, and selecting a role (Buyer or Brand Owner). Admin accounts are provisioned internally.</w:t>
            </w:r>
          </w:p>
        </w:tc>
        <w:tc>
          <w:tcPr>
            <w:tcW w:type="dxa" w:w="1008"/>
          </w:tcPr>
          <w:p>
            <w:r>
              <w:t>High</w:t>
            </w:r>
          </w:p>
        </w:tc>
      </w:tr>
      <w:tr>
        <w:tc>
          <w:tcPr>
            <w:tcW w:type="dxa" w:w="1008"/>
          </w:tcPr>
          <w:p>
            <w:r>
              <w:t>UR-02</w:t>
            </w:r>
          </w:p>
        </w:tc>
        <w:tc>
          <w:tcPr>
            <w:tcW w:type="dxa" w:w="1872"/>
          </w:tcPr>
          <w:p>
            <w:r>
              <w:t>Buyer / Brand Owner / Admin</w:t>
            </w:r>
          </w:p>
        </w:tc>
        <w:tc>
          <w:tcPr>
            <w:tcW w:type="dxa" w:w="5472"/>
          </w:tcPr>
          <w:p>
            <w:r>
              <w:t>A registered user shall be able to log in using their email and password, and log out, with their session persisting for up to seven days without requiring re-authentication.</w:t>
            </w:r>
          </w:p>
        </w:tc>
        <w:tc>
          <w:tcPr>
            <w:tcW w:type="dxa" w:w="1008"/>
          </w:tcPr>
          <w:p>
            <w:r>
              <w:t>High</w:t>
            </w:r>
          </w:p>
        </w:tc>
      </w:tr>
      <w:tr>
        <w:tc>
          <w:tcPr>
            <w:tcW w:type="dxa" w:w="1008"/>
          </w:tcPr>
          <w:p>
            <w:r>
              <w:t>UR-03</w:t>
            </w:r>
          </w:p>
        </w:tc>
        <w:tc>
          <w:tcPr>
            <w:tcW w:type="dxa" w:w="1872"/>
          </w:tcPr>
          <w:p>
            <w:r>
              <w:t>Admin</w:t>
            </w:r>
          </w:p>
        </w:tc>
        <w:tc>
          <w:tcPr>
            <w:tcW w:type="dxa" w:w="5472"/>
          </w:tcPr>
          <w:p>
            <w:r>
              <w:t>A platform administrator shall be able to review all pending brand registration applications, approve or reject each, and assign a verification tier (Premium, Verified, or New) to approved brands.</w:t>
            </w:r>
          </w:p>
        </w:tc>
        <w:tc>
          <w:tcPr>
            <w:tcW w:type="dxa" w:w="1008"/>
          </w:tcPr>
          <w:p>
            <w:r>
              <w:t>High</w:t>
            </w:r>
          </w:p>
        </w:tc>
      </w:tr>
      <w:tr>
        <w:tc>
          <w:tcPr>
            <w:tcW w:type="dxa" w:w="1008"/>
          </w:tcPr>
          <w:p>
            <w:r>
              <w:t>UR-04</w:t>
            </w:r>
          </w:p>
        </w:tc>
        <w:tc>
          <w:tcPr>
            <w:tcW w:type="dxa" w:w="1872"/>
          </w:tcPr>
          <w:p>
            <w:r>
              <w:t>Brand Owner</w:t>
            </w:r>
          </w:p>
        </w:tc>
        <w:tc>
          <w:tcPr>
            <w:tcW w:type="dxa" w:w="5472"/>
          </w:tcPr>
          <w:p>
            <w:r>
              <w:t>A brand owner shall be able to create, view, edit, and delete product listings within their brand catalogue, specifying name, description, price, stock level, minimum order quantity, and product image.</w:t>
            </w:r>
          </w:p>
        </w:tc>
        <w:tc>
          <w:tcPr>
            <w:tcW w:type="dxa" w:w="1008"/>
          </w:tcPr>
          <w:p>
            <w:r>
              <w:t>High</w:t>
            </w:r>
          </w:p>
        </w:tc>
      </w:tr>
      <w:tr>
        <w:tc>
          <w:tcPr>
            <w:tcW w:type="dxa" w:w="1008"/>
          </w:tcPr>
          <w:p>
            <w:r>
              <w:t>UR-05</w:t>
            </w:r>
          </w:p>
        </w:tc>
        <w:tc>
          <w:tcPr>
            <w:tcW w:type="dxa" w:w="1872"/>
          </w:tcPr>
          <w:p>
            <w:r>
              <w:t>Brand Owner</w:t>
            </w:r>
          </w:p>
        </w:tc>
        <w:tc>
          <w:tcPr>
            <w:tcW w:type="dxa" w:w="5472"/>
          </w:tcPr>
          <w:p>
            <w:r>
              <w:t>A brand owner shall be able to define multiple bulk-pricing tiers for any product, each specifying a quantity range (min_qty to max_qty) and the corresponding discounted unit price for orders within that range.</w:t>
            </w:r>
          </w:p>
        </w:tc>
        <w:tc>
          <w:tcPr>
            <w:tcW w:type="dxa" w:w="1008"/>
          </w:tcPr>
          <w:p>
            <w:r>
              <w:t>High</w:t>
            </w:r>
          </w:p>
        </w:tc>
      </w:tr>
      <w:tr>
        <w:tc>
          <w:tcPr>
            <w:tcW w:type="dxa" w:w="1008"/>
          </w:tcPr>
          <w:p>
            <w:r>
              <w:t>UR-06</w:t>
            </w:r>
          </w:p>
        </w:tc>
        <w:tc>
          <w:tcPr>
            <w:tcW w:type="dxa" w:w="1872"/>
          </w:tcPr>
          <w:p>
            <w:r>
              <w:t>Buyer</w:t>
            </w:r>
          </w:p>
        </w:tc>
        <w:tc>
          <w:tcPr>
            <w:tcW w:type="dxa" w:w="5472"/>
          </w:tcPr>
          <w:p>
            <w:r>
              <w:t>A buyer shall be able to browse all verified brands on the marketplace, applying filters for category, verification tier, minimum order quantity, and star rating, and shall be able to view each brand's full profile including products and trust metrics.</w:t>
            </w:r>
          </w:p>
        </w:tc>
        <w:tc>
          <w:tcPr>
            <w:tcW w:type="dxa" w:w="1008"/>
          </w:tcPr>
          <w:p>
            <w:r>
              <w:t>High</w:t>
            </w:r>
          </w:p>
        </w:tc>
      </w:tr>
      <w:tr>
        <w:tc>
          <w:tcPr>
            <w:tcW w:type="dxa" w:w="1008"/>
          </w:tcPr>
          <w:p>
            <w:r>
              <w:t>UR-07</w:t>
            </w:r>
          </w:p>
        </w:tc>
        <w:tc>
          <w:tcPr>
            <w:tcW w:type="dxa" w:w="1872"/>
          </w:tcPr>
          <w:p>
            <w:r>
              <w:t>Buyer</w:t>
            </w:r>
          </w:p>
        </w:tc>
        <w:tc>
          <w:tcPr>
            <w:tcW w:type="dxa" w:w="5472"/>
          </w:tcPr>
          <w:p>
            <w:r>
              <w:t>A buyer shall be able to view all product prices displayed in their selected currency (KWD, SAR, AED, or BHD), with amounts automatically converted using the platform's configurable exchange rates.</w:t>
            </w:r>
          </w:p>
        </w:tc>
        <w:tc>
          <w:tcPr>
            <w:tcW w:type="dxa" w:w="1008"/>
          </w:tcPr>
          <w:p>
            <w:r>
              <w:t>Medium</w:t>
            </w:r>
          </w:p>
        </w:tc>
      </w:tr>
      <w:tr>
        <w:tc>
          <w:tcPr>
            <w:tcW w:type="dxa" w:w="1008"/>
          </w:tcPr>
          <w:p>
            <w:r>
              <w:t>UR-08</w:t>
            </w:r>
          </w:p>
        </w:tc>
        <w:tc>
          <w:tcPr>
            <w:tcW w:type="dxa" w:w="1872"/>
          </w:tcPr>
          <w:p>
            <w:r>
              <w:t>Buyer</w:t>
            </w:r>
          </w:p>
        </w:tc>
        <w:tc>
          <w:tcPr>
            <w:tcW w:type="dxa" w:w="5472"/>
          </w:tcPr>
          <w:p>
            <w:r>
              <w:t>A buyer shall be able to submit a bulk order request for one or more products from a single brand. The system shall enforce minimum order quantity and available stock constraints at the time of submission.</w:t>
            </w:r>
          </w:p>
        </w:tc>
        <w:tc>
          <w:tcPr>
            <w:tcW w:type="dxa" w:w="1008"/>
          </w:tcPr>
          <w:p>
            <w:r>
              <w:t>High</w:t>
            </w:r>
          </w:p>
        </w:tc>
      </w:tr>
      <w:tr>
        <w:tc>
          <w:tcPr>
            <w:tcW w:type="dxa" w:w="1008"/>
          </w:tcPr>
          <w:p>
            <w:r>
              <w:t>UR-09</w:t>
            </w:r>
          </w:p>
        </w:tc>
        <w:tc>
          <w:tcPr>
            <w:tcW w:type="dxa" w:w="1872"/>
          </w:tcPr>
          <w:p>
            <w:r>
              <w:t>Brand Owner</w:t>
            </w:r>
          </w:p>
        </w:tc>
        <w:tc>
          <w:tcPr>
            <w:tcW w:type="dxa" w:w="5472"/>
          </w:tcPr>
          <w:p>
            <w:r>
              <w:t>A brand owner shall be able to view all incoming order requests, inspect buyer identity and order details, and approve or reject each order, updating its status accordingly.</w:t>
            </w:r>
          </w:p>
        </w:tc>
        <w:tc>
          <w:tcPr>
            <w:tcW w:type="dxa" w:w="1008"/>
          </w:tcPr>
          <w:p>
            <w:r>
              <w:t>High</w:t>
            </w:r>
          </w:p>
        </w:tc>
      </w:tr>
      <w:tr>
        <w:tc>
          <w:tcPr>
            <w:tcW w:type="dxa" w:w="1008"/>
          </w:tcPr>
          <w:p>
            <w:r>
              <w:t>UR-10</w:t>
            </w:r>
          </w:p>
        </w:tc>
        <w:tc>
          <w:tcPr>
            <w:tcW w:type="dxa" w:w="1872"/>
          </w:tcPr>
          <w:p>
            <w:r>
              <w:t>Buyer / Brand Owner</w:t>
            </w:r>
          </w:p>
        </w:tc>
        <w:tc>
          <w:tcPr>
            <w:tcW w:type="dxa" w:w="5472"/>
          </w:tcPr>
          <w:p>
            <w:r>
              <w:t>Both buyers and brand owners shall be able to view the current status of all their respective orders and monitor all status transitions (pending, approved, completed, rejected) over the full order lifecycle.</w:t>
            </w:r>
          </w:p>
        </w:tc>
        <w:tc>
          <w:tcPr>
            <w:tcW w:type="dxa" w:w="1008"/>
          </w:tcPr>
          <w:p>
            <w:r>
              <w:t>High</w:t>
            </w:r>
          </w:p>
        </w:tc>
      </w:tr>
      <w:tr>
        <w:tc>
          <w:tcPr>
            <w:tcW w:type="dxa" w:w="1008"/>
          </w:tcPr>
          <w:p>
            <w:r>
              <w:t>UR-11</w:t>
            </w:r>
          </w:p>
        </w:tc>
        <w:tc>
          <w:tcPr>
            <w:tcW w:type="dxa" w:w="1872"/>
          </w:tcPr>
          <w:p>
            <w:r>
              <w:t>Buyer</w:t>
            </w:r>
          </w:p>
        </w:tc>
        <w:tc>
          <w:tcPr>
            <w:tcW w:type="dxa" w:w="5472"/>
          </w:tcPr>
          <w:p>
            <w:r>
              <w:t>A buyer shall be able to submit a star rating (1–5 stars) and written review for any brand they have interacted with, with the option to submit the review anonymously.</w:t>
            </w:r>
          </w:p>
        </w:tc>
        <w:tc>
          <w:tcPr>
            <w:tcW w:type="dxa" w:w="1008"/>
          </w:tcPr>
          <w:p>
            <w:r>
              <w:t>Medium</w:t>
            </w:r>
          </w:p>
        </w:tc>
      </w:tr>
      <w:tr>
        <w:tc>
          <w:tcPr>
            <w:tcW w:type="dxa" w:w="1008"/>
          </w:tcPr>
          <w:p>
            <w:r>
              <w:t>UR-12</w:t>
            </w:r>
          </w:p>
        </w:tc>
        <w:tc>
          <w:tcPr>
            <w:tcW w:type="dxa" w:w="1872"/>
          </w:tcPr>
          <w:p>
            <w:r>
              <w:t>Brand Owner</w:t>
            </w:r>
          </w:p>
        </w:tc>
        <w:tc>
          <w:tcPr>
            <w:tcW w:type="dxa" w:w="5472"/>
          </w:tcPr>
          <w:p>
            <w:r>
              <w:t>A brand owner shall be able to post a single written reply to any review submitted for their brand, visible to all platform visitors on the brand's public profile.</w:t>
            </w:r>
          </w:p>
        </w:tc>
        <w:tc>
          <w:tcPr>
            <w:tcW w:type="dxa" w:w="1008"/>
          </w:tcPr>
          <w:p>
            <w:r>
              <w:t>Medium</w:t>
            </w:r>
          </w:p>
        </w:tc>
      </w:tr>
      <w:tr>
        <w:tc>
          <w:tcPr>
            <w:tcW w:type="dxa" w:w="1008"/>
          </w:tcPr>
          <w:p>
            <w:r>
              <w:t>UR-13</w:t>
            </w:r>
          </w:p>
        </w:tc>
        <w:tc>
          <w:tcPr>
            <w:tcW w:type="dxa" w:w="1872"/>
          </w:tcPr>
          <w:p>
            <w:r>
              <w:t>Admin</w:t>
            </w:r>
          </w:p>
        </w:tc>
        <w:tc>
          <w:tcPr>
            <w:tcW w:type="dxa" w:w="5472"/>
          </w:tcPr>
          <w:p>
            <w:r>
              <w:t>A platform administrator shall be able to view all submitted reviews, flag reviews for investigation, and permanently remove reviews that violate the platform's community guidelines.</w:t>
            </w:r>
          </w:p>
        </w:tc>
        <w:tc>
          <w:tcPr>
            <w:tcW w:type="dxa" w:w="1008"/>
          </w:tcPr>
          <w:p>
            <w:r>
              <w:t>Medium</w:t>
            </w:r>
          </w:p>
        </w:tc>
      </w:tr>
      <w:tr>
        <w:tc>
          <w:tcPr>
            <w:tcW w:type="dxa" w:w="1008"/>
          </w:tcPr>
          <w:p>
            <w:r>
              <w:t>UR-14</w:t>
            </w:r>
          </w:p>
        </w:tc>
        <w:tc>
          <w:tcPr>
            <w:tcW w:type="dxa" w:w="1872"/>
          </w:tcPr>
          <w:p>
            <w:r>
              <w:t>All Users</w:t>
            </w:r>
          </w:p>
        </w:tc>
        <w:tc>
          <w:tcPr>
            <w:tcW w:type="dxa" w:w="5472"/>
          </w:tcPr>
          <w:p>
            <w:r>
              <w:t>All authenticated users shall receive in-app notifications for events relevant to their role — including new orders, order status changes, brand approval decisions, and new reviews — with the ability to mark individual notifications as read.</w:t>
            </w:r>
          </w:p>
        </w:tc>
        <w:tc>
          <w:tcPr>
            <w:tcW w:type="dxa" w:w="1008"/>
          </w:tcPr>
          <w:p>
            <w:r>
              <w:t>High</w:t>
            </w:r>
          </w:p>
        </w:tc>
      </w:tr>
      <w:tr>
        <w:tc>
          <w:tcPr>
            <w:tcW w:type="dxa" w:w="1008"/>
          </w:tcPr>
          <w:p>
            <w:r>
              <w:t>UR-15</w:t>
            </w:r>
          </w:p>
        </w:tc>
        <w:tc>
          <w:tcPr>
            <w:tcW w:type="dxa" w:w="1872"/>
          </w:tcPr>
          <w:p>
            <w:r>
              <w:t>All Users</w:t>
            </w:r>
          </w:p>
        </w:tc>
        <w:tc>
          <w:tcPr>
            <w:tcW w:type="dxa" w:w="5472"/>
          </w:tcPr>
          <w:p>
            <w:r>
              <w:t>The platform interface shall be fully available in both English (LTR layout) and Arabic (RTL layout), with users able to toggle between languages at any time without losing current page state.</w:t>
            </w:r>
          </w:p>
        </w:tc>
        <w:tc>
          <w:tcPr>
            <w:tcW w:type="dxa" w:w="1008"/>
          </w:tcPr>
          <w:p>
            <w:r>
              <w:t>High</w:t>
            </w:r>
          </w:p>
        </w:tc>
      </w:tr>
      <w:tr>
        <w:tc>
          <w:tcPr>
            <w:tcW w:type="dxa" w:w="1008"/>
          </w:tcPr>
          <w:p>
            <w:r>
              <w:t>UR-16</w:t>
            </w:r>
          </w:p>
        </w:tc>
        <w:tc>
          <w:tcPr>
            <w:tcW w:type="dxa" w:w="1872"/>
          </w:tcPr>
          <w:p>
            <w:r>
              <w:t>Brand Owner</w:t>
            </w:r>
          </w:p>
        </w:tc>
        <w:tc>
          <w:tcPr>
            <w:tcW w:type="dxa" w:w="5472"/>
          </w:tcPr>
          <w:p>
            <w:r>
              <w:t>A brand owner shall be able to import a product catalogue from a Microsoft Excel (.xlsx) file, with the system parsing the file and creating product records from its contents in a single bulk operation.</w:t>
            </w:r>
          </w:p>
        </w:tc>
        <w:tc>
          <w:tcPr>
            <w:tcW w:type="dxa" w:w="1008"/>
          </w:tcPr>
          <w:p>
            <w:r>
              <w:t>Low</w:t>
            </w:r>
          </w:p>
        </w:tc>
      </w:tr>
      <w:tr>
        <w:tc>
          <w:tcPr>
            <w:tcW w:type="dxa" w:w="1008"/>
          </w:tcPr>
          <w:p>
            <w:r>
              <w:t>UR-17</w:t>
            </w:r>
          </w:p>
        </w:tc>
        <w:tc>
          <w:tcPr>
            <w:tcW w:type="dxa" w:w="1872"/>
          </w:tcPr>
          <w:p>
            <w:r>
              <w:t>Buyer</w:t>
            </w:r>
          </w:p>
        </w:tc>
        <w:tc>
          <w:tcPr>
            <w:tcW w:type="dxa" w:w="5472"/>
          </w:tcPr>
          <w:p>
            <w:r>
              <w:t>A buyer shall be able to contact a brand owner directly via WhatsApp by clicking a platform-provided contact link, and the system shall record each such click event per brand for analytics purposes.</w:t>
            </w:r>
          </w:p>
        </w:tc>
        <w:tc>
          <w:tcPr>
            <w:tcW w:type="dxa" w:w="1008"/>
          </w:tcPr>
          <w:p>
            <w:r>
              <w:t>Low</w:t>
            </w:r>
          </w:p>
        </w:tc>
      </w:tr>
    </w:tbl>
    <w:p/>
    <w:p>
      <w:pPr>
        <w:pStyle w:val="Heading2"/>
      </w:pPr>
      <w:r>
        <w:t>2.3  System Requirements</w:t>
      </w:r>
    </w:p>
    <w:p>
      <w:pPr/>
      <w:r>
        <w:t>System Requirements (SRs) specify the observable behaviour that the software must exhibit in response to inputs, events, or internal states. The following 20 system requirements are derived from the user requirements above and the non-functional constraints of the Kuwait B2B operating context.</w:t>
      </w:r>
    </w:p>
    <w:tbl>
      <w:tblPr>
        <w:tblStyle w:val="TableGrid"/>
        <w:tblW w:type="auto" w:w="0"/>
        <w:tblLook w:firstColumn="1" w:firstRow="1" w:lastColumn="0" w:lastRow="0" w:noHBand="0" w:noVBand="1" w:val="04A0"/>
      </w:tblPr>
      <w:tblGrid>
        <w:gridCol w:w="2880"/>
        <w:gridCol w:w="2880"/>
        <w:gridCol w:w="2880"/>
      </w:tblGrid>
      <w:tr>
        <w:tc>
          <w:tcPr>
            <w:tcW w:type="dxa" w:w="1008"/>
          </w:tcPr>
          <w:p>
            <w:r>
              <w:rPr>
                <w:b/>
              </w:rPr>
              <w:t>SR ID</w:t>
            </w:r>
          </w:p>
        </w:tc>
        <w:tc>
          <w:tcPr>
            <w:tcW w:type="dxa" w:w="7488"/>
          </w:tcPr>
          <w:p>
            <w:r>
              <w:rPr>
                <w:b/>
              </w:rPr>
              <w:t>Requirement Statement</w:t>
            </w:r>
          </w:p>
        </w:tc>
        <w:tc>
          <w:tcPr>
            <w:tcW w:type="dxa" w:w="1008"/>
          </w:tcPr>
          <w:p>
            <w:r>
              <w:rPr>
                <w:b/>
              </w:rPr>
              <w:t>Priority</w:t>
            </w:r>
          </w:p>
        </w:tc>
      </w:tr>
      <w:tr>
        <w:tc>
          <w:tcPr>
            <w:tcW w:type="dxa" w:w="1008"/>
          </w:tcPr>
          <w:p>
            <w:r>
              <w:t>SR-01</w:t>
            </w:r>
          </w:p>
        </w:tc>
        <w:tc>
          <w:tcPr>
            <w:tcW w:type="dxa" w:w="7488"/>
          </w:tcPr>
          <w:p>
            <w:r>
              <w:t>The system shall enforce role-based access control (RBAC) for all page routes and API endpoints, rejecting unauthorised requests with HTTP 401 (unauthenticated) or HTTP 403 (authenticated but insufficient role) before executing any business logic.</w:t>
            </w:r>
          </w:p>
        </w:tc>
        <w:tc>
          <w:tcPr>
            <w:tcW w:type="dxa" w:w="1008"/>
          </w:tcPr>
          <w:p>
            <w:r>
              <w:t>High</w:t>
            </w:r>
          </w:p>
        </w:tc>
      </w:tr>
      <w:tr>
        <w:tc>
          <w:tcPr>
            <w:tcW w:type="dxa" w:w="1008"/>
          </w:tcPr>
          <w:p>
            <w:r>
              <w:t>SR-02</w:t>
            </w:r>
          </w:p>
        </w:tc>
        <w:tc>
          <w:tcPr>
            <w:tcW w:type="dxa" w:w="7488"/>
          </w:tcPr>
          <w:p>
            <w:r>
              <w:t>The system shall manage user sessions exclusively via HTTP-only, SameSite=Lax cookies with a maximum age of seven days. Session tokens shall never be stored in browser localStorage or sessionStorage.</w:t>
            </w:r>
          </w:p>
        </w:tc>
        <w:tc>
          <w:tcPr>
            <w:tcW w:type="dxa" w:w="1008"/>
          </w:tcPr>
          <w:p>
            <w:r>
              <w:t>High</w:t>
            </w:r>
          </w:p>
        </w:tc>
      </w:tr>
      <w:tr>
        <w:tc>
          <w:tcPr>
            <w:tcW w:type="dxa" w:w="1008"/>
          </w:tcPr>
          <w:p>
            <w:r>
              <w:t>SR-03</w:t>
            </w:r>
          </w:p>
        </w:tc>
        <w:tc>
          <w:tcPr>
            <w:tcW w:type="dxa" w:w="7488"/>
          </w:tcPr>
          <w:p>
            <w:r>
              <w:t>The system shall hash all user passwords using a cryptographic one-way function (bcrypt or argon2id, cost factor ≥ 12) before persisting them to the database. Plain-text passwords shall never be stored or logged.</w:t>
            </w:r>
          </w:p>
        </w:tc>
        <w:tc>
          <w:tcPr>
            <w:tcW w:type="dxa" w:w="1008"/>
          </w:tcPr>
          <w:p>
            <w:r>
              <w:t>Critical</w:t>
            </w:r>
          </w:p>
        </w:tc>
      </w:tr>
      <w:tr>
        <w:tc>
          <w:tcPr>
            <w:tcW w:type="dxa" w:w="1008"/>
          </w:tcPr>
          <w:p>
            <w:r>
              <w:t>SR-04</w:t>
            </w:r>
          </w:p>
        </w:tc>
        <w:tc>
          <w:tcPr>
            <w:tcW w:type="dxa" w:w="7488"/>
          </w:tcPr>
          <w:p>
            <w:r>
              <w:t>The system shall generate globally unique identifiers for all entity records (users, brands, products, orders, reviews, notifications, messages) using a deterministic algorithm that prevents ID collisions under concurrent creation.</w:t>
            </w:r>
          </w:p>
        </w:tc>
        <w:tc>
          <w:tcPr>
            <w:tcW w:type="dxa" w:w="1008"/>
          </w:tcPr>
          <w:p>
            <w:r>
              <w:t>High</w:t>
            </w:r>
          </w:p>
        </w:tc>
      </w:tr>
      <w:tr>
        <w:tc>
          <w:tcPr>
            <w:tcW w:type="dxa" w:w="1008"/>
          </w:tcPr>
          <w:p>
            <w:r>
              <w:t>SR-05</w:t>
            </w:r>
          </w:p>
        </w:tc>
        <w:tc>
          <w:tcPr>
            <w:tcW w:type="dxa" w:w="7488"/>
          </w:tcPr>
          <w:p>
            <w:r>
              <w:t>The system shall validate that each order line item's requested quantity meets or exceeds the product's configured minimum order quantity (MOQ) at submission time, returning a descriptive HTTP 400 error if the constraint is violated.</w:t>
            </w:r>
          </w:p>
        </w:tc>
        <w:tc>
          <w:tcPr>
            <w:tcW w:type="dxa" w:w="1008"/>
          </w:tcPr>
          <w:p>
            <w:r>
              <w:t>High</w:t>
            </w:r>
          </w:p>
        </w:tc>
      </w:tr>
      <w:tr>
        <w:tc>
          <w:tcPr>
            <w:tcW w:type="dxa" w:w="1008"/>
          </w:tcPr>
          <w:p>
            <w:r>
              <w:t>SR-06</w:t>
            </w:r>
          </w:p>
        </w:tc>
        <w:tc>
          <w:tcPr>
            <w:tcW w:type="dxa" w:w="7488"/>
          </w:tcPr>
          <w:p>
            <w:r>
              <w:t>The system shall validate that each order line item's requested quantity does not exceed the product's current available stock level at submission time, returning a descriptive HTTP 400 error if the constraint is violated.</w:t>
            </w:r>
          </w:p>
        </w:tc>
        <w:tc>
          <w:tcPr>
            <w:tcW w:type="dxa" w:w="1008"/>
          </w:tcPr>
          <w:p>
            <w:r>
              <w:t>High</w:t>
            </w:r>
          </w:p>
        </w:tc>
      </w:tr>
      <w:tr>
        <w:tc>
          <w:tcPr>
            <w:tcW w:type="dxa" w:w="1008"/>
          </w:tcPr>
          <w:p>
            <w:r>
              <w:t>SR-07</w:t>
            </w:r>
          </w:p>
        </w:tc>
        <w:tc>
          <w:tcPr>
            <w:tcW w:type="dxa" w:w="7488"/>
          </w:tcPr>
          <w:p>
            <w:r>
              <w:t>The system shall resolve the applicable unit price for each order line item by iterating the product's bulk-pricing tiers, matching the order quantity to the appropriate min_qty / max_qty range, and applying that tier's unit price. If no tier matches, the base product price shall be used.</w:t>
            </w:r>
          </w:p>
        </w:tc>
        <w:tc>
          <w:tcPr>
            <w:tcW w:type="dxa" w:w="1008"/>
          </w:tcPr>
          <w:p>
            <w:r>
              <w:t>High</w:t>
            </w:r>
          </w:p>
        </w:tc>
      </w:tr>
      <w:tr>
        <w:tc>
          <w:tcPr>
            <w:tcW w:type="dxa" w:w="1008"/>
          </w:tcPr>
          <w:p>
            <w:r>
              <w:t>SR-08</w:t>
            </w:r>
          </w:p>
        </w:tc>
        <w:tc>
          <w:tcPr>
            <w:tcW w:type="dxa" w:w="7488"/>
          </w:tcPr>
          <w:p>
            <w:r>
              <w:t>The system shall compute and persist a Brand Trust Score for each approved brand, derived from the brand's order response rate, completion rate, average fulfilment days, and badge threshold criteria.</w:t>
            </w:r>
          </w:p>
        </w:tc>
        <w:tc>
          <w:tcPr>
            <w:tcW w:type="dxa" w:w="1008"/>
          </w:tcPr>
          <w:p>
            <w:r>
              <w:t>Medium</w:t>
            </w:r>
          </w:p>
        </w:tc>
      </w:tr>
      <w:tr>
        <w:tc>
          <w:tcPr>
            <w:tcW w:type="dxa" w:w="1008"/>
          </w:tcPr>
          <w:p>
            <w:r>
              <w:t>SR-09</w:t>
            </w:r>
          </w:p>
        </w:tc>
        <w:tc>
          <w:tcPr>
            <w:tcW w:type="dxa" w:w="7488"/>
          </w:tcPr>
          <w:p>
            <w:r>
              <w:t>The system shall compute and persist a Buyer Trust Score for each buyer, derived from the buyer's total completed order count, order completion rate, and cancellation rate.</w:t>
            </w:r>
          </w:p>
        </w:tc>
        <w:tc>
          <w:tcPr>
            <w:tcW w:type="dxa" w:w="1008"/>
          </w:tcPr>
          <w:p>
            <w:r>
              <w:t>Medium</w:t>
            </w:r>
          </w:p>
        </w:tc>
      </w:tr>
      <w:tr>
        <w:tc>
          <w:tcPr>
            <w:tcW w:type="dxa" w:w="1008"/>
          </w:tcPr>
          <w:p>
            <w:r>
              <w:t>SR-10</w:t>
            </w:r>
          </w:p>
        </w:tc>
        <w:tc>
          <w:tcPr>
            <w:tcW w:type="dxa" w:w="7488"/>
          </w:tcPr>
          <w:p>
            <w:r>
              <w:t>The system shall generate in-app notifications for the appropriate recipient(s) upon each of the following events: new user registration (→ admins), new brand registration (→ admins), brand approval / rejection (→ brand owner), new order (→ brand owner), order status change (→ buyer), new review (→ brand owner), new review reply (→ buyer).</w:t>
            </w:r>
          </w:p>
        </w:tc>
        <w:tc>
          <w:tcPr>
            <w:tcW w:type="dxa" w:w="1008"/>
          </w:tcPr>
          <w:p>
            <w:r>
              <w:t>High</w:t>
            </w:r>
          </w:p>
        </w:tc>
      </w:tr>
      <w:tr>
        <w:tc>
          <w:tcPr>
            <w:tcW w:type="dxa" w:w="1008"/>
          </w:tcPr>
          <w:p>
            <w:r>
              <w:t>SR-11</w:t>
            </w:r>
          </w:p>
        </w:tc>
        <w:tc>
          <w:tcPr>
            <w:tcW w:type="dxa" w:w="7488"/>
          </w:tcPr>
          <w:p>
            <w:r>
              <w:t>The system shall increment a WhatsApp click counter on the brand's database record each time a user activates the platform's WhatsApp contact link for that brand.</w:t>
            </w:r>
          </w:p>
        </w:tc>
        <w:tc>
          <w:tcPr>
            <w:tcW w:type="dxa" w:w="1008"/>
          </w:tcPr>
          <w:p>
            <w:r>
              <w:t>Low</w:t>
            </w:r>
          </w:p>
        </w:tc>
      </w:tr>
      <w:tr>
        <w:tc>
          <w:tcPr>
            <w:tcW w:type="dxa" w:w="1008"/>
          </w:tcPr>
          <w:p>
            <w:r>
              <w:t>SR-12</w:t>
            </w:r>
          </w:p>
        </w:tc>
        <w:tc>
          <w:tcPr>
            <w:tcW w:type="dxa" w:w="7488"/>
          </w:tcPr>
          <w:p>
            <w:r>
              <w:t>The system shall render all user-facing text from locale-specific message files (en.json and ar.json), with Arabic strings displayed in right-to-left layout when the Arabic locale is active.</w:t>
            </w:r>
          </w:p>
        </w:tc>
        <w:tc>
          <w:tcPr>
            <w:tcW w:type="dxa" w:w="1008"/>
          </w:tcPr>
          <w:p>
            <w:r>
              <w:t>High</w:t>
            </w:r>
          </w:p>
        </w:tc>
      </w:tr>
      <w:tr>
        <w:tc>
          <w:tcPr>
            <w:tcW w:type="dxa" w:w="1008"/>
          </w:tcPr>
          <w:p>
            <w:r>
              <w:t>SR-13</w:t>
            </w:r>
          </w:p>
        </w:tc>
        <w:tc>
          <w:tcPr>
            <w:tcW w:type="dxa" w:w="7488"/>
          </w:tcPr>
          <w:p>
            <w:r>
              <w:t>The system shall display all product prices in the buyer's currently selected currency by applying conversion rates from the centralised CURRENCIES configuration registry in src/lib/currencies.ts.</w:t>
            </w:r>
          </w:p>
        </w:tc>
        <w:tc>
          <w:tcPr>
            <w:tcW w:type="dxa" w:w="1008"/>
          </w:tcPr>
          <w:p>
            <w:r>
              <w:t>Medium</w:t>
            </w:r>
          </w:p>
        </w:tc>
      </w:tr>
      <w:tr>
        <w:tc>
          <w:tcPr>
            <w:tcW w:type="dxa" w:w="1008"/>
          </w:tcPr>
          <w:p>
            <w:r>
              <w:t>SR-14</w:t>
            </w:r>
          </w:p>
        </w:tc>
        <w:tc>
          <w:tcPr>
            <w:tcW w:type="dxa" w:w="7488"/>
          </w:tcPr>
          <w:p>
            <w:r>
              <w:t>The system shall restrict all brand verification actions (status update, tier assignment) exclusively to users with the administrator role, returning HTTP 403 for any attempt by a non-admin user.</w:t>
            </w:r>
          </w:p>
        </w:tc>
        <w:tc>
          <w:tcPr>
            <w:tcW w:type="dxa" w:w="1008"/>
          </w:tcPr>
          <w:p>
            <w:r>
              <w:t>High</w:t>
            </w:r>
          </w:p>
        </w:tc>
      </w:tr>
      <w:tr>
        <w:tc>
          <w:tcPr>
            <w:tcW w:type="dxa" w:w="1008"/>
          </w:tcPr>
          <w:p>
            <w:r>
              <w:t>SR-15</w:t>
            </w:r>
          </w:p>
        </w:tc>
        <w:tc>
          <w:tcPr>
            <w:tcW w:type="dxa" w:w="7488"/>
          </w:tcPr>
          <w:p>
            <w:r>
              <w:t>The system shall parse .xlsx files submitted via the bulk catalogue import endpoint, extracting product field values (name, description, price, MOQ, stock, image URL) from a defined column layout and creating corresponding product records in a single operation.</w:t>
            </w:r>
          </w:p>
        </w:tc>
        <w:tc>
          <w:tcPr>
            <w:tcW w:type="dxa" w:w="1008"/>
          </w:tcPr>
          <w:p>
            <w:r>
              <w:t>Low</w:t>
            </w:r>
          </w:p>
        </w:tc>
      </w:tr>
      <w:tr>
        <w:tc>
          <w:tcPr>
            <w:tcW w:type="dxa" w:w="1008"/>
          </w:tcPr>
          <w:p>
            <w:r>
              <w:t>SR-16</w:t>
            </w:r>
          </w:p>
        </w:tc>
        <w:tc>
          <w:tcPr>
            <w:tcW w:type="dxa" w:w="7488"/>
          </w:tcPr>
          <w:p>
            <w:r>
              <w:t>The system shall provide an administrator dashboard displaying real-time platform statistics: total registered user count, total approved brand count, total order volume, pending brand approval queue length, and active review moderation queue.</w:t>
            </w:r>
          </w:p>
        </w:tc>
        <w:tc>
          <w:tcPr>
            <w:tcW w:type="dxa" w:w="1008"/>
          </w:tcPr>
          <w:p>
            <w:r>
              <w:t>Medium</w:t>
            </w:r>
          </w:p>
        </w:tc>
      </w:tr>
      <w:tr>
        <w:tc>
          <w:tcPr>
            <w:tcW w:type="dxa" w:w="1008"/>
          </w:tcPr>
          <w:p>
            <w:r>
              <w:t>SR-17</w:t>
            </w:r>
          </w:p>
        </w:tc>
        <w:tc>
          <w:tcPr>
            <w:tcW w:type="dxa" w:w="7488"/>
          </w:tcPr>
          <w:p>
            <w:r>
              <w:t>The system shall record a timestamped audit entry for each brand verification decision, capturing the previous status, the new status, the acting administrator's ID, and the ISO 8601 timestamp of the change.</w:t>
            </w:r>
          </w:p>
        </w:tc>
        <w:tc>
          <w:tcPr>
            <w:tcW w:type="dxa" w:w="1008"/>
          </w:tcPr>
          <w:p>
            <w:r>
              <w:t>Medium</w:t>
            </w:r>
          </w:p>
        </w:tc>
      </w:tr>
      <w:tr>
        <w:tc>
          <w:tcPr>
            <w:tcW w:type="dxa" w:w="1008"/>
          </w:tcPr>
          <w:p>
            <w:r>
              <w:t>SR-18</w:t>
            </w:r>
          </w:p>
        </w:tc>
        <w:tc>
          <w:tcPr>
            <w:tcW w:type="dxa" w:w="7488"/>
          </w:tcPr>
          <w:p>
            <w:r>
              <w:t>The system shall support assignment of one of three verification tiers — Premium, Verified, or New — to each approved brand, and shall display the assigned tier as a visual badge on all brand-facing UI elements.</w:t>
            </w:r>
          </w:p>
        </w:tc>
        <w:tc>
          <w:tcPr>
            <w:tcW w:type="dxa" w:w="1008"/>
          </w:tcPr>
          <w:p>
            <w:r>
              <w:t>Medium</w:t>
            </w:r>
          </w:p>
        </w:tc>
      </w:tr>
      <w:tr>
        <w:tc>
          <w:tcPr>
            <w:tcW w:type="dxa" w:w="1008"/>
          </w:tcPr>
          <w:p>
            <w:r>
              <w:t>SR-19</w:t>
            </w:r>
          </w:p>
        </w:tc>
        <w:tc>
          <w:tcPr>
            <w:tcW w:type="dxa" w:w="7488"/>
          </w:tcPr>
          <w:p>
            <w:r>
              <w:t>The system shall accept review submissions with an anonymity flag that, when true, suppresses the reviewer's name and company from all public-facing display of that review.</w:t>
            </w:r>
          </w:p>
        </w:tc>
        <w:tc>
          <w:tcPr>
            <w:tcW w:type="dxa" w:w="1008"/>
          </w:tcPr>
          <w:p>
            <w:r>
              <w:t>Medium</w:t>
            </w:r>
          </w:p>
        </w:tc>
      </w:tr>
      <w:tr>
        <w:tc>
          <w:tcPr>
            <w:tcW w:type="dxa" w:w="1008"/>
          </w:tcPr>
          <w:p>
            <w:r>
              <w:t>SR-20</w:t>
            </w:r>
          </w:p>
        </w:tc>
        <w:tc>
          <w:tcPr>
            <w:tcW w:type="dxa" w:w="7488"/>
          </w:tcPr>
          <w:p>
            <w:r>
              <w:t>The system shall store a single brand reply per review and display it alongside the original review in the brand's public profile, attributed to the brand rather than to an individual named user.</w:t>
            </w:r>
          </w:p>
        </w:tc>
        <w:tc>
          <w:tcPr>
            <w:tcW w:type="dxa" w:w="1008"/>
          </w:tcPr>
          <w:p>
            <w:r>
              <w:t>Medium</w:t>
            </w:r>
          </w:p>
        </w:tc>
      </w:tr>
    </w:tbl>
    <w:p/>
    <w:p>
      <w:pPr>
        <w:pStyle w:val="Heading2"/>
      </w:pPr>
      <w:r>
        <w:t>2.4  Non-Functional Requirements</w:t>
      </w:r>
    </w:p>
    <w:p>
      <w:pPr/>
      <w:r>
        <w:t>Non-Functional Requirements (NFRs) define quality attributes that constrain how the system performs its functions. The following eight NFRs govern the Kuwait B2B Hub across the dimensions of performance, security, usability, reliability, maintainability, scalability, internationalisation, and compliance.</w:t>
      </w:r>
    </w:p>
    <w:tbl>
      <w:tblPr>
        <w:tblStyle w:val="TableGrid"/>
        <w:tblW w:type="auto" w:w="0"/>
        <w:tblLook w:firstColumn="1" w:firstRow="1" w:lastColumn="0" w:lastRow="0" w:noHBand="0" w:noVBand="1" w:val="04A0"/>
      </w:tblPr>
      <w:tblGrid>
        <w:gridCol w:w="2160"/>
        <w:gridCol w:w="2160"/>
        <w:gridCol w:w="2160"/>
        <w:gridCol w:w="2160"/>
      </w:tblGrid>
      <w:tr>
        <w:tc>
          <w:tcPr>
            <w:tcW w:type="dxa" w:w="1152"/>
          </w:tcPr>
          <w:p>
            <w:r>
              <w:rPr>
                <w:b/>
              </w:rPr>
              <w:t>NFR ID</w:t>
            </w:r>
          </w:p>
        </w:tc>
        <w:tc>
          <w:tcPr>
            <w:tcW w:type="dxa" w:w="1728"/>
          </w:tcPr>
          <w:p>
            <w:r>
              <w:rPr>
                <w:b/>
              </w:rPr>
              <w:t>Category</w:t>
            </w:r>
          </w:p>
        </w:tc>
        <w:tc>
          <w:tcPr>
            <w:tcW w:type="dxa" w:w="5904"/>
          </w:tcPr>
          <w:p>
            <w:r>
              <w:rPr>
                <w:b/>
              </w:rPr>
              <w:t>Requirement Statement</w:t>
            </w:r>
          </w:p>
        </w:tc>
        <w:tc>
          <w:tcPr>
            <w:tcW w:type="dxa" w:w="1152"/>
          </w:tcPr>
          <w:p>
            <w:r>
              <w:rPr>
                <w:b/>
              </w:rPr>
              <w:t>Priority</w:t>
            </w:r>
          </w:p>
        </w:tc>
      </w:tr>
      <w:tr>
        <w:tc>
          <w:tcPr>
            <w:tcW w:type="dxa" w:w="1152"/>
          </w:tcPr>
          <w:p>
            <w:r>
              <w:t>NFR-01</w:t>
            </w:r>
          </w:p>
        </w:tc>
        <w:tc>
          <w:tcPr>
            <w:tcW w:type="dxa" w:w="1728"/>
          </w:tcPr>
          <w:p>
            <w:r>
              <w:t>Performance</w:t>
            </w:r>
          </w:p>
        </w:tc>
        <w:tc>
          <w:tcPr>
            <w:tcW w:type="dxa" w:w="5904"/>
          </w:tcPr>
          <w:p>
            <w:r>
              <w:t>The median API response time for all standard read operations shall be under 300 ms under a load of up to 50 concurrent users. The Marketplace page shall achieve a Largest Contentful Paint (LCP) of under 3 seconds on a 4G mobile connection.</w:t>
            </w:r>
          </w:p>
        </w:tc>
        <w:tc>
          <w:tcPr>
            <w:tcW w:type="dxa" w:w="1152"/>
          </w:tcPr>
          <w:p>
            <w:r>
              <w:t>High</w:t>
            </w:r>
          </w:p>
        </w:tc>
      </w:tr>
      <w:tr>
        <w:tc>
          <w:tcPr>
            <w:tcW w:type="dxa" w:w="1152"/>
          </w:tcPr>
          <w:p>
            <w:r>
              <w:t>NFR-02</w:t>
            </w:r>
          </w:p>
        </w:tc>
        <w:tc>
          <w:tcPr>
            <w:tcW w:type="dxa" w:w="1728"/>
          </w:tcPr>
          <w:p>
            <w:r>
              <w:t>Security</w:t>
            </w:r>
          </w:p>
        </w:tc>
        <w:tc>
          <w:tcPr>
            <w:tcW w:type="dxa" w:w="5904"/>
          </w:tcPr>
          <w:p>
            <w:r>
              <w:t>All session cookies shall carry HttpOnly=true, SameSite=Lax, and Secure=true flags. All network traffic shall be encrypted over HTTPS. User passwords shall be stored using bcrypt or argon2id with a cost factor of ≥ 12. No credential data shall be written to any client-accessible storage mechanism.</w:t>
            </w:r>
          </w:p>
        </w:tc>
        <w:tc>
          <w:tcPr>
            <w:tcW w:type="dxa" w:w="1152"/>
          </w:tcPr>
          <w:p>
            <w:r>
              <w:t>Critical</w:t>
            </w:r>
          </w:p>
        </w:tc>
      </w:tr>
      <w:tr>
        <w:tc>
          <w:tcPr>
            <w:tcW w:type="dxa" w:w="1152"/>
          </w:tcPr>
          <w:p>
            <w:r>
              <w:t>NFR-03</w:t>
            </w:r>
          </w:p>
        </w:tc>
        <w:tc>
          <w:tcPr>
            <w:tcW w:type="dxa" w:w="1728"/>
          </w:tcPr>
          <w:p>
            <w:r>
              <w:t>Usability</w:t>
            </w:r>
          </w:p>
        </w:tc>
        <w:tc>
          <w:tcPr>
            <w:tcW w:type="dxa" w:w="5904"/>
          </w:tcPr>
          <w:p>
            <w:r>
              <w:t>All primary user workflows (registration, marketplace browsing, order submission, order tracking, notification viewing) shall be fully operable on a mobile viewport of 375 px width without horizontal scrolling. All interactive elements shall have a touch target of at least 44 × 44 px.</w:t>
            </w:r>
          </w:p>
        </w:tc>
        <w:tc>
          <w:tcPr>
            <w:tcW w:type="dxa" w:w="1152"/>
          </w:tcPr>
          <w:p>
            <w:r>
              <w:t>High</w:t>
            </w:r>
          </w:p>
        </w:tc>
      </w:tr>
      <w:tr>
        <w:tc>
          <w:tcPr>
            <w:tcW w:type="dxa" w:w="1152"/>
          </w:tcPr>
          <w:p>
            <w:r>
              <w:t>NFR-04</w:t>
            </w:r>
          </w:p>
        </w:tc>
        <w:tc>
          <w:tcPr>
            <w:tcW w:type="dxa" w:w="1728"/>
          </w:tcPr>
          <w:p>
            <w:r>
              <w:t>Reliability</w:t>
            </w:r>
          </w:p>
        </w:tc>
        <w:tc>
          <w:tcPr>
            <w:tcW w:type="dxa" w:w="5904"/>
          </w:tcPr>
          <w:p>
            <w:r>
              <w:t>The production system shall target a monthly uptime of ≥ 99.5%, leveraging Vercel's global edge network SLA and Supabase's managed infrastructure availability guarantees. Unplanned downtime shall not exceed 3.6 hours in any single calendar month.</w:t>
            </w:r>
          </w:p>
        </w:tc>
        <w:tc>
          <w:tcPr>
            <w:tcW w:type="dxa" w:w="1152"/>
          </w:tcPr>
          <w:p>
            <w:r>
              <w:t>High</w:t>
            </w:r>
          </w:p>
        </w:tc>
      </w:tr>
      <w:tr>
        <w:tc>
          <w:tcPr>
            <w:tcW w:type="dxa" w:w="1152"/>
          </w:tcPr>
          <w:p>
            <w:r>
              <w:t>NFR-05</w:t>
            </w:r>
          </w:p>
        </w:tc>
        <w:tc>
          <w:tcPr>
            <w:tcW w:type="dxa" w:w="1728"/>
          </w:tcPr>
          <w:p>
            <w:r>
              <w:t>Maintainability</w:t>
            </w:r>
          </w:p>
        </w:tc>
        <w:tc>
          <w:tcPr>
            <w:tcW w:type="dxa" w:w="5904"/>
          </w:tcPr>
          <w:p>
            <w:r>
              <w:t>The codebase shall pass ESLint (eslint-config-next) with zero errors on every production build. TypeScript strict mode shall remain enabled. All API route handlers shall invoke the getCurrentUser() guard as their first operation before executing any business logic.</w:t>
            </w:r>
          </w:p>
        </w:tc>
        <w:tc>
          <w:tcPr>
            <w:tcW w:type="dxa" w:w="1152"/>
          </w:tcPr>
          <w:p>
            <w:r>
              <w:t>High</w:t>
            </w:r>
          </w:p>
        </w:tc>
      </w:tr>
      <w:tr>
        <w:tc>
          <w:tcPr>
            <w:tcW w:type="dxa" w:w="1152"/>
          </w:tcPr>
          <w:p>
            <w:r>
              <w:t>NFR-06</w:t>
            </w:r>
          </w:p>
        </w:tc>
        <w:tc>
          <w:tcPr>
            <w:tcW w:type="dxa" w:w="1728"/>
          </w:tcPr>
          <w:p>
            <w:r>
              <w:t>Scalability</w:t>
            </w:r>
          </w:p>
        </w:tc>
        <w:tc>
          <w:tcPr>
            <w:tcW w:type="dxa" w:w="5904"/>
          </w:tcPr>
          <w:p>
            <w:r>
              <w:t>The data access layer shall be fully encapsulated behind the readDB() / writeDB() interface, such that migration from the JSON prototype store to Supabase PostgreSQL requires no modifications to any API route handler implementation.</w:t>
            </w:r>
          </w:p>
        </w:tc>
        <w:tc>
          <w:tcPr>
            <w:tcW w:type="dxa" w:w="1152"/>
          </w:tcPr>
          <w:p>
            <w:r>
              <w:t>High</w:t>
            </w:r>
          </w:p>
        </w:tc>
      </w:tr>
      <w:tr>
        <w:tc>
          <w:tcPr>
            <w:tcW w:type="dxa" w:w="1152"/>
          </w:tcPr>
          <w:p>
            <w:r>
              <w:t>NFR-07</w:t>
            </w:r>
          </w:p>
        </w:tc>
        <w:tc>
          <w:tcPr>
            <w:tcW w:type="dxa" w:w="1728"/>
          </w:tcPr>
          <w:p>
            <w:r>
              <w:t>Internationalisation</w:t>
            </w:r>
          </w:p>
        </w:tc>
        <w:tc>
          <w:tcPr>
            <w:tcW w:type="dxa" w:w="5904"/>
          </w:tcPr>
          <w:p>
            <w:r>
              <w:t>All user-facing string literals shall be externalised to locale-specific message files (en.json and ar.json). No hard-coded English or Arabic strings shall appear in .tsx component files. The platform shall render correctly in Arabic RTL layout on all supported pages.</w:t>
            </w:r>
          </w:p>
        </w:tc>
        <w:tc>
          <w:tcPr>
            <w:tcW w:type="dxa" w:w="1152"/>
          </w:tcPr>
          <w:p>
            <w:r>
              <w:t>High</w:t>
            </w:r>
          </w:p>
        </w:tc>
      </w:tr>
      <w:tr>
        <w:tc>
          <w:tcPr>
            <w:tcW w:type="dxa" w:w="1152"/>
          </w:tcPr>
          <w:p>
            <w:r>
              <w:t>NFR-08</w:t>
            </w:r>
          </w:p>
        </w:tc>
        <w:tc>
          <w:tcPr>
            <w:tcW w:type="dxa" w:w="1728"/>
          </w:tcPr>
          <w:p>
            <w:r>
              <w:t>Compliance</w:t>
            </w:r>
          </w:p>
        </w:tc>
        <w:tc>
          <w:tcPr>
            <w:tcW w:type="dxa" w:w="5904"/>
          </w:tcPr>
          <w:p>
            <w:r>
              <w:t>The platform shall not process, transmit, or store raw payment card data under any circumstances. All in-platform payment flows shall be delegated to a PCI-DSS-certified gateway aggregator. User data collection shall be limited to the minimum necessary for platform operation.</w:t>
            </w:r>
          </w:p>
        </w:tc>
        <w:tc>
          <w:tcPr>
            <w:tcW w:type="dxa" w:w="1152"/>
          </w:tcPr>
          <w:p>
            <w:r>
              <w:t>Critical</w:t>
            </w:r>
          </w:p>
        </w:tc>
      </w:tr>
    </w:tbl>
    <w:p/>
    <w:p>
      <w:pPr>
        <w:pStyle w:val="Heading2"/>
      </w:pPr>
      <w:r>
        <w:t>2.5  Functional Requirements Specification (FRS)</w:t>
      </w:r>
    </w:p>
    <w:p>
      <w:pPr/>
      <w:r>
        <w:t>The following section presents the complete Functional Requirements Specification across the five platform subsystems. Each of the 25 functions is described with its input, processing logic, output, and priority classification.</w:t>
      </w:r>
    </w:p>
    <w:p>
      <w:pPr>
        <w:pStyle w:val="Heading3"/>
      </w:pPr>
      <w:r>
        <w:t>2.5.1  Subsystem 1 — Authentication &amp; User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F-001</w:t>
            </w:r>
          </w:p>
        </w:tc>
        <w:tc>
          <w:tcPr>
            <w:tcW w:type="dxa" w:w="1584"/>
          </w:tcPr>
          <w:p>
            <w:r>
              <w:t>User Registration</w:t>
            </w:r>
          </w:p>
        </w:tc>
        <w:tc>
          <w:tcPr>
            <w:tcW w:type="dxa" w:w="2016"/>
          </w:tcPr>
          <w:p>
            <w:r>
              <w:t>POST /api/auth/register: {name, email, password, role, company_name}</w:t>
            </w:r>
          </w:p>
        </w:tc>
        <w:tc>
          <w:tcPr>
            <w:tcW w:type="dxa" w:w="2880"/>
          </w:tcPr>
          <w:p>
            <w:r>
              <w:t>Validate all fields present; check email uniqueness (409 if duplicate); create user record; if brand_owner → create pending brand + notify admins; set verification_status = approved (buyer) or pending (brand_owner); create session cookies.</w:t>
            </w:r>
          </w:p>
        </w:tc>
        <w:tc>
          <w:tcPr>
            <w:tcW w:type="dxa" w:w="2016"/>
          </w:tcPr>
          <w:p>
            <w:r>
              <w:t>201 user object + two session cookies (b2b_user_id httpOnly, b2b_user_role); admin notification(s) created.</w:t>
            </w:r>
          </w:p>
        </w:tc>
        <w:tc>
          <w:tcPr>
            <w:tcW w:type="dxa" w:w="1008"/>
          </w:tcPr>
          <w:p>
            <w:r>
              <w:t>High</w:t>
            </w:r>
          </w:p>
        </w:tc>
      </w:tr>
      <w:tr>
        <w:tc>
          <w:tcPr>
            <w:tcW w:type="dxa" w:w="864"/>
          </w:tcPr>
          <w:p>
            <w:r>
              <w:t>F-002</w:t>
            </w:r>
          </w:p>
        </w:tc>
        <w:tc>
          <w:tcPr>
            <w:tcW w:type="dxa" w:w="1584"/>
          </w:tcPr>
          <w:p>
            <w:r>
              <w:t>User Login</w:t>
            </w:r>
          </w:p>
        </w:tc>
        <w:tc>
          <w:tcPr>
            <w:tcW w:type="dxa" w:w="2016"/>
          </w:tcPr>
          <w:p>
            <w:r>
              <w:t>POST /api/auth/login: {email, password}</w:t>
            </w:r>
          </w:p>
        </w:tc>
        <w:tc>
          <w:tcPr>
            <w:tcW w:type="dxa" w:w="2880"/>
          </w:tcPr>
          <w:p>
            <w:r>
              <w:t>Validate fields present; find user by email; compare credential; if match → set session cookie pair with 7-day maxAge.</w:t>
            </w:r>
          </w:p>
        </w:tc>
        <w:tc>
          <w:tcPr>
            <w:tcW w:type="dxa" w:w="2016"/>
          </w:tcPr>
          <w:p>
            <w:r>
              <w:t>200 user object + two session cookies; or 401 Invalid credentials.</w:t>
            </w:r>
          </w:p>
        </w:tc>
        <w:tc>
          <w:tcPr>
            <w:tcW w:type="dxa" w:w="1008"/>
          </w:tcPr>
          <w:p>
            <w:r>
              <w:t>High</w:t>
            </w:r>
          </w:p>
        </w:tc>
      </w:tr>
      <w:tr>
        <w:tc>
          <w:tcPr>
            <w:tcW w:type="dxa" w:w="864"/>
          </w:tcPr>
          <w:p>
            <w:r>
              <w:t>F-003</w:t>
            </w:r>
          </w:p>
        </w:tc>
        <w:tc>
          <w:tcPr>
            <w:tcW w:type="dxa" w:w="1584"/>
          </w:tcPr>
          <w:p>
            <w:r>
              <w:t>User Logout</w:t>
            </w:r>
          </w:p>
        </w:tc>
        <w:tc>
          <w:tcPr>
            <w:tcW w:type="dxa" w:w="2016"/>
          </w:tcPr>
          <w:p>
            <w:r>
              <w:t>POST /api/auth/logout (authenticated session required)</w:t>
            </w:r>
          </w:p>
        </w:tc>
        <w:tc>
          <w:tcPr>
            <w:tcW w:type="dxa" w:w="2880"/>
          </w:tcPr>
          <w:p>
            <w:r>
              <w:t>Expire b2b_user_id and b2b_user_role cookies by setting maxAge=0 on NextResponse.</w:t>
            </w:r>
          </w:p>
        </w:tc>
        <w:tc>
          <w:tcPr>
            <w:tcW w:type="dxa" w:w="2016"/>
          </w:tcPr>
          <w:p>
            <w:r>
              <w:t>200 success; both cookies cleared in client browser.</w:t>
            </w:r>
          </w:p>
        </w:tc>
        <w:tc>
          <w:tcPr>
            <w:tcW w:type="dxa" w:w="1008"/>
          </w:tcPr>
          <w:p>
            <w:r>
              <w:t>High</w:t>
            </w:r>
          </w:p>
        </w:tc>
      </w:tr>
      <w:tr>
        <w:tc>
          <w:tcPr>
            <w:tcW w:type="dxa" w:w="864"/>
          </w:tcPr>
          <w:p>
            <w:r>
              <w:t>F-004</w:t>
            </w:r>
          </w:p>
        </w:tc>
        <w:tc>
          <w:tcPr>
            <w:tcW w:type="dxa" w:w="1584"/>
          </w:tcPr>
          <w:p>
            <w:r>
              <w:t>Session Validation</w:t>
            </w:r>
          </w:p>
        </w:tc>
        <w:tc>
          <w:tcPr>
            <w:tcW w:type="dxa" w:w="2016"/>
          </w:tcPr>
          <w:p>
            <w:r>
              <w:t>GET /api/auth/me (cookie-authenticated)</w:t>
            </w:r>
          </w:p>
        </w:tc>
        <w:tc>
          <w:tcPr>
            <w:tcW w:type="dxa" w:w="2880"/>
          </w:tcPr>
          <w:p>
            <w:r>
              <w:t>Read b2b_user_id cookie; locate user profile in database; return profile or HTTP 401 if not found.</w:t>
            </w:r>
          </w:p>
        </w:tc>
        <w:tc>
          <w:tcPr>
            <w:tcW w:type="dxa" w:w="2016"/>
          </w:tcPr>
          <w:p>
            <w:r>
              <w:t>200 user profile object; or 401 Unauthorized.</w:t>
            </w:r>
          </w:p>
        </w:tc>
        <w:tc>
          <w:tcPr>
            <w:tcW w:type="dxa" w:w="1008"/>
          </w:tcPr>
          <w:p>
            <w:r>
              <w:t>High</w:t>
            </w:r>
          </w:p>
        </w:tc>
      </w:tr>
      <w:tr>
        <w:tc>
          <w:tcPr>
            <w:tcW w:type="dxa" w:w="864"/>
          </w:tcPr>
          <w:p>
            <w:r>
              <w:t>F-005</w:t>
            </w:r>
          </w:p>
        </w:tc>
        <w:tc>
          <w:tcPr>
            <w:tcW w:type="dxa" w:w="1584"/>
          </w:tcPr>
          <w:p>
            <w:r>
              <w:t>User Management (Admin)</w:t>
            </w:r>
          </w:p>
        </w:tc>
        <w:tc>
          <w:tcPr>
            <w:tcW w:type="dxa" w:w="2016"/>
          </w:tcPr>
          <w:p>
            <w:r>
              <w:t>GET /api/admin/users; PATCH /api/admin/users/:id: {role?, verification_status?}</w:t>
            </w:r>
          </w:p>
        </w:tc>
        <w:tc>
          <w:tcPr>
            <w:tcW w:type="dxa" w:w="2880"/>
          </w:tcPr>
          <w:p>
            <w:r>
              <w:t>RBAC guard confirms admin role; return full user list (GET) or apply field updates (PATCH) to specified user record.</w:t>
            </w:r>
          </w:p>
        </w:tc>
        <w:tc>
          <w:tcPr>
            <w:tcW w:type="dxa" w:w="2016"/>
          </w:tcPr>
          <w:p>
            <w:r>
              <w:t>200 user list or updated user object; 403 Forbidden if non-admin.</w:t>
            </w:r>
          </w:p>
        </w:tc>
        <w:tc>
          <w:tcPr>
            <w:tcW w:type="dxa" w:w="1008"/>
          </w:tcPr>
          <w:p>
            <w:r>
              <w:t>Medium</w:t>
            </w:r>
          </w:p>
        </w:tc>
      </w:tr>
    </w:tbl>
    <w:p/>
    <w:p>
      <w:pPr>
        <w:pStyle w:val="Heading3"/>
      </w:pPr>
      <w:r>
        <w:t>2.5.2  Subsystem 2 — Brand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F-006</w:t>
            </w:r>
          </w:p>
        </w:tc>
        <w:tc>
          <w:tcPr>
            <w:tcW w:type="dxa" w:w="1584"/>
          </w:tcPr>
          <w:p>
            <w:r>
              <w:t>Brand Profile Creation</w:t>
            </w:r>
          </w:p>
        </w:tc>
        <w:tc>
          <w:tcPr>
            <w:tcW w:type="dxa" w:w="2016"/>
          </w:tcPr>
          <w:p>
            <w:r>
              <w:t>Triggered automatically on brand_owner registration (F-001)</w:t>
            </w:r>
          </w:p>
        </w:tc>
        <w:tc>
          <w:tcPr>
            <w:tcW w:type="dxa" w:w="2880"/>
          </w:tcPr>
          <w:p>
            <w:r>
              <w:t>Create brand record: status='pending', owner_id=userId, logo_url from UI-Avatars API. Persist to database.</w:t>
            </w:r>
          </w:p>
        </w:tc>
        <w:tc>
          <w:tcPr>
            <w:tcW w:type="dxa" w:w="2016"/>
          </w:tcPr>
          <w:p>
            <w:r>
              <w:t>Brand record created; admin notified of new brand awaiting approval.</w:t>
            </w:r>
          </w:p>
        </w:tc>
        <w:tc>
          <w:tcPr>
            <w:tcW w:type="dxa" w:w="1008"/>
          </w:tcPr>
          <w:p>
            <w:r>
              <w:t>High</w:t>
            </w:r>
          </w:p>
        </w:tc>
      </w:tr>
      <w:tr>
        <w:tc>
          <w:tcPr>
            <w:tcW w:type="dxa" w:w="864"/>
          </w:tcPr>
          <w:p>
            <w:r>
              <w:t>F-007</w:t>
            </w:r>
          </w:p>
        </w:tc>
        <w:tc>
          <w:tcPr>
            <w:tcW w:type="dxa" w:w="1584"/>
          </w:tcPr>
          <w:p>
            <w:r>
              <w:t>Brand Profile Update</w:t>
            </w:r>
          </w:p>
        </w:tc>
        <w:tc>
          <w:tcPr>
            <w:tcW w:type="dxa" w:w="2016"/>
          </w:tcPr>
          <w:p>
            <w:r>
              <w:t>PATCH /api/brands/:id: {brand_name?, description?, logo_url?, whatsapp_number?, business_hours?, auto_reply_message?} (brand_owner)</w:t>
            </w:r>
          </w:p>
        </w:tc>
        <w:tc>
          <w:tcPr>
            <w:tcW w:type="dxa" w:w="2880"/>
          </w:tcPr>
          <w:p>
            <w:r>
              <w:t>Validate brand.owner_id = current user; update specified fields; persist.</w:t>
            </w:r>
          </w:p>
        </w:tc>
        <w:tc>
          <w:tcPr>
            <w:tcW w:type="dxa" w:w="2016"/>
          </w:tcPr>
          <w:p>
            <w:r>
              <w:t>200 updated brand object; 403 if not owner.</w:t>
            </w:r>
          </w:p>
        </w:tc>
        <w:tc>
          <w:tcPr>
            <w:tcW w:type="dxa" w:w="1008"/>
          </w:tcPr>
          <w:p>
            <w:r>
              <w:t>High</w:t>
            </w:r>
          </w:p>
        </w:tc>
      </w:tr>
      <w:tr>
        <w:tc>
          <w:tcPr>
            <w:tcW w:type="dxa" w:w="864"/>
          </w:tcPr>
          <w:p>
            <w:r>
              <w:t>F-008</w:t>
            </w:r>
          </w:p>
        </w:tc>
        <w:tc>
          <w:tcPr>
            <w:tcW w:type="dxa" w:w="1584"/>
          </w:tcPr>
          <w:p>
            <w:r>
              <w:t>Brand Verification</w:t>
            </w:r>
          </w:p>
        </w:tc>
        <w:tc>
          <w:tcPr>
            <w:tcW w:type="dxa" w:w="2016"/>
          </w:tcPr>
          <w:p>
            <w:r>
              <w:t>PATCH /api/admin/brands/:id: {status, verification_tier?} (admin only)</w:t>
            </w:r>
          </w:p>
        </w:tc>
        <w:tc>
          <w:tcPr>
            <w:tcW w:type="dxa" w:w="2880"/>
          </w:tcPr>
          <w:p>
            <w:r>
              <w:t>Validate admin role; validate status ∈ {approved, rejected}; update brand.status and owner.verification_status atomically; optionally set tier; notify brand owner and (on approval) all buyers.</w:t>
            </w:r>
          </w:p>
        </w:tc>
        <w:tc>
          <w:tcPr>
            <w:tcW w:type="dxa" w:w="2016"/>
          </w:tcPr>
          <w:p>
            <w:r>
              <w:t>200 updated brand; notifications dispatched; 400/403/404 on error.</w:t>
            </w:r>
          </w:p>
        </w:tc>
        <w:tc>
          <w:tcPr>
            <w:tcW w:type="dxa" w:w="1008"/>
          </w:tcPr>
          <w:p>
            <w:r>
              <w:t>High</w:t>
            </w:r>
          </w:p>
        </w:tc>
      </w:tr>
      <w:tr>
        <w:tc>
          <w:tcPr>
            <w:tcW w:type="dxa" w:w="864"/>
          </w:tcPr>
          <w:p>
            <w:r>
              <w:t>F-009</w:t>
            </w:r>
          </w:p>
        </w:tc>
        <w:tc>
          <w:tcPr>
            <w:tcW w:type="dxa" w:w="1584"/>
          </w:tcPr>
          <w:p>
            <w:r>
              <w:t>WhatsApp Click Tracking</w:t>
            </w:r>
          </w:p>
        </w:tc>
        <w:tc>
          <w:tcPr>
            <w:tcW w:type="dxa" w:w="2016"/>
          </w:tcPr>
          <w:p>
            <w:r>
              <w:t>POST /api/brands/whatsapp-click: {brand_id}</w:t>
            </w:r>
          </w:p>
        </w:tc>
        <w:tc>
          <w:tcPr>
            <w:tcW w:type="dxa" w:w="2880"/>
          </w:tcPr>
          <w:p>
            <w:r>
              <w:t>Increment brand.whatsapp_clicks counter in database.</w:t>
            </w:r>
          </w:p>
        </w:tc>
        <w:tc>
          <w:tcPr>
            <w:tcW w:type="dxa" w:w="2016"/>
          </w:tcPr>
          <w:p>
            <w:r>
              <w:t>200 success with updated click count.</w:t>
            </w:r>
          </w:p>
        </w:tc>
        <w:tc>
          <w:tcPr>
            <w:tcW w:type="dxa" w:w="1008"/>
          </w:tcPr>
          <w:p>
            <w:r>
              <w:t>Low</w:t>
            </w:r>
          </w:p>
        </w:tc>
      </w:tr>
      <w:tr>
        <w:tc>
          <w:tcPr>
            <w:tcW w:type="dxa" w:w="864"/>
          </w:tcPr>
          <w:p>
            <w:r>
              <w:t>F-010</w:t>
            </w:r>
          </w:p>
        </w:tc>
        <w:tc>
          <w:tcPr>
            <w:tcW w:type="dxa" w:w="1584"/>
          </w:tcPr>
          <w:p>
            <w:r>
              <w:t>Brand Discovery</w:t>
            </w:r>
          </w:p>
        </w:tc>
        <w:tc>
          <w:tcPr>
            <w:tcW w:type="dxa" w:w="2016"/>
          </w:tcPr>
          <w:p>
            <w:r>
              <w:t>GET /api/brands: {search?, category?, minRating?, verification_tier?}</w:t>
            </w:r>
          </w:p>
        </w:tc>
        <w:tc>
          <w:tcPr>
            <w:tcW w:type="dxa" w:w="2880"/>
          </w:tcPr>
          <w:p>
            <w:r>
              <w:t>Return all brands with status='approved'; apply optional filter parameters; sort by rating or relevance.</w:t>
            </w:r>
          </w:p>
        </w:tc>
        <w:tc>
          <w:tcPr>
            <w:tcW w:type="dxa" w:w="2016"/>
          </w:tcPr>
          <w:p>
            <w:r>
              <w:t>200 array of approved brand objects matching filters.</w:t>
            </w:r>
          </w:p>
        </w:tc>
        <w:tc>
          <w:tcPr>
            <w:tcW w:type="dxa" w:w="1008"/>
          </w:tcPr>
          <w:p>
            <w:r>
              <w:t>High</w:t>
            </w:r>
          </w:p>
        </w:tc>
      </w:tr>
    </w:tbl>
    <w:p/>
    <w:p>
      <w:pPr>
        <w:pStyle w:val="Heading3"/>
      </w:pPr>
      <w:r>
        <w:t>2.5.3  Subsystem 3 — Product &amp; Catalogue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F-011</w:t>
            </w:r>
          </w:p>
        </w:tc>
        <w:tc>
          <w:tcPr>
            <w:tcW w:type="dxa" w:w="1584"/>
          </w:tcPr>
          <w:p>
            <w:r>
              <w:t>Product Creation</w:t>
            </w:r>
          </w:p>
        </w:tc>
        <w:tc>
          <w:tcPr>
            <w:tcW w:type="dxa" w:w="2016"/>
          </w:tcPr>
          <w:p>
            <w:r>
              <w:t>POST /api/products: {brand_id, name, description, price, moq, stock, image_url, bulk_pricing_tiers[]} (brand_owner)</w:t>
            </w:r>
          </w:p>
        </w:tc>
        <w:tc>
          <w:tcPr>
            <w:tcW w:type="dxa" w:w="2880"/>
          </w:tcPr>
          <w:p>
            <w:r>
              <w:t>Validate brand ownership; create product record with all specified fields; persist bulk_pricing_tiers[] as embedded array.</w:t>
            </w:r>
          </w:p>
        </w:tc>
        <w:tc>
          <w:tcPr>
            <w:tcW w:type="dxa" w:w="2016"/>
          </w:tcPr>
          <w:p>
            <w:r>
              <w:t>201 created product object.</w:t>
            </w:r>
          </w:p>
        </w:tc>
        <w:tc>
          <w:tcPr>
            <w:tcW w:type="dxa" w:w="1008"/>
          </w:tcPr>
          <w:p>
            <w:r>
              <w:t>High</w:t>
            </w:r>
          </w:p>
        </w:tc>
      </w:tr>
      <w:tr>
        <w:tc>
          <w:tcPr>
            <w:tcW w:type="dxa" w:w="864"/>
          </w:tcPr>
          <w:p>
            <w:r>
              <w:t>F-012</w:t>
            </w:r>
          </w:p>
        </w:tc>
        <w:tc>
          <w:tcPr>
            <w:tcW w:type="dxa" w:w="1584"/>
          </w:tcPr>
          <w:p>
            <w:r>
              <w:t>Product Edit &amp; Delete</w:t>
            </w:r>
          </w:p>
        </w:tc>
        <w:tc>
          <w:tcPr>
            <w:tcW w:type="dxa" w:w="2016"/>
          </w:tcPr>
          <w:p>
            <w:r>
              <w:t>PATCH/DELETE /api/products/:id (brand_owner)</w:t>
            </w:r>
          </w:p>
        </w:tc>
        <w:tc>
          <w:tcPr>
            <w:tcW w:type="dxa" w:w="2880"/>
          </w:tcPr>
          <w:p>
            <w:r>
              <w:t>Validate brand ownership for the product's parent brand; update specified fields (PATCH) or remove record (DELETE).</w:t>
            </w:r>
          </w:p>
        </w:tc>
        <w:tc>
          <w:tcPr>
            <w:tcW w:type="dxa" w:w="2016"/>
          </w:tcPr>
          <w:p>
            <w:r>
              <w:t>200 updated product; 204 on delete; 403/404 on error.</w:t>
            </w:r>
          </w:p>
        </w:tc>
        <w:tc>
          <w:tcPr>
            <w:tcW w:type="dxa" w:w="1008"/>
          </w:tcPr>
          <w:p>
            <w:r>
              <w:t>High</w:t>
            </w:r>
          </w:p>
        </w:tc>
      </w:tr>
      <w:tr>
        <w:tc>
          <w:tcPr>
            <w:tcW w:type="dxa" w:w="864"/>
          </w:tcPr>
          <w:p>
            <w:r>
              <w:t>F-013</w:t>
            </w:r>
          </w:p>
        </w:tc>
        <w:tc>
          <w:tcPr>
            <w:tcW w:type="dxa" w:w="1584"/>
          </w:tcPr>
          <w:p>
            <w:r>
              <w:t>Bulk Pricing Tier Management</w:t>
            </w:r>
          </w:p>
        </w:tc>
        <w:tc>
          <w:tcPr>
            <w:tcW w:type="dxa" w:w="2016"/>
          </w:tcPr>
          <w:p>
            <w:r>
              <w:t>Included in F-011 / F-012: bulk_pricing_tiers: [{min_qty, max_qty, price}]</w:t>
            </w:r>
          </w:p>
        </w:tc>
        <w:tc>
          <w:tcPr>
            <w:tcW w:type="dxa" w:w="2880"/>
          </w:tcPr>
          <w:p>
            <w:r>
              <w:t>Validate tier ranges are logically valid (non-overlapping); replace existing tier array with the submitted one on each product update.</w:t>
            </w:r>
          </w:p>
        </w:tc>
        <w:tc>
          <w:tcPr>
            <w:tcW w:type="dxa" w:w="2016"/>
          </w:tcPr>
          <w:p>
            <w:r>
              <w:t>Updated product with new bulk_pricing_tiers[] array persisted.</w:t>
            </w:r>
          </w:p>
        </w:tc>
        <w:tc>
          <w:tcPr>
            <w:tcW w:type="dxa" w:w="1008"/>
          </w:tcPr>
          <w:p>
            <w:r>
              <w:t>High</w:t>
            </w:r>
          </w:p>
        </w:tc>
      </w:tr>
      <w:tr>
        <w:tc>
          <w:tcPr>
            <w:tcW w:type="dxa" w:w="864"/>
          </w:tcPr>
          <w:p>
            <w:r>
              <w:t>F-014</w:t>
            </w:r>
          </w:p>
        </w:tc>
        <w:tc>
          <w:tcPr>
            <w:tcW w:type="dxa" w:w="1584"/>
          </w:tcPr>
          <w:p>
            <w:r>
              <w:t>Product Browsing</w:t>
            </w:r>
          </w:p>
        </w:tc>
        <w:tc>
          <w:tcPr>
            <w:tcW w:type="dxa" w:w="2016"/>
          </w:tcPr>
          <w:p>
            <w:r>
              <w:t>GET /api/products?brand_id=X or GET /api/products/:id</w:t>
            </w:r>
          </w:p>
        </w:tc>
        <w:tc>
          <w:tcPr>
            <w:tcW w:type="dxa" w:w="2880"/>
          </w:tcPr>
          <w:p>
            <w:r>
              <w:t>Return all products for a brand (filtered by brand_id) or a single product by ID, including bulk_pricing_tiers.</w:t>
            </w:r>
          </w:p>
        </w:tc>
        <w:tc>
          <w:tcPr>
            <w:tcW w:type="dxa" w:w="2016"/>
          </w:tcPr>
          <w:p>
            <w:r>
              <w:t>200 array of products or single product object.</w:t>
            </w:r>
          </w:p>
        </w:tc>
        <w:tc>
          <w:tcPr>
            <w:tcW w:type="dxa" w:w="1008"/>
          </w:tcPr>
          <w:p>
            <w:r>
              <w:t>High</w:t>
            </w:r>
          </w:p>
        </w:tc>
      </w:tr>
      <w:tr>
        <w:tc>
          <w:tcPr>
            <w:tcW w:type="dxa" w:w="864"/>
          </w:tcPr>
          <w:p>
            <w:r>
              <w:t>F-015</w:t>
            </w:r>
          </w:p>
        </w:tc>
        <w:tc>
          <w:tcPr>
            <w:tcW w:type="dxa" w:w="1584"/>
          </w:tcPr>
          <w:p>
            <w:r>
              <w:t>Excel Catalogue Import</w:t>
            </w:r>
          </w:p>
        </w:tc>
        <w:tc>
          <w:tcPr>
            <w:tcW w:type="dxa" w:w="2016"/>
          </w:tcPr>
          <w:p>
            <w:r>
              <w:t>POST /api/products/bulk: multipart .xlsx file upload (brand_owner)</w:t>
            </w:r>
          </w:p>
        </w:tc>
        <w:tc>
          <w:tcPr>
            <w:tcW w:type="dxa" w:w="2880"/>
          </w:tcPr>
          <w:p>
            <w:r>
              <w:t>Parse .xlsx using xlsx library; extract product rows; validate each row against required fields; create product records in batch; report outcome.</w:t>
            </w:r>
          </w:p>
        </w:tc>
        <w:tc>
          <w:tcPr>
            <w:tcW w:type="dxa" w:w="2016"/>
          </w:tcPr>
          <w:p>
            <w:r>
              <w:t>200 import summary: {created: N, errors: [{row, reason}]}.</w:t>
            </w:r>
          </w:p>
        </w:tc>
        <w:tc>
          <w:tcPr>
            <w:tcW w:type="dxa" w:w="1008"/>
          </w:tcPr>
          <w:p>
            <w:r>
              <w:t>Low</w:t>
            </w:r>
          </w:p>
        </w:tc>
      </w:tr>
    </w:tbl>
    <w:p/>
    <w:p>
      <w:pPr>
        <w:pStyle w:val="Heading3"/>
      </w:pPr>
      <w:r>
        <w:t>2.5.4  Subsystem 4 — Order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F-016</w:t>
            </w:r>
          </w:p>
        </w:tc>
        <w:tc>
          <w:tcPr>
            <w:tcW w:type="dxa" w:w="1584"/>
          </w:tcPr>
          <w:p>
            <w:r>
              <w:t>Order Submission</w:t>
            </w:r>
          </w:p>
        </w:tc>
        <w:tc>
          <w:tcPr>
            <w:tcW w:type="dxa" w:w="2016"/>
          </w:tcPr>
          <w:p>
            <w:r>
              <w:t>POST /api/orders: {brand_id, items: [{product_id, quantity}]} (buyer)</w:t>
            </w:r>
          </w:p>
        </w:tc>
        <w:tc>
          <w:tcPr>
            <w:tcW w:type="dxa" w:w="2880"/>
          </w:tcPr>
          <w:p>
            <w:r>
              <w:t>Validate buyer role; locate approved brand; for each item: check product belongs to brand, validate qty ≥ MOQ (SR-05), validate qty ≤ stock (SR-06), resolve bulk-pricing unit_price (SR-07); compute total_amount; INSERT order + order_items; notify brand owner.</w:t>
            </w:r>
          </w:p>
        </w:tc>
        <w:tc>
          <w:tcPr>
            <w:tcW w:type="dxa" w:w="2016"/>
          </w:tcPr>
          <w:p>
            <w:r>
              <w:t>201 created order with items; brand owner notification dispatched.</w:t>
            </w:r>
          </w:p>
        </w:tc>
        <w:tc>
          <w:tcPr>
            <w:tcW w:type="dxa" w:w="1008"/>
          </w:tcPr>
          <w:p>
            <w:r>
              <w:t>High</w:t>
            </w:r>
          </w:p>
        </w:tc>
      </w:tr>
      <w:tr>
        <w:tc>
          <w:tcPr>
            <w:tcW w:type="dxa" w:w="864"/>
          </w:tcPr>
          <w:p>
            <w:r>
              <w:t>F-017</w:t>
            </w:r>
          </w:p>
        </w:tc>
        <w:tc>
          <w:tcPr>
            <w:tcW w:type="dxa" w:w="1584"/>
          </w:tcPr>
          <w:p>
            <w:r>
              <w:t>Order Status Update</w:t>
            </w:r>
          </w:p>
        </w:tc>
        <w:tc>
          <w:tcPr>
            <w:tcW w:type="dxa" w:w="2016"/>
          </w:tcPr>
          <w:p>
            <w:r>
              <w:t>PATCH /api/orders/:id: {status: approved|rejected|completed} (brand_owner or admin)</w:t>
            </w:r>
          </w:p>
        </w:tc>
        <w:tc>
          <w:tcPr>
            <w:tcW w:type="dxa" w:w="2880"/>
          </w:tcPr>
          <w:p>
            <w:r>
              <w:t>Validate role; brand_owner: verify order.brand_id matches owner's brand; update order.status; create buyer notification based on new status value.</w:t>
            </w:r>
          </w:p>
        </w:tc>
        <w:tc>
          <w:tcPr>
            <w:tcW w:type="dxa" w:w="2016"/>
          </w:tcPr>
          <w:p>
            <w:r>
              <w:t>200 updated order; buyer notification; 403/404 on error.</w:t>
            </w:r>
          </w:p>
        </w:tc>
        <w:tc>
          <w:tcPr>
            <w:tcW w:type="dxa" w:w="1008"/>
          </w:tcPr>
          <w:p>
            <w:r>
              <w:t>High</w:t>
            </w:r>
          </w:p>
        </w:tc>
      </w:tr>
      <w:tr>
        <w:tc>
          <w:tcPr>
            <w:tcW w:type="dxa" w:w="864"/>
          </w:tcPr>
          <w:p>
            <w:r>
              <w:t>F-018</w:t>
            </w:r>
          </w:p>
        </w:tc>
        <w:tc>
          <w:tcPr>
            <w:tcW w:type="dxa" w:w="1584"/>
          </w:tcPr>
          <w:p>
            <w:r>
              <w:t>Order Listing</w:t>
            </w:r>
          </w:p>
        </w:tc>
        <w:tc>
          <w:tcPr>
            <w:tcW w:type="dxa" w:w="2016"/>
          </w:tcPr>
          <w:p>
            <w:r>
              <w:t>GET /api/orders (authenticated)</w:t>
            </w:r>
          </w:p>
        </w:tc>
        <w:tc>
          <w:tcPr>
            <w:tcW w:type="dxa" w:w="2880"/>
          </w:tcPr>
          <w:p>
            <w:r>
              <w:t>Apply role-based data filter: buyers → own orders only; brand_owners → orders for their brand only; admins → all orders.</w:t>
            </w:r>
          </w:p>
        </w:tc>
        <w:tc>
          <w:tcPr>
            <w:tcW w:type="dxa" w:w="2016"/>
          </w:tcPr>
          <w:p>
            <w:r>
              <w:t>200 array of order objects including items.</w:t>
            </w:r>
          </w:p>
        </w:tc>
        <w:tc>
          <w:tcPr>
            <w:tcW w:type="dxa" w:w="1008"/>
          </w:tcPr>
          <w:p>
            <w:r>
              <w:t>High</w:t>
            </w:r>
          </w:p>
        </w:tc>
      </w:tr>
      <w:tr>
        <w:tc>
          <w:tcPr>
            <w:tcW w:type="dxa" w:w="864"/>
          </w:tcPr>
          <w:p>
            <w:r>
              <w:t>F-019</w:t>
            </w:r>
          </w:p>
        </w:tc>
        <w:tc>
          <w:tcPr>
            <w:tcW w:type="dxa" w:w="1584"/>
          </w:tcPr>
          <w:p>
            <w:r>
              <w:t>Order Detail View</w:t>
            </w:r>
          </w:p>
        </w:tc>
        <w:tc>
          <w:tcPr>
            <w:tcW w:type="dxa" w:w="2016"/>
          </w:tcPr>
          <w:p>
            <w:r>
              <w:t>GET /api/orders/:id (authenticated)</w:t>
            </w:r>
          </w:p>
        </w:tc>
        <w:tc>
          <w:tcPr>
            <w:tcW w:type="dxa" w:w="2880"/>
          </w:tcPr>
          <w:p>
            <w:r>
              <w:t>Return single order with full item detail; apply role-based ownership check before returning data.</w:t>
            </w:r>
          </w:p>
        </w:tc>
        <w:tc>
          <w:tcPr>
            <w:tcW w:type="dxa" w:w="2016"/>
          </w:tcPr>
          <w:p>
            <w:r>
              <w:t>200 order object with items; 403 if not authorised to view.</w:t>
            </w:r>
          </w:p>
        </w:tc>
        <w:tc>
          <w:tcPr>
            <w:tcW w:type="dxa" w:w="1008"/>
          </w:tcPr>
          <w:p>
            <w:r>
              <w:t>High</w:t>
            </w:r>
          </w:p>
        </w:tc>
      </w:tr>
      <w:tr>
        <w:tc>
          <w:tcPr>
            <w:tcW w:type="dxa" w:w="864"/>
          </w:tcPr>
          <w:p>
            <w:r>
              <w:t>F-020</w:t>
            </w:r>
          </w:p>
        </w:tc>
        <w:tc>
          <w:tcPr>
            <w:tcW w:type="dxa" w:w="1584"/>
          </w:tcPr>
          <w:p>
            <w:r>
              <w:t>Admin Order Analytics</w:t>
            </w:r>
          </w:p>
        </w:tc>
        <w:tc>
          <w:tcPr>
            <w:tcW w:type="dxa" w:w="2016"/>
          </w:tcPr>
          <w:p>
            <w:r>
              <w:t>GET /api/admin/orders (admin only)</w:t>
            </w:r>
          </w:p>
        </w:tc>
        <w:tc>
          <w:tcPr>
            <w:tcW w:type="dxa" w:w="2880"/>
          </w:tcPr>
          <w:p>
            <w:r>
              <w:t>Validate admin role; aggregate platform-wide order statistics: total count, total revenue, status distribution, recent order list.</w:t>
            </w:r>
          </w:p>
        </w:tc>
        <w:tc>
          <w:tcPr>
            <w:tcW w:type="dxa" w:w="2016"/>
          </w:tcPr>
          <w:p>
            <w:r>
              <w:t>200 analytics payload; 403 if non-admin.</w:t>
            </w:r>
          </w:p>
        </w:tc>
        <w:tc>
          <w:tcPr>
            <w:tcW w:type="dxa" w:w="1008"/>
          </w:tcPr>
          <w:p>
            <w:r>
              <w:t>Medium</w:t>
            </w:r>
          </w:p>
        </w:tc>
      </w:tr>
    </w:tbl>
    <w:p/>
    <w:p>
      <w:pPr>
        <w:pStyle w:val="Heading3"/>
      </w:pPr>
      <w:r>
        <w:t>2.5.5  Subsystem 5 — Trust, Reviews &amp; Notifications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F-021</w:t>
            </w:r>
          </w:p>
        </w:tc>
        <w:tc>
          <w:tcPr>
            <w:tcW w:type="dxa" w:w="1584"/>
          </w:tcPr>
          <w:p>
            <w:r>
              <w:t>Review Submission</w:t>
            </w:r>
          </w:p>
        </w:tc>
        <w:tc>
          <w:tcPr>
            <w:tcW w:type="dxa" w:w="2016"/>
          </w:tcPr>
          <w:p>
            <w:r>
              <w:t>POST /api/reviews: {brand_id, order_id?, rating, content, anonymous} (buyer)</w:t>
            </w:r>
          </w:p>
        </w:tc>
        <w:tc>
          <w:tcPr>
            <w:tcW w:type="dxa" w:w="2880"/>
          </w:tcPr>
          <w:p>
            <w:r>
              <w:t>Validate buyer role; validate rating ∈ [1, 5]; create review with status='active' and anonymous flag; persist; notify brand owner.</w:t>
            </w:r>
          </w:p>
        </w:tc>
        <w:tc>
          <w:tcPr>
            <w:tcW w:type="dxa" w:w="2016"/>
          </w:tcPr>
          <w:p>
            <w:r>
              <w:t>201 created review object; brand owner notification.</w:t>
            </w:r>
          </w:p>
        </w:tc>
        <w:tc>
          <w:tcPr>
            <w:tcW w:type="dxa" w:w="1008"/>
          </w:tcPr>
          <w:p>
            <w:r>
              <w:t>Medium</w:t>
            </w:r>
          </w:p>
        </w:tc>
      </w:tr>
      <w:tr>
        <w:tc>
          <w:tcPr>
            <w:tcW w:type="dxa" w:w="864"/>
          </w:tcPr>
          <w:p>
            <w:r>
              <w:t>F-022</w:t>
            </w:r>
          </w:p>
        </w:tc>
        <w:tc>
          <w:tcPr>
            <w:tcW w:type="dxa" w:w="1584"/>
          </w:tcPr>
          <w:p>
            <w:r>
              <w:t>Brand Reply to Review</w:t>
            </w:r>
          </w:p>
        </w:tc>
        <w:tc>
          <w:tcPr>
            <w:tcW w:type="dxa" w:w="2016"/>
          </w:tcPr>
          <w:p>
            <w:r>
              <w:t>PATCH /api/reviews/:id/reply: {brand_reply} (brand_owner)</w:t>
            </w:r>
          </w:p>
        </w:tc>
        <w:tc>
          <w:tcPr>
            <w:tcW w:type="dxa" w:w="2880"/>
          </w:tcPr>
          <w:p>
            <w:r>
              <w:t>Validate brand ownership (review.brand_id = current user's brand); update review.brand_reply field; persist; notify review author.</w:t>
            </w:r>
          </w:p>
        </w:tc>
        <w:tc>
          <w:tcPr>
            <w:tcW w:type="dxa" w:w="2016"/>
          </w:tcPr>
          <w:p>
            <w:r>
              <w:t>200 updated review with brand_reply text.</w:t>
            </w:r>
          </w:p>
        </w:tc>
        <w:tc>
          <w:tcPr>
            <w:tcW w:type="dxa" w:w="1008"/>
          </w:tcPr>
          <w:p>
            <w:r>
              <w:t>Medium</w:t>
            </w:r>
          </w:p>
        </w:tc>
      </w:tr>
      <w:tr>
        <w:tc>
          <w:tcPr>
            <w:tcW w:type="dxa" w:w="864"/>
          </w:tcPr>
          <w:p>
            <w:r>
              <w:t>F-023</w:t>
            </w:r>
          </w:p>
        </w:tc>
        <w:tc>
          <w:tcPr>
            <w:tcW w:type="dxa" w:w="1584"/>
          </w:tcPr>
          <w:p>
            <w:r>
              <w:t>Admin Review Moderation</w:t>
            </w:r>
          </w:p>
        </w:tc>
        <w:tc>
          <w:tcPr>
            <w:tcW w:type="dxa" w:w="2016"/>
          </w:tcPr>
          <w:p>
            <w:r>
              <w:t>PATCH /api/admin/reviews/:id: {status?, flagged?} (admin)</w:t>
            </w:r>
          </w:p>
        </w:tc>
        <w:tc>
          <w:tcPr>
            <w:tcW w:type="dxa" w:w="2880"/>
          </w:tcPr>
          <w:p>
            <w:r>
              <w:t>Validate admin role; update review.status (active / removed) and/or review.flagged boolean as specified.</w:t>
            </w:r>
          </w:p>
        </w:tc>
        <w:tc>
          <w:tcPr>
            <w:tcW w:type="dxa" w:w="2016"/>
          </w:tcPr>
          <w:p>
            <w:r>
              <w:t>200 updated review object; 403 if non-admin.</w:t>
            </w:r>
          </w:p>
        </w:tc>
        <w:tc>
          <w:tcPr>
            <w:tcW w:type="dxa" w:w="1008"/>
          </w:tcPr>
          <w:p>
            <w:r>
              <w:t>Medium</w:t>
            </w:r>
          </w:p>
        </w:tc>
      </w:tr>
      <w:tr>
        <w:tc>
          <w:tcPr>
            <w:tcW w:type="dxa" w:w="864"/>
          </w:tcPr>
          <w:p>
            <w:r>
              <w:t>F-024</w:t>
            </w:r>
          </w:p>
        </w:tc>
        <w:tc>
          <w:tcPr>
            <w:tcW w:type="dxa" w:w="1584"/>
          </w:tcPr>
          <w:p>
            <w:r>
              <w:t>Trust Score Computation</w:t>
            </w:r>
          </w:p>
        </w:tc>
        <w:tc>
          <w:tcPr>
            <w:tcW w:type="dxa" w:w="2016"/>
          </w:tcPr>
          <w:p>
            <w:r>
              <w:t>GET /api/trust/:id or triggered on order status change</w:t>
            </w:r>
          </w:p>
        </w:tc>
        <w:tc>
          <w:tcPr>
            <w:tcW w:type="dxa" w:w="2880"/>
          </w:tcPr>
          <w:p>
            <w:r>
              <w:t>Calculate BrandTrust: response_rate = responded / total; completion_rate = completed / total; avg_fulfillment_days from order timestamps; assign badge tier by threshold. Calculate BuyerTrust: completion_rate, cancellation_rate from order history.</w:t>
            </w:r>
          </w:p>
        </w:tc>
        <w:tc>
          <w:tcPr>
            <w:tcW w:type="dxa" w:w="2016"/>
          </w:tcPr>
          <w:p>
            <w:r>
              <w:t>200 BrandTrust or BuyerTrust object; persisted to database.</w:t>
            </w:r>
          </w:p>
        </w:tc>
        <w:tc>
          <w:tcPr>
            <w:tcW w:type="dxa" w:w="1008"/>
          </w:tcPr>
          <w:p>
            <w:r>
              <w:t>Medium</w:t>
            </w:r>
          </w:p>
        </w:tc>
      </w:tr>
      <w:tr>
        <w:tc>
          <w:tcPr>
            <w:tcW w:type="dxa" w:w="864"/>
          </w:tcPr>
          <w:p>
            <w:r>
              <w:t>F-025</w:t>
            </w:r>
          </w:p>
        </w:tc>
        <w:tc>
          <w:tcPr>
            <w:tcW w:type="dxa" w:w="1584"/>
          </w:tcPr>
          <w:p>
            <w:r>
              <w:t>Notification Management</w:t>
            </w:r>
          </w:p>
        </w:tc>
        <w:tc>
          <w:tcPr>
            <w:tcW w:type="dxa" w:w="2016"/>
          </w:tcPr>
          <w:p>
            <w:r>
              <w:t>GET /api/notifications; PATCH /api/notifications/:id: {read: true}</w:t>
            </w:r>
          </w:p>
        </w:tc>
        <w:tc>
          <w:tcPr>
            <w:tcW w:type="dxa" w:w="2880"/>
          </w:tcPr>
          <w:p>
            <w:r>
              <w:t>GET: return all notifications for current user ordered by created_at DESC. PATCH: mark specified notification record as read.</w:t>
            </w:r>
          </w:p>
        </w:tc>
        <w:tc>
          <w:tcPr>
            <w:tcW w:type="dxa" w:w="2016"/>
          </w:tcPr>
          <w:p>
            <w:r>
              <w:t>200 notification array (GET); 200 updated notification (PATCH).</w:t>
            </w:r>
          </w:p>
        </w:tc>
        <w:tc>
          <w:tcPr>
            <w:tcW w:type="dxa" w:w="1008"/>
          </w:tcPr>
          <w:p>
            <w:r>
              <w:t>High</w:t>
            </w:r>
          </w:p>
        </w:tc>
      </w:tr>
    </w:tbl>
    <w:p/>
    <w:p>
      <w:pPr>
        <w:pStyle w:val="Heading2"/>
      </w:pPr>
      <w:r>
        <w:t>2.6  Context Model</w:t>
      </w:r>
    </w:p>
    <w:p>
      <w:pPr/>
      <w:r>
        <w:t>The Context Model defines the boundary of the Kuwait B2B Hub system and identifies the external entities that interact with it across that boundary. The system boundary encompasses all Next.js App Router page routes, the 25 serverless API route handlers, the Zustand notification store, the currency configuration module, and the data access abstraction layer. Everything outside this boundary is an external entity that communicates with the system via defined interfaces.</w:t>
      </w:r>
    </w:p>
    <w:p>
      <w:pPr/>
      <w:r>
        <w:t>The system interfaces with four external entity categories, each described in the table below. Data flows across the boundary include: user input (HTTP requests from browsers), platform events (notifications dispatched to the notification service), authentication tokens (JWT sessions exchanged with Supabase Auth), financial exchange data (currency rates from an external API), and deployment and serving (all static and dynamic assets served via Vercel's edge network).</w:t>
      </w:r>
    </w:p>
    <w:tbl>
      <w:tblPr>
        <w:tblStyle w:val="TableGrid"/>
        <w:tblW w:type="auto" w:w="0"/>
        <w:tblLook w:firstColumn="1" w:firstRow="1" w:lastColumn="0" w:lastRow="0" w:noHBand="0" w:noVBand="1" w:val="04A0"/>
      </w:tblPr>
      <w:tblGrid>
        <w:gridCol w:w="2880"/>
        <w:gridCol w:w="2880"/>
        <w:gridCol w:w="2880"/>
      </w:tblGrid>
      <w:tr>
        <w:tc>
          <w:tcPr>
            <w:tcW w:type="dxa" w:w="2016"/>
          </w:tcPr>
          <w:p>
            <w:r>
              <w:rPr>
                <w:b/>
              </w:rPr>
              <w:t>External Entity</w:t>
            </w:r>
          </w:p>
        </w:tc>
        <w:tc>
          <w:tcPr>
            <w:tcW w:type="dxa" w:w="4752"/>
          </w:tcPr>
          <w:p>
            <w:r>
              <w:rPr>
                <w:b/>
              </w:rPr>
              <w:t>Role &amp; Interaction</w:t>
            </w:r>
          </w:p>
        </w:tc>
        <w:tc>
          <w:tcPr>
            <w:tcW w:type="dxa" w:w="2592"/>
          </w:tcPr>
          <w:p>
            <w:r>
              <w:rPr>
                <w:b/>
              </w:rPr>
              <w:t>Interface</w:t>
            </w:r>
          </w:p>
        </w:tc>
      </w:tr>
      <w:tr>
        <w:tc>
          <w:tcPr>
            <w:tcW w:type="dxa" w:w="2016"/>
          </w:tcPr>
          <w:p>
            <w:r>
              <w:t>Business Buyers</w:t>
            </w:r>
          </w:p>
        </w:tc>
        <w:tc>
          <w:tcPr>
            <w:tcW w:type="dxa" w:w="4752"/>
          </w:tcPr>
          <w:p>
            <w:r>
              <w:t>Human actors who register accounts, browse brand catalogues, submit bulk orders, track order status, submit reviews, and view notifications. They interact exclusively via the browser-rendered Next.js UI.</w:t>
            </w:r>
          </w:p>
        </w:tc>
        <w:tc>
          <w:tcPr>
            <w:tcW w:type="dxa" w:w="2592"/>
          </w:tcPr>
          <w:p>
            <w:r>
              <w:t>HTTPS (browser → Vercel edge → Next.js SSR + API routes)</w:t>
            </w:r>
          </w:p>
        </w:tc>
      </w:tr>
      <w:tr>
        <w:tc>
          <w:tcPr>
            <w:tcW w:type="dxa" w:w="2016"/>
          </w:tcPr>
          <w:p>
            <w:r>
              <w:t>Brand Owners</w:t>
            </w:r>
          </w:p>
        </w:tc>
        <w:tc>
          <w:tcPr>
            <w:tcW w:type="dxa" w:w="4752"/>
          </w:tcPr>
          <w:p>
            <w:r>
              <w:t>Human actors who register brand profiles, manage product catalogues, process incoming orders, reply to reviews, and view brand analytics dashboards. Interact via the /brand/* portal routes.</w:t>
            </w:r>
          </w:p>
        </w:tc>
        <w:tc>
          <w:tcPr>
            <w:tcW w:type="dxa" w:w="2592"/>
          </w:tcPr>
          <w:p>
            <w:r>
              <w:t>HTTPS (browser → Vercel edge → Next.js SSR + API routes)</w:t>
            </w:r>
          </w:p>
        </w:tc>
      </w:tr>
      <w:tr>
        <w:tc>
          <w:tcPr>
            <w:tcW w:type="dxa" w:w="2016"/>
          </w:tcPr>
          <w:p>
            <w:r>
              <w:t>Admin Users</w:t>
            </w:r>
          </w:p>
        </w:tc>
        <w:tc>
          <w:tcPr>
            <w:tcW w:type="dxa" w:w="4752"/>
          </w:tcPr>
          <w:p>
            <w:r>
              <w:t>Internal platform operators who approve/reject brands, moderate reviews, manage user accounts, and access platform-wide analytics. Confined to the /admin/* route namespace.</w:t>
            </w:r>
          </w:p>
        </w:tc>
        <w:tc>
          <w:tcPr>
            <w:tcW w:type="dxa" w:w="2592"/>
          </w:tcPr>
          <w:p>
            <w:r>
              <w:t>HTTPS (browser → Vercel edge → /admin/* routes)</w:t>
            </w:r>
          </w:p>
        </w:tc>
      </w:tr>
      <w:tr>
        <w:tc>
          <w:tcPr>
            <w:tcW w:type="dxa" w:w="2016"/>
          </w:tcPr>
          <w:p>
            <w:r>
              <w:t>External Services</w:t>
            </w:r>
          </w:p>
        </w:tc>
        <w:tc>
          <w:tcPr>
            <w:tcW w:type="dxa" w:w="4752"/>
          </w:tcPr>
          <w:p>
            <w:r>
              <w:t>Four cloud platforms the system depends on: (1) Supabase — provides JWT session validation via supabase.auth.getUser() and managed PostgreSQL storage; (2) Vercel — serverless execution environment and global CDN; (3) WhatsApp Business — receives buyer contact intent via platform-generated deep links; (4) Exchange Rate API — supplies live GCC currency rates consumed by CurrencyContext.</w:t>
            </w:r>
          </w:p>
        </w:tc>
        <w:tc>
          <w:tcPr>
            <w:tcW w:type="dxa" w:w="2592"/>
          </w:tcPr>
          <w:p>
            <w:r>
              <w:t>HTTPS/WebSocket (Supabase), Git webhook (Vercel CI/CD), URI deep-link (WhatsApp), REST (Exchange Rate API)</w:t>
            </w:r>
          </w:p>
        </w:tc>
      </w:tr>
    </w:tbl>
    <w:p/>
    <w:p>
      <w:pPr>
        <w:pStyle w:val="Heading2"/>
      </w:pPr>
      <w:r>
        <w:t>2.7  Use Cases</w:t>
      </w:r>
    </w:p>
    <w:p>
      <w:pPr/>
      <w:r>
        <w:t>The table below summarises all 16 use cases identified for the Kuwait B2B Hub. Detailed specifications for five representative use cases (UC-01, UC-03, UC-07, UC-12, UC-14) are provided in §2.7.1–2.7.5.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tcPr>
          <w:p>
            <w:r>
              <w:rPr>
                <w:b/>
              </w:rPr>
              <w:t>UC ID</w:t>
            </w:r>
          </w:p>
        </w:tc>
        <w:tc>
          <w:tcPr>
            <w:tcW w:type="dxa" w:w="2304"/>
          </w:tcPr>
          <w:p>
            <w:r>
              <w:rPr>
                <w:b/>
              </w:rPr>
              <w:t>Use Case Name</w:t>
            </w:r>
          </w:p>
        </w:tc>
        <w:tc>
          <w:tcPr>
            <w:tcW w:type="dxa" w:w="1872"/>
          </w:tcPr>
          <w:p>
            <w:r>
              <w:rPr>
                <w:b/>
              </w:rPr>
              <w:t>Primary Actor</w:t>
            </w:r>
          </w:p>
        </w:tc>
        <w:tc>
          <w:tcPr>
            <w:tcW w:type="dxa" w:w="3744"/>
          </w:tcPr>
          <w:p>
            <w:r>
              <w:rPr>
                <w:b/>
              </w:rPr>
              <w:t>Brief Description</w:t>
            </w:r>
          </w:p>
        </w:tc>
        <w:tc>
          <w:tcPr>
            <w:tcW w:type="dxa" w:w="1008"/>
          </w:tcPr>
          <w:p>
            <w:r>
              <w:rPr>
                <w:b/>
              </w:rPr>
              <w:t>Priority</w:t>
            </w:r>
          </w:p>
        </w:tc>
      </w:tr>
      <w:tr>
        <w:tc>
          <w:tcPr>
            <w:tcW w:type="dxa" w:w="1008"/>
          </w:tcPr>
          <w:p>
            <w:r>
              <w:t>UC-01</w:t>
            </w:r>
          </w:p>
        </w:tc>
        <w:tc>
          <w:tcPr>
            <w:tcW w:type="dxa" w:w="2304"/>
          </w:tcPr>
          <w:p>
            <w:r>
              <w:t>Register Account</w:t>
            </w:r>
          </w:p>
        </w:tc>
        <w:tc>
          <w:tcPr>
            <w:tcW w:type="dxa" w:w="1872"/>
          </w:tcPr>
          <w:p>
            <w:r>
              <w:t>Buyer / Brand Owner</w:t>
            </w:r>
          </w:p>
        </w:tc>
        <w:tc>
          <w:tcPr>
            <w:tcW w:type="dxa" w:w="3744"/>
          </w:tcPr>
          <w:p>
            <w:r>
              <w:t>User creates a new platform account with role selection and receives a session.</w:t>
            </w:r>
          </w:p>
        </w:tc>
        <w:tc>
          <w:tcPr>
            <w:tcW w:type="dxa" w:w="1008"/>
          </w:tcPr>
          <w:p>
            <w:r>
              <w:t>High</w:t>
            </w:r>
          </w:p>
        </w:tc>
      </w:tr>
      <w:tr>
        <w:tc>
          <w:tcPr>
            <w:tcW w:type="dxa" w:w="1008"/>
          </w:tcPr>
          <w:p>
            <w:r>
              <w:t>UC-02</w:t>
            </w:r>
          </w:p>
        </w:tc>
        <w:tc>
          <w:tcPr>
            <w:tcW w:type="dxa" w:w="2304"/>
          </w:tcPr>
          <w:p>
            <w:r>
              <w:t>Login &amp; Logout</w:t>
            </w:r>
          </w:p>
        </w:tc>
        <w:tc>
          <w:tcPr>
            <w:tcW w:type="dxa" w:w="1872"/>
          </w:tcPr>
          <w:p>
            <w:r>
              <w:t>All Users</w:t>
            </w:r>
          </w:p>
        </w:tc>
        <w:tc>
          <w:tcPr>
            <w:tcW w:type="dxa" w:w="3744"/>
          </w:tcPr>
          <w:p>
            <w:r>
              <w:t>Authenticated user establishes or terminates a persistent session.</w:t>
            </w:r>
          </w:p>
        </w:tc>
        <w:tc>
          <w:tcPr>
            <w:tcW w:type="dxa" w:w="1008"/>
          </w:tcPr>
          <w:p>
            <w:r>
              <w:t>High</w:t>
            </w:r>
          </w:p>
        </w:tc>
      </w:tr>
      <w:tr>
        <w:tc>
          <w:tcPr>
            <w:tcW w:type="dxa" w:w="1008"/>
          </w:tcPr>
          <w:p>
            <w:r>
              <w:t>UC-03</w:t>
            </w:r>
          </w:p>
        </w:tc>
        <w:tc>
          <w:tcPr>
            <w:tcW w:type="dxa" w:w="2304"/>
          </w:tcPr>
          <w:p>
            <w:r>
              <w:t>Browse &amp; Search Brands</w:t>
            </w:r>
          </w:p>
        </w:tc>
        <w:tc>
          <w:tcPr>
            <w:tcW w:type="dxa" w:w="1872"/>
          </w:tcPr>
          <w:p>
            <w:r>
              <w:t>Buyer</w:t>
            </w:r>
          </w:p>
        </w:tc>
        <w:tc>
          <w:tcPr>
            <w:tcW w:type="dxa" w:w="3744"/>
          </w:tcPr>
          <w:p>
            <w:r>
              <w:t>Buyer discovers verified brands on the marketplace using search and filter controls.</w:t>
            </w:r>
          </w:p>
        </w:tc>
        <w:tc>
          <w:tcPr>
            <w:tcW w:type="dxa" w:w="1008"/>
          </w:tcPr>
          <w:p>
            <w:r>
              <w:t>High</w:t>
            </w:r>
          </w:p>
        </w:tc>
      </w:tr>
      <w:tr>
        <w:tc>
          <w:tcPr>
            <w:tcW w:type="dxa" w:w="1008"/>
          </w:tcPr>
          <w:p>
            <w:r>
              <w:t>UC-04</w:t>
            </w:r>
          </w:p>
        </w:tc>
        <w:tc>
          <w:tcPr>
            <w:tcW w:type="dxa" w:w="2304"/>
          </w:tcPr>
          <w:p>
            <w:r>
              <w:t>View Product Catalogue</w:t>
            </w:r>
          </w:p>
        </w:tc>
        <w:tc>
          <w:tcPr>
            <w:tcW w:type="dxa" w:w="1872"/>
          </w:tcPr>
          <w:p>
            <w:r>
              <w:t>Buyer</w:t>
            </w:r>
          </w:p>
        </w:tc>
        <w:tc>
          <w:tcPr>
            <w:tcW w:type="dxa" w:w="3744"/>
          </w:tcPr>
          <w:p>
            <w:r>
              <w:t>Buyer views a brand's product listing with pricing and bulk-pricing tiers.</w:t>
            </w:r>
          </w:p>
        </w:tc>
        <w:tc>
          <w:tcPr>
            <w:tcW w:type="dxa" w:w="1008"/>
          </w:tcPr>
          <w:p>
            <w:r>
              <w:t>High</w:t>
            </w:r>
          </w:p>
        </w:tc>
      </w:tr>
      <w:tr>
        <w:tc>
          <w:tcPr>
            <w:tcW w:type="dxa" w:w="1008"/>
          </w:tcPr>
          <w:p>
            <w:r>
              <w:t>UC-05</w:t>
            </w:r>
          </w:p>
        </w:tc>
        <w:tc>
          <w:tcPr>
            <w:tcW w:type="dxa" w:w="2304"/>
          </w:tcPr>
          <w:p>
            <w:r>
              <w:t>Submit Bulk Order</w:t>
            </w:r>
          </w:p>
        </w:tc>
        <w:tc>
          <w:tcPr>
            <w:tcW w:type="dxa" w:w="1872"/>
          </w:tcPr>
          <w:p>
            <w:r>
              <w:t>Buyer</w:t>
            </w:r>
          </w:p>
        </w:tc>
        <w:tc>
          <w:tcPr>
            <w:tcW w:type="dxa" w:w="3744"/>
          </w:tcPr>
          <w:p>
            <w:r>
              <w:t>Buyer submits an order request; system enforces MOQ, stock, and pricing rules.</w:t>
            </w:r>
          </w:p>
        </w:tc>
        <w:tc>
          <w:tcPr>
            <w:tcW w:type="dxa" w:w="1008"/>
          </w:tcPr>
          <w:p>
            <w:r>
              <w:t>High</w:t>
            </w:r>
          </w:p>
        </w:tc>
      </w:tr>
      <w:tr>
        <w:tc>
          <w:tcPr>
            <w:tcW w:type="dxa" w:w="1008"/>
          </w:tcPr>
          <w:p>
            <w:r>
              <w:t>UC-06</w:t>
            </w:r>
          </w:p>
        </w:tc>
        <w:tc>
          <w:tcPr>
            <w:tcW w:type="dxa" w:w="2304"/>
          </w:tcPr>
          <w:p>
            <w:r>
              <w:t>Track Order Status</w:t>
            </w:r>
          </w:p>
        </w:tc>
        <w:tc>
          <w:tcPr>
            <w:tcW w:type="dxa" w:w="1872"/>
          </w:tcPr>
          <w:p>
            <w:r>
              <w:t>Buyer / Brand Owner</w:t>
            </w:r>
          </w:p>
        </w:tc>
        <w:tc>
          <w:tcPr>
            <w:tcW w:type="dxa" w:w="3744"/>
          </w:tcPr>
          <w:p>
            <w:r>
              <w:t>User monitors the full order lifecycle from pending through to completion.</w:t>
            </w:r>
          </w:p>
        </w:tc>
        <w:tc>
          <w:tcPr>
            <w:tcW w:type="dxa" w:w="1008"/>
          </w:tcPr>
          <w:p>
            <w:r>
              <w:t>High</w:t>
            </w:r>
          </w:p>
        </w:tc>
      </w:tr>
      <w:tr>
        <w:tc>
          <w:tcPr>
            <w:tcW w:type="dxa" w:w="1008"/>
          </w:tcPr>
          <w:p>
            <w:r>
              <w:t>UC-07</w:t>
            </w:r>
          </w:p>
        </w:tc>
        <w:tc>
          <w:tcPr>
            <w:tcW w:type="dxa" w:w="2304"/>
          </w:tcPr>
          <w:p>
            <w:r>
              <w:t>Verify Brand (Admin)</w:t>
            </w:r>
          </w:p>
        </w:tc>
        <w:tc>
          <w:tcPr>
            <w:tcW w:type="dxa" w:w="1872"/>
          </w:tcPr>
          <w:p>
            <w:r>
              <w:t>Admin</w:t>
            </w:r>
          </w:p>
        </w:tc>
        <w:tc>
          <w:tcPr>
            <w:tcW w:type="dxa" w:w="3744"/>
          </w:tcPr>
          <w:p>
            <w:r>
              <w:t>Admin reviews a pending brand application, approves or rejects, and sets tier.</w:t>
            </w:r>
          </w:p>
        </w:tc>
        <w:tc>
          <w:tcPr>
            <w:tcW w:type="dxa" w:w="1008"/>
          </w:tcPr>
          <w:p>
            <w:r>
              <w:t>High</w:t>
            </w:r>
          </w:p>
        </w:tc>
      </w:tr>
      <w:tr>
        <w:tc>
          <w:tcPr>
            <w:tcW w:type="dxa" w:w="1008"/>
          </w:tcPr>
          <w:p>
            <w:r>
              <w:t>UC-08</w:t>
            </w:r>
          </w:p>
        </w:tc>
        <w:tc>
          <w:tcPr>
            <w:tcW w:type="dxa" w:w="2304"/>
          </w:tcPr>
          <w:p>
            <w:r>
              <w:t>Approve / Reject Order</w:t>
            </w:r>
          </w:p>
        </w:tc>
        <w:tc>
          <w:tcPr>
            <w:tcW w:type="dxa" w:w="1872"/>
          </w:tcPr>
          <w:p>
            <w:r>
              <w:t>Brand Owner</w:t>
            </w:r>
          </w:p>
        </w:tc>
        <w:tc>
          <w:tcPr>
            <w:tcW w:type="dxa" w:w="3744"/>
          </w:tcPr>
          <w:p>
            <w:r>
              <w:t>Brand owner reviews an incoming order and updates its status.</w:t>
            </w:r>
          </w:p>
        </w:tc>
        <w:tc>
          <w:tcPr>
            <w:tcW w:type="dxa" w:w="1008"/>
          </w:tcPr>
          <w:p>
            <w:r>
              <w:t>High</w:t>
            </w:r>
          </w:p>
        </w:tc>
      </w:tr>
      <w:tr>
        <w:tc>
          <w:tcPr>
            <w:tcW w:type="dxa" w:w="1008"/>
          </w:tcPr>
          <w:p>
            <w:r>
              <w:t>UC-09</w:t>
            </w:r>
          </w:p>
        </w:tc>
        <w:tc>
          <w:tcPr>
            <w:tcW w:type="dxa" w:w="2304"/>
          </w:tcPr>
          <w:p>
            <w:r>
              <w:t>Manage Product Listings</w:t>
            </w:r>
          </w:p>
        </w:tc>
        <w:tc>
          <w:tcPr>
            <w:tcW w:type="dxa" w:w="1872"/>
          </w:tcPr>
          <w:p>
            <w:r>
              <w:t>Brand Owner</w:t>
            </w:r>
          </w:p>
        </w:tc>
        <w:tc>
          <w:tcPr>
            <w:tcW w:type="dxa" w:w="3744"/>
          </w:tcPr>
          <w:p>
            <w:r>
              <w:t>Brand owner creates, edits, or deletes product entries in their catalogue.</w:t>
            </w:r>
          </w:p>
        </w:tc>
        <w:tc>
          <w:tcPr>
            <w:tcW w:type="dxa" w:w="1008"/>
          </w:tcPr>
          <w:p>
            <w:r>
              <w:t>High</w:t>
            </w:r>
          </w:p>
        </w:tc>
      </w:tr>
      <w:tr>
        <w:tc>
          <w:tcPr>
            <w:tcW w:type="dxa" w:w="1008"/>
          </w:tcPr>
          <w:p>
            <w:r>
              <w:t>UC-10</w:t>
            </w:r>
          </w:p>
        </w:tc>
        <w:tc>
          <w:tcPr>
            <w:tcW w:type="dxa" w:w="2304"/>
          </w:tcPr>
          <w:p>
            <w:r>
              <w:t>Bulk Import Catalogue</w:t>
            </w:r>
          </w:p>
        </w:tc>
        <w:tc>
          <w:tcPr>
            <w:tcW w:type="dxa" w:w="1872"/>
          </w:tcPr>
          <w:p>
            <w:r>
              <w:t>Brand Owner</w:t>
            </w:r>
          </w:p>
        </w:tc>
        <w:tc>
          <w:tcPr>
            <w:tcW w:type="dxa" w:w="3744"/>
          </w:tcPr>
          <w:p>
            <w:r>
              <w:t>Brand owner uploads an Excel file; system creates product records in batch.</w:t>
            </w:r>
          </w:p>
        </w:tc>
        <w:tc>
          <w:tcPr>
            <w:tcW w:type="dxa" w:w="1008"/>
          </w:tcPr>
          <w:p>
            <w:r>
              <w:t>Low</w:t>
            </w:r>
          </w:p>
        </w:tc>
      </w:tr>
      <w:tr>
        <w:tc>
          <w:tcPr>
            <w:tcW w:type="dxa" w:w="1008"/>
          </w:tcPr>
          <w:p>
            <w:r>
              <w:t>UC-11</w:t>
            </w:r>
          </w:p>
        </w:tc>
        <w:tc>
          <w:tcPr>
            <w:tcW w:type="dxa" w:w="2304"/>
          </w:tcPr>
          <w:p>
            <w:r>
              <w:t>Submit Review</w:t>
            </w:r>
          </w:p>
        </w:tc>
        <w:tc>
          <w:tcPr>
            <w:tcW w:type="dxa" w:w="1872"/>
          </w:tcPr>
          <w:p>
            <w:r>
              <w:t>Buyer</w:t>
            </w:r>
          </w:p>
        </w:tc>
        <w:tc>
          <w:tcPr>
            <w:tcW w:type="dxa" w:w="3744"/>
          </w:tcPr>
          <w:p>
            <w:r>
              <w:t>Buyer submits a star rating and written review for a brand, optionally anonymously.</w:t>
            </w:r>
          </w:p>
        </w:tc>
        <w:tc>
          <w:tcPr>
            <w:tcW w:type="dxa" w:w="1008"/>
          </w:tcPr>
          <w:p>
            <w:r>
              <w:t>Medium</w:t>
            </w:r>
          </w:p>
        </w:tc>
      </w:tr>
      <w:tr>
        <w:tc>
          <w:tcPr>
            <w:tcW w:type="dxa" w:w="1008"/>
          </w:tcPr>
          <w:p>
            <w:r>
              <w:t>UC-12</w:t>
            </w:r>
          </w:p>
        </w:tc>
        <w:tc>
          <w:tcPr>
            <w:tcW w:type="dxa" w:w="2304"/>
          </w:tcPr>
          <w:p>
            <w:r>
              <w:t>Reply to Review</w:t>
            </w:r>
          </w:p>
        </w:tc>
        <w:tc>
          <w:tcPr>
            <w:tcW w:type="dxa" w:w="1872"/>
          </w:tcPr>
          <w:p>
            <w:r>
              <w:t>Brand Owner</w:t>
            </w:r>
          </w:p>
        </w:tc>
        <w:tc>
          <w:tcPr>
            <w:tcW w:type="dxa" w:w="3744"/>
          </w:tcPr>
          <w:p>
            <w:r>
              <w:t>Brand owner posts a written response to a review on their brand profile.</w:t>
            </w:r>
          </w:p>
        </w:tc>
        <w:tc>
          <w:tcPr>
            <w:tcW w:type="dxa" w:w="1008"/>
          </w:tcPr>
          <w:p>
            <w:r>
              <w:t>Medium</w:t>
            </w:r>
          </w:p>
        </w:tc>
      </w:tr>
      <w:tr>
        <w:tc>
          <w:tcPr>
            <w:tcW w:type="dxa" w:w="1008"/>
          </w:tcPr>
          <w:p>
            <w:r>
              <w:t>UC-13</w:t>
            </w:r>
          </w:p>
        </w:tc>
        <w:tc>
          <w:tcPr>
            <w:tcW w:type="dxa" w:w="2304"/>
          </w:tcPr>
          <w:p>
            <w:r>
              <w:t>Moderate Review</w:t>
            </w:r>
          </w:p>
        </w:tc>
        <w:tc>
          <w:tcPr>
            <w:tcW w:type="dxa" w:w="1872"/>
          </w:tcPr>
          <w:p>
            <w:r>
              <w:t>Admin</w:t>
            </w:r>
          </w:p>
        </w:tc>
        <w:tc>
          <w:tcPr>
            <w:tcW w:type="dxa" w:w="3744"/>
          </w:tcPr>
          <w:p>
            <w:r>
              <w:t>Admin removes or flags a review that violates platform community guidelines.</w:t>
            </w:r>
          </w:p>
        </w:tc>
        <w:tc>
          <w:tcPr>
            <w:tcW w:type="dxa" w:w="1008"/>
          </w:tcPr>
          <w:p>
            <w:r>
              <w:t>Medium</w:t>
            </w:r>
          </w:p>
        </w:tc>
      </w:tr>
      <w:tr>
        <w:tc>
          <w:tcPr>
            <w:tcW w:type="dxa" w:w="1008"/>
          </w:tcPr>
          <w:p>
            <w:r>
              <w:t>UC-14</w:t>
            </w:r>
          </w:p>
        </w:tc>
        <w:tc>
          <w:tcPr>
            <w:tcW w:type="dxa" w:w="2304"/>
          </w:tcPr>
          <w:p>
            <w:r>
              <w:t>Manage Notifications</w:t>
            </w:r>
          </w:p>
        </w:tc>
        <w:tc>
          <w:tcPr>
            <w:tcW w:type="dxa" w:w="1872"/>
          </w:tcPr>
          <w:p>
            <w:r>
              <w:t>All Users</w:t>
            </w:r>
          </w:p>
        </w:tc>
        <w:tc>
          <w:tcPr>
            <w:tcW w:type="dxa" w:w="3744"/>
          </w:tcPr>
          <w:p>
            <w:r>
              <w:t>User opens the notification panel and marks notifications as read.</w:t>
            </w:r>
          </w:p>
        </w:tc>
        <w:tc>
          <w:tcPr>
            <w:tcW w:type="dxa" w:w="1008"/>
          </w:tcPr>
          <w:p>
            <w:r>
              <w:t>High</w:t>
            </w:r>
          </w:p>
        </w:tc>
      </w:tr>
      <w:tr>
        <w:tc>
          <w:tcPr>
            <w:tcW w:type="dxa" w:w="1008"/>
          </w:tcPr>
          <w:p>
            <w:r>
              <w:t>UC-15</w:t>
            </w:r>
          </w:p>
        </w:tc>
        <w:tc>
          <w:tcPr>
            <w:tcW w:type="dxa" w:w="2304"/>
          </w:tcPr>
          <w:p>
            <w:r>
              <w:t>Switch Language &amp; Currency</w:t>
            </w:r>
          </w:p>
        </w:tc>
        <w:tc>
          <w:tcPr>
            <w:tcW w:type="dxa" w:w="1872"/>
          </w:tcPr>
          <w:p>
            <w:r>
              <w:t>All Users</w:t>
            </w:r>
          </w:p>
        </w:tc>
        <w:tc>
          <w:tcPr>
            <w:tcW w:type="dxa" w:w="3744"/>
          </w:tcPr>
          <w:p>
            <w:r>
              <w:t>User toggles the interface language (EN/AR) and selects a display currency.</w:t>
            </w:r>
          </w:p>
        </w:tc>
        <w:tc>
          <w:tcPr>
            <w:tcW w:type="dxa" w:w="1008"/>
          </w:tcPr>
          <w:p>
            <w:r>
              <w:t>Medium</w:t>
            </w:r>
          </w:p>
        </w:tc>
      </w:tr>
      <w:tr>
        <w:tc>
          <w:tcPr>
            <w:tcW w:type="dxa" w:w="1008"/>
          </w:tcPr>
          <w:p>
            <w:r>
              <w:t>UC-16</w:t>
            </w:r>
          </w:p>
        </w:tc>
        <w:tc>
          <w:tcPr>
            <w:tcW w:type="dxa" w:w="2304"/>
          </w:tcPr>
          <w:p>
            <w:r>
              <w:t>View Trust Scores &amp; Badges</w:t>
            </w:r>
          </w:p>
        </w:tc>
        <w:tc>
          <w:tcPr>
            <w:tcW w:type="dxa" w:w="1872"/>
          </w:tcPr>
          <w:p>
            <w:r>
              <w:t>Buyer / Brand Owner</w:t>
            </w:r>
          </w:p>
        </w:tc>
        <w:tc>
          <w:tcPr>
            <w:tcW w:type="dxa" w:w="3744"/>
          </w:tcPr>
          <w:p>
            <w:r>
              <w:t>User inspects trust metrics and earned reputation badges for brands and buyers.</w:t>
            </w:r>
          </w:p>
        </w:tc>
        <w:tc>
          <w:tcPr>
            <w:tcW w:type="dxa" w:w="1008"/>
          </w:tcPr>
          <w:p>
            <w:r>
              <w:t>Medium</w:t>
            </w:r>
          </w:p>
        </w:tc>
      </w:tr>
    </w:tbl>
    <w:p/>
    <w:p>
      <w:pPr>
        <w:pStyle w:val="Heading3"/>
      </w:pPr>
      <w:r>
        <w:t>2.7.1  Use Case Specification: UC-01 — Register Account</w:t>
      </w:r>
    </w:p>
    <w:p>
      <w:r>
        <w:rPr>
          <w:b/>
        </w:rPr>
        <w:t xml:space="preserve">Use Case ID: </w:t>
      </w:r>
      <w:r>
        <w:t>UC-01</w:t>
      </w:r>
    </w:p>
    <w:p>
      <w:r>
        <w:rPr>
          <w:b/>
        </w:rPr>
        <w:t xml:space="preserve">Use Case Name: </w:t>
      </w:r>
      <w:r>
        <w:t>Register Account</w:t>
      </w:r>
    </w:p>
    <w:p>
      <w:r>
        <w:rPr>
          <w:b/>
        </w:rPr>
        <w:t xml:space="preserve">Primary Actor: </w:t>
      </w:r>
      <w:r>
        <w:t>Buyer / Brand Owner</w:t>
      </w:r>
    </w:p>
    <w:p>
      <w:r>
        <w:rPr>
          <w:b/>
        </w:rPr>
        <w:t xml:space="preserve">Secondary Actors: </w:t>
      </w:r>
      <w:r>
        <w:t>Platform Notification Service; Admin Users (notified on completion)</w:t>
      </w:r>
    </w:p>
    <w:p>
      <w:r>
        <w:rPr>
          <w:b/>
        </w:rPr>
        <w:t xml:space="preserve">Trigger: </w:t>
      </w:r>
      <w:r>
        <w:t>Unauthenticated user navigates to /register and submits the registration form</w:t>
      </w:r>
    </w:p>
    <w:p>
      <w:r>
        <w:rPr>
          <w:b/>
        </w:rPr>
        <w:t xml:space="preserve">Pre-conditions: </w:t>
      </w:r>
      <w:r>
        <w:t>No existing account uses the provided email address. The platform is accessible.</w:t>
      </w:r>
    </w:p>
    <w:p>
      <w:r>
        <w:rPr>
          <w:b/>
        </w:rPr>
        <w:t xml:space="preserve">Main Flow: </w:t>
      </w:r>
      <w:r>
        <w:t>1. User selects a role: Buyer or Brand Owner.</w:t>
        <w:br/>
        <w:t>2. User enters full name, email address, password, and company name.</w:t>
        <w:br/>
        <w:t>3. System validates all five fields are present and non-empty (HTTP 400 if not).</w:t>
        <w:br/>
        <w:t>4. System checks that no existing user record has the provided email (HTTP 409 if duplicate).</w:t>
        <w:br/>
        <w:t>5. System creates a user record with the submitted details.</w:t>
        <w:br/>
        <w:t>6. If role = brand_owner: system creates a brand record with status='pending' and owner_id = new user's ID.</w:t>
        <w:br/>
        <w:t>7. System sets verification_status = 'approved' for buyers; 'pending' for brand owners.</w:t>
        <w:br/>
        <w:t>8. System sets two session cookies on the response (b2b_user_id httpOnly, b2b_user_role) with a 7-day maxAge.</w:t>
        <w:br/>
        <w:t>9. System dispatches admin notification: 'New User Registration'.</w:t>
        <w:br/>
        <w:t>10. If brand_owner: system dispatches second admin notification: 'New Brand Awaiting Approval'.</w:t>
      </w:r>
    </w:p>
    <w:p>
      <w:r>
        <w:rPr>
          <w:b/>
        </w:rPr>
        <w:t xml:space="preserve">Alternative Flow A: </w:t>
      </w:r>
      <w:r>
        <w:t>Step 4: Email already registered → HTTP 409 Conflict; user redirected to login page.</w:t>
      </w:r>
    </w:p>
    <w:p>
      <w:r>
        <w:rPr>
          <w:b/>
        </w:rPr>
        <w:t xml:space="preserve">Alternative Flow B: </w:t>
      </w:r>
      <w:r>
        <w:t>Step 3: Any required field empty → HTTP 400 Bad Request; form field error displayed.</w:t>
      </w:r>
    </w:p>
    <w:p>
      <w:r>
        <w:rPr>
          <w:b/>
        </w:rPr>
        <w:t xml:space="preserve">Post-conditions: </w:t>
      </w:r>
      <w:r>
        <w:t>New user record exists in the database. If brand_owner: a pending brand record also exists. At least one admin notification created. User is logged in with an active 7-day session.</w:t>
      </w:r>
    </w:p>
    <w:p>
      <w:r>
        <w:rPr>
          <w:b/>
        </w:rPr>
        <w:t xml:space="preserve">Priority: </w:t>
      </w:r>
      <w:r>
        <w:t>High</w:t>
      </w:r>
    </w:p>
    <w:p>
      <w:r>
        <w:rPr>
          <w:b/>
        </w:rPr>
        <w:t xml:space="preserve">Related Requirements: </w:t>
      </w:r>
      <w:r>
        <w:t>SR-01, SR-02, SR-03, SR-04, SR-10; UR-01</w:t>
      </w:r>
    </w:p>
    <w:p/>
    <w:p>
      <w:pPr>
        <w:pStyle w:val="Heading3"/>
      </w:pPr>
      <w:r>
        <w:t>2.7.2  Use Case Specification: UC-03 — Browse &amp; Search Brands</w:t>
      </w:r>
    </w:p>
    <w:p>
      <w:r>
        <w:rPr>
          <w:b/>
        </w:rPr>
        <w:t xml:space="preserve">Use Case ID: </w:t>
      </w:r>
      <w:r>
        <w:t>UC-03</w:t>
      </w:r>
    </w:p>
    <w:p>
      <w:r>
        <w:rPr>
          <w:b/>
        </w:rPr>
        <w:t xml:space="preserve">Use Case Name: </w:t>
      </w:r>
      <w:r>
        <w:t>Browse &amp; Search Brands</w:t>
      </w:r>
    </w:p>
    <w:p>
      <w:r>
        <w:rPr>
          <w:b/>
        </w:rPr>
        <w:t xml:space="preserve">Primary Actor: </w:t>
      </w:r>
      <w:r>
        <w:t>Buyer</w:t>
      </w:r>
    </w:p>
    <w:p>
      <w:r>
        <w:rPr>
          <w:b/>
        </w:rPr>
        <w:t xml:space="preserve">Secondary Actors: </w:t>
      </w:r>
      <w:r>
        <w:t>None</w:t>
      </w:r>
    </w:p>
    <w:p>
      <w:r>
        <w:rPr>
          <w:b/>
        </w:rPr>
        <w:t xml:space="preserve">Trigger: </w:t>
      </w:r>
      <w:r>
        <w:t>Buyer navigates to /marketplace</w:t>
      </w:r>
    </w:p>
    <w:p>
      <w:r>
        <w:rPr>
          <w:b/>
        </w:rPr>
        <w:t xml:space="preserve">Pre-conditions: </w:t>
      </w:r>
      <w:r>
        <w:t>At least one brand with status='approved' exists. Buyer is authenticated.</w:t>
      </w:r>
    </w:p>
    <w:p>
      <w:r>
        <w:rPr>
          <w:b/>
        </w:rPr>
        <w:t xml:space="preserve">Main Flow: </w:t>
      </w:r>
      <w:r>
        <w:t>1. Buyer accesses the Marketplace page via the navigation bar.</w:t>
        <w:br/>
        <w:t>2. System calls GET /api/brands and retrieves all brands with status='approved'.</w:t>
        <w:br/>
        <w:t>3. System renders brand cards, each showing brand name, logo, verification tier badge, average star rating, and minimum order quantity.</w:t>
        <w:br/>
        <w:t>4. Buyer optionally enters a keyword in the search field; system filters brands by name and description in real time.</w:t>
        <w:br/>
        <w:t>5. Buyer optionally selects one or more filters: category, verification tier, minimum rating, minimum MOQ.</w:t>
        <w:br/>
        <w:t>6. System updates the displayed brand list instantly as each filter is applied.</w:t>
        <w:br/>
        <w:t>7. Buyer clicks a brand card to navigate to that brand's full profile page (/brands/:id).</w:t>
      </w:r>
    </w:p>
    <w:p>
      <w:r>
        <w:rPr>
          <w:b/>
        </w:rPr>
        <w:t xml:space="preserve">Alternative Flow A: </w:t>
      </w:r>
      <w:r>
        <w:t>Step 2: No approved brands exist → system displays an empty-state message with a prompt.</w:t>
      </w:r>
    </w:p>
    <w:p>
      <w:r>
        <w:rPr>
          <w:b/>
        </w:rPr>
        <w:t xml:space="preserve">Alternative Flow B: </w:t>
      </w:r>
      <w:r>
        <w:t>Step 5: Applied filters yield zero matching brands → system displays 'No results found' with a 'Clear filters' affordance.</w:t>
      </w:r>
    </w:p>
    <w:p>
      <w:r>
        <w:rPr>
          <w:b/>
        </w:rPr>
        <w:t xml:space="preserve">Post-conditions: </w:t>
      </w:r>
      <w:r>
        <w:t>Buyer is viewing the filtered brand marketplace. No database state is modified.</w:t>
      </w:r>
    </w:p>
    <w:p>
      <w:r>
        <w:rPr>
          <w:b/>
        </w:rPr>
        <w:t xml:space="preserve">Priority: </w:t>
      </w:r>
      <w:r>
        <w:t>High</w:t>
      </w:r>
    </w:p>
    <w:p>
      <w:r>
        <w:rPr>
          <w:b/>
        </w:rPr>
        <w:t xml:space="preserve">Related Requirements: </w:t>
      </w:r>
      <w:r>
        <w:t>SR-01, SR-13, SR-18; UR-06, UR-07</w:t>
      </w:r>
    </w:p>
    <w:p/>
    <w:p>
      <w:pPr>
        <w:pStyle w:val="Heading3"/>
      </w:pPr>
      <w:r>
        <w:t>2.7.3  Use Case Specification: UC-07 — Verify Brand (Admin)</w:t>
      </w:r>
    </w:p>
    <w:p>
      <w:r>
        <w:rPr>
          <w:b/>
        </w:rPr>
        <w:t xml:space="preserve">Use Case ID: </w:t>
      </w:r>
      <w:r>
        <w:t>UC-07</w:t>
      </w:r>
    </w:p>
    <w:p>
      <w:r>
        <w:rPr>
          <w:b/>
        </w:rPr>
        <w:t xml:space="preserve">Use Case Name: </w:t>
      </w:r>
      <w:r>
        <w:t>Verify Brand (Admin)</w:t>
      </w:r>
    </w:p>
    <w:p>
      <w:r>
        <w:rPr>
          <w:b/>
        </w:rPr>
        <w:t xml:space="preserve">Primary Actor: </w:t>
      </w:r>
      <w:r>
        <w:t>Admin</w:t>
      </w:r>
    </w:p>
    <w:p>
      <w:r>
        <w:rPr>
          <w:b/>
        </w:rPr>
        <w:t xml:space="preserve">Secondary Actors: </w:t>
      </w:r>
      <w:r>
        <w:t>Brand Owner (notified); All active Buyers (notified on approval)</w:t>
      </w:r>
    </w:p>
    <w:p>
      <w:r>
        <w:rPr>
          <w:b/>
        </w:rPr>
        <w:t xml:space="preserve">Trigger: </w:t>
      </w:r>
      <w:r>
        <w:t>Admin navigates to the Admin Dashboard and opens the Pending Brands queue</w:t>
      </w:r>
    </w:p>
    <w:p>
      <w:r>
        <w:rPr>
          <w:b/>
        </w:rPr>
        <w:t xml:space="preserve">Pre-conditions: </w:t>
      </w:r>
      <w:r>
        <w:t>At least one brand with status='pending' exists. Admin is authenticated with the admin role.</w:t>
      </w:r>
    </w:p>
    <w:p>
      <w:r>
        <w:rPr>
          <w:b/>
        </w:rPr>
        <w:t xml:space="preserve">Main Flow: </w:t>
      </w:r>
      <w:r>
        <w:t>1. Admin navigates to Admin Dashboard → Brands → Pending queue.</w:t>
        <w:br/>
        <w:t>2. System displays all brands with status='pending', sorted by registration date.</w:t>
        <w:br/>
        <w:t>3. Admin selects a brand to review; system displays brand details and owner information.</w:t>
        <w:br/>
        <w:t>4. Admin optionally assigns a verification tier (Premium, Verified, or New) from a dropdown.</w:t>
        <w:br/>
        <w:t>5. Admin clicks 'Approve'.</w:t>
        <w:br/>
        <w:t>6. System sends PATCH /api/admin/brands/:id {status: 'approved', verification_tier?}.</w:t>
        <w:br/>
        <w:t>7. System validates admin role (HTTP 403 if not admin).</w:t>
        <w:br/>
        <w:t>8. System updates brand.status = 'approved' and brand_owner.verification_status = 'approved' atomically in the database.</w:t>
        <w:br/>
        <w:t>9. System creates an 'account_approved' notification for the brand owner.</w:t>
        <w:br/>
        <w:t>10. System creates a 'new_brand' notification for all active buyer accounts.</w:t>
        <w:br/>
        <w:t>11. Brand becomes visible on the marketplace.</w:t>
      </w:r>
    </w:p>
    <w:p>
      <w:r>
        <w:rPr>
          <w:b/>
        </w:rPr>
        <w:t xml:space="preserve">Alternative Flow A: </w:t>
      </w:r>
      <w:r>
        <w:t>Step 5: Admin clicks 'Reject' → system sends status='rejected'; updates both records; creates 'account_rejected' notification for brand owner; skips buyer notifications.</w:t>
      </w:r>
    </w:p>
    <w:p>
      <w:r>
        <w:rPr>
          <w:b/>
        </w:rPr>
        <w:t xml:space="preserve">Alternative Flow B: </w:t>
      </w:r>
      <w:r>
        <w:t>Step 7: status value not in {approved, rejected} → system returns HTTP 400 Bad Request.</w:t>
      </w:r>
    </w:p>
    <w:p>
      <w:r>
        <w:rPr>
          <w:b/>
        </w:rPr>
        <w:t xml:space="preserve">Alternative Flow C: </w:t>
      </w:r>
      <w:r>
        <w:t>Step 7: brand ID not found → system returns HTTP 404 Not Found.</w:t>
      </w:r>
    </w:p>
    <w:p>
      <w:r>
        <w:rPr>
          <w:b/>
        </w:rPr>
        <w:t xml:space="preserve">Post-conditions: </w:t>
      </w:r>
      <w:r>
        <w:t>Brand and brand owner verification statuses updated. Notifications dispatched. Approved brand visible on marketplace; rejected brand hidden.</w:t>
      </w:r>
    </w:p>
    <w:p>
      <w:r>
        <w:rPr>
          <w:b/>
        </w:rPr>
        <w:t xml:space="preserve">Priority: </w:t>
      </w:r>
      <w:r>
        <w:t>High</w:t>
      </w:r>
    </w:p>
    <w:p>
      <w:r>
        <w:rPr>
          <w:b/>
        </w:rPr>
        <w:t xml:space="preserve">Related Requirements: </w:t>
      </w:r>
      <w:r>
        <w:t>SR-01, SR-10, SR-14, SR-17, SR-18; UR-03</w:t>
      </w:r>
    </w:p>
    <w:p/>
    <w:p>
      <w:pPr>
        <w:pStyle w:val="Heading3"/>
      </w:pPr>
      <w:r>
        <w:t>2.7.4  Use Case Specification: UC-12 — Reply to Review</w:t>
      </w:r>
    </w:p>
    <w:p>
      <w:r>
        <w:rPr>
          <w:b/>
        </w:rPr>
        <w:t xml:space="preserve">Use Case ID: </w:t>
      </w:r>
      <w:r>
        <w:t>UC-12</w:t>
      </w:r>
    </w:p>
    <w:p>
      <w:r>
        <w:rPr>
          <w:b/>
        </w:rPr>
        <w:t xml:space="preserve">Use Case Name: </w:t>
      </w:r>
      <w:r>
        <w:t>Reply to Review</w:t>
      </w:r>
    </w:p>
    <w:p>
      <w:r>
        <w:rPr>
          <w:b/>
        </w:rPr>
        <w:t xml:space="preserve">Primary Actor: </w:t>
      </w:r>
      <w:r>
        <w:t>Brand Owner</w:t>
      </w:r>
    </w:p>
    <w:p>
      <w:r>
        <w:rPr>
          <w:b/>
        </w:rPr>
        <w:t xml:space="preserve">Secondary Actors: </w:t>
      </w:r>
      <w:r>
        <w:t>Original Reviewer / Buyer (notified)</w:t>
      </w:r>
    </w:p>
    <w:p>
      <w:r>
        <w:rPr>
          <w:b/>
        </w:rPr>
        <w:t xml:space="preserve">Trigger: </w:t>
      </w:r>
      <w:r>
        <w:t>Brand owner views a review on their brand profile and chooses to respond</w:t>
      </w:r>
    </w:p>
    <w:p>
      <w:r>
        <w:rPr>
          <w:b/>
        </w:rPr>
        <w:t xml:space="preserve">Pre-conditions: </w:t>
      </w:r>
      <w:r>
        <w:t>A review with status='active' exists for the brand. Brand owner is authenticated. The review does not already have a brand reply (or the owner wishes to update an existing one).</w:t>
      </w:r>
    </w:p>
    <w:p>
      <w:r>
        <w:rPr>
          <w:b/>
        </w:rPr>
        <w:t xml:space="preserve">Main Flow: </w:t>
      </w:r>
      <w:r>
        <w:t>1. Brand owner navigates to their Brand Dashboard → Reviews section.</w:t>
        <w:br/>
        <w:t>2. System displays all reviews for the brand, with rating, content, date, and reviewer identity (suppressed if anonymous).</w:t>
        <w:br/>
        <w:t>3. Brand owner locates the review to respond to and clicks 'Reply'.</w:t>
        <w:br/>
        <w:t>4. Brand owner enters reply text in the reply input field.</w:t>
        <w:br/>
        <w:t>5. Brand owner submits via PATCH /api/reviews/:id/reply {brand_reply: 'text'}.</w:t>
        <w:br/>
        <w:t>6. System validates that the review's brand_id matches the authenticated user's brand (HTTP 403 if not).</w:t>
        <w:br/>
        <w:t>7. System updates review.brand_reply with the submitted text and persists the change.</w:t>
        <w:br/>
        <w:t>8. System creates a notification for the original reviewer: 'Brand replied to your review'.</w:t>
      </w:r>
    </w:p>
    <w:p>
      <w:r>
        <w:rPr>
          <w:b/>
        </w:rPr>
        <w:t xml:space="preserve">Alternative Flow A: </w:t>
      </w:r>
      <w:r>
        <w:t>Step 6: Review does not belong to this brand owner → HTTP 403 Forbidden; no change persisted.</w:t>
      </w:r>
    </w:p>
    <w:p>
      <w:r>
        <w:rPr>
          <w:b/>
        </w:rPr>
        <w:t xml:space="preserve">Alternative Flow B: </w:t>
      </w:r>
      <w:r>
        <w:t>Step 3: Review already has a brand_reply → existing reply is overwritten with new text (most recent reply is displayed).</w:t>
      </w:r>
    </w:p>
    <w:p>
      <w:r>
        <w:rPr>
          <w:b/>
        </w:rPr>
        <w:t xml:space="preserve">Post-conditions: </w:t>
      </w:r>
      <w:r>
        <w:t>review.brand_reply updated in the database. Reviewer notification created. Reply visible on the brand's public profile page.</w:t>
      </w:r>
    </w:p>
    <w:p>
      <w:r>
        <w:rPr>
          <w:b/>
        </w:rPr>
        <w:t xml:space="preserve">Priority: </w:t>
      </w:r>
      <w:r>
        <w:t>Medium</w:t>
      </w:r>
    </w:p>
    <w:p>
      <w:r>
        <w:rPr>
          <w:b/>
        </w:rPr>
        <w:t xml:space="preserve">Related Requirements: </w:t>
      </w:r>
      <w:r>
        <w:t>SR-01, SR-10, SR-19, SR-20; UR-12</w:t>
      </w:r>
    </w:p>
    <w:p/>
    <w:p>
      <w:pPr>
        <w:pStyle w:val="Heading3"/>
      </w:pPr>
      <w:r>
        <w:t>2.7.5  Use Case Specification: UC-14 — Manage Notifications</w:t>
      </w:r>
    </w:p>
    <w:p>
      <w:r>
        <w:rPr>
          <w:b/>
        </w:rPr>
        <w:t xml:space="preserve">Use Case ID: </w:t>
      </w:r>
      <w:r>
        <w:t>UC-14</w:t>
      </w:r>
    </w:p>
    <w:p>
      <w:r>
        <w:rPr>
          <w:b/>
        </w:rPr>
        <w:t xml:space="preserve">Use Case Name: </w:t>
      </w:r>
      <w:r>
        <w:t>Manage Notifications</w:t>
      </w:r>
    </w:p>
    <w:p>
      <w:r>
        <w:rPr>
          <w:b/>
        </w:rPr>
        <w:t xml:space="preserve">Primary Actor: </w:t>
      </w:r>
      <w:r>
        <w:t>All Users (Buyer / Brand Owner / Admin)</w:t>
      </w:r>
    </w:p>
    <w:p>
      <w:r>
        <w:rPr>
          <w:b/>
        </w:rPr>
        <w:t xml:space="preserve">Secondary Actors: </w:t>
      </w:r>
      <w:r>
        <w:t>None</w:t>
      </w:r>
    </w:p>
    <w:p>
      <w:r>
        <w:rPr>
          <w:b/>
        </w:rPr>
        <w:t xml:space="preserve">Trigger: </w:t>
      </w:r>
      <w:r>
        <w:t>User clicks the notification bell icon in the top navigation bar</w:t>
      </w:r>
    </w:p>
    <w:p>
      <w:r>
        <w:rPr>
          <w:b/>
        </w:rPr>
        <w:t xml:space="preserve">Pre-conditions: </w:t>
      </w:r>
      <w:r>
        <w:t>User is authenticated. One or more notifications exist for the current user.</w:t>
      </w:r>
    </w:p>
    <w:p>
      <w:r>
        <w:rPr>
          <w:b/>
        </w:rPr>
        <w:t xml:space="preserve">Main Flow: </w:t>
      </w:r>
      <w:r>
        <w:t>1. User clicks the notification bell icon (NotificationBell.tsx).</w:t>
        <w:br/>
        <w:t>2. System calls GET /api/notifications and fetches all notifications for the current user, ordered by created_at descending.</w:t>
        <w:br/>
        <w:t>3. System renders the notification panel, displaying title, body, timestamp, and read/unread indicator for each item.</w:t>
        <w:br/>
        <w:t>4. System displays the unread count as a badge on the bell icon.</w:t>
        <w:br/>
        <w:t>5. User clicks a specific notification item.</w:t>
        <w:br/>
        <w:t>6. System sends PATCH /api/notifications/:id {read: true}.</w:t>
        <w:br/>
        <w:t>7. System updates the notification record and decrements the unread count badge.</w:t>
        <w:br/>
        <w:t>8. If the notification carries an action_url, the system navigates the user to that page.</w:t>
      </w:r>
    </w:p>
    <w:p>
      <w:r>
        <w:rPr>
          <w:b/>
        </w:rPr>
        <w:t xml:space="preserve">Alternative Flow A: </w:t>
      </w:r>
      <w:r>
        <w:t>Step 2: No notifications exist → panel displays 'No notifications yet' empty-state message.</w:t>
      </w:r>
    </w:p>
    <w:p>
      <w:r>
        <w:rPr>
          <w:b/>
        </w:rPr>
        <w:t xml:space="preserve">Alternative Flow B: </w:t>
      </w:r>
      <w:r>
        <w:t>User activates 'Mark all as read' control → system sends batch PATCH requests for all unread notifications; badge count resets to zero.</w:t>
      </w:r>
    </w:p>
    <w:p>
      <w:r>
        <w:rPr>
          <w:b/>
        </w:rPr>
        <w:t xml:space="preserve">Post-conditions: </w:t>
      </w:r>
      <w:r>
        <w:t>Selected notification(s) marked as read in the database. Unread count badge updated in UI. If action_url present: user navigated to the relevant platform page.</w:t>
      </w:r>
    </w:p>
    <w:p>
      <w:r>
        <w:rPr>
          <w:b/>
        </w:rPr>
        <w:t xml:space="preserve">Priority: </w:t>
      </w:r>
      <w:r>
        <w:t>High</w:t>
      </w:r>
    </w:p>
    <w:p>
      <w:r>
        <w:rPr>
          <w:b/>
        </w:rPr>
        <w:t xml:space="preserve">Related Requirements: </w:t>
      </w:r>
      <w:r>
        <w:t>SR-01, SR-10; F-025; UR-14</w:t>
      </w:r>
    </w:p>
    <w:p/>
    <w:p>
      <w:pPr>
        <w:pStyle w:val="Heading3"/>
      </w:pPr>
      <w:r>
        <w:t>2.7.6  Preliminary System Architecture</w:t>
      </w:r>
    </w:p>
    <w:p>
      <w:pPr/>
      <w:r>
        <w:t>The Kuwait B2B Hub is structured as a four-layer architecture that enforces a strict separation of concerns between interface rendering, API-mediated business logic, data access abstraction, and external service integration. The architecture was designed to permit independent evolution of each layer — in particular, to allow the data access layer to migrate from the JSON prototype store to Supabase PostgreSQL without any changes to the API route handlers above it.</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Pr>
                <w:b/>
              </w:rPr>
              <w:t>Layer</w:t>
            </w:r>
          </w:p>
        </w:tc>
        <w:tc>
          <w:tcPr>
            <w:tcW w:type="dxa" w:w="3168"/>
          </w:tcPr>
          <w:p>
            <w:r>
              <w:rPr>
                <w:b/>
              </w:rPr>
              <w:t>Responsibilities</w:t>
            </w:r>
          </w:p>
        </w:tc>
        <w:tc>
          <w:tcPr>
            <w:tcW w:type="dxa" w:w="2880"/>
          </w:tcPr>
          <w:p>
            <w:r>
              <w:rPr>
                <w:b/>
              </w:rPr>
              <w:t>Key Components</w:t>
            </w:r>
          </w:p>
        </w:tc>
        <w:tc>
          <w:tcPr>
            <w:tcW w:type="dxa" w:w="1584"/>
          </w:tcPr>
          <w:p>
            <w:r>
              <w:rPr>
                <w:b/>
              </w:rPr>
              <w:t>Runtime</w:t>
            </w:r>
          </w:p>
        </w:tc>
      </w:tr>
      <w:tr>
        <w:tc>
          <w:tcPr>
            <w:tcW w:type="dxa" w:w="1728"/>
          </w:tcPr>
          <w:p>
            <w:r>
              <w:t>L1 — Presentation</w:t>
            </w:r>
          </w:p>
        </w:tc>
        <w:tc>
          <w:tcPr>
            <w:tcW w:type="dxa" w:w="3168"/>
          </w:tcPr>
          <w:p>
            <w:r>
              <w:t>Renders SSR HTML pages via Next.js App Router; provides client-side interactivity via React hydration; manages notification and currency state client-side.</w:t>
            </w:r>
          </w:p>
        </w:tc>
        <w:tc>
          <w:tcPr>
            <w:tcW w:type="dxa" w:w="2880"/>
          </w:tcPr>
          <w:p>
            <w:r>
              <w:t>24 UI components (src/components/*); 15 page routes (src/app/**/*page.tsx); Zustand notificationStore; CurrencyContext</w:t>
            </w:r>
          </w:p>
        </w:tc>
        <w:tc>
          <w:tcPr>
            <w:tcW w:type="dxa" w:w="1584"/>
          </w:tcPr>
          <w:p>
            <w:r>
              <w:t>Browser + Next.js SSR (Vercel)</w:t>
            </w:r>
          </w:p>
        </w:tc>
      </w:tr>
      <w:tr>
        <w:tc>
          <w:tcPr>
            <w:tcW w:type="dxa" w:w="1728"/>
          </w:tcPr>
          <w:p>
            <w:r>
              <w:t>L2 — Application / API</w:t>
            </w:r>
          </w:p>
        </w:tc>
        <w:tc>
          <w:tcPr>
            <w:tcW w:type="dxa" w:w="3168"/>
          </w:tcPr>
          <w:p>
            <w:r>
              <w:t>Processes all business logic; enforces RBAC via getCurrentUser() guard pattern; validates inputs; orchestrates data reads/writes and notification dispatch.</w:t>
            </w:r>
          </w:p>
        </w:tc>
        <w:tc>
          <w:tcPr>
            <w:tcW w:type="dxa" w:w="2880"/>
          </w:tcPr>
          <w:p>
            <w:r>
              <w:t>25 API route handlers (src/app/api/**/*route.ts); src/lib/auth.ts; src/lib/notifications.ts; src/middleware.ts</w:t>
            </w:r>
          </w:p>
        </w:tc>
        <w:tc>
          <w:tcPr>
            <w:tcW w:type="dxa" w:w="1584"/>
          </w:tcPr>
          <w:p>
            <w:r>
              <w:t>Vercel Serverless Functions</w:t>
            </w:r>
          </w:p>
        </w:tc>
      </w:tr>
      <w:tr>
        <w:tc>
          <w:tcPr>
            <w:tcW w:type="dxa" w:w="1728"/>
          </w:tcPr>
          <w:p>
            <w:r>
              <w:t>L3 — Data Access</w:t>
            </w:r>
          </w:p>
        </w:tc>
        <w:tc>
          <w:tcPr>
            <w:tcW w:type="dxa" w:w="3168"/>
          </w:tcPr>
          <w:p>
            <w:r>
              <w:t>Abstracts all database operations behind a uniform interface; isolates API handlers from the underlying storage technology.</w:t>
            </w:r>
          </w:p>
        </w:tc>
        <w:tc>
          <w:tcPr>
            <w:tcW w:type="dxa" w:w="2880"/>
          </w:tcPr>
          <w:p>
            <w:r>
              <w:t>src/lib/db.ts: readDB(), writeDB(), generateId(); src/data/db.json (MVP) → Supabase PostgreSQL (production)</w:t>
            </w:r>
          </w:p>
        </w:tc>
        <w:tc>
          <w:tcPr>
            <w:tcW w:type="dxa" w:w="1584"/>
          </w:tcPr>
          <w:p>
            <w:r>
              <w:t>Node.js file I/O (MVP) / Supabase SDK (production)</w:t>
            </w:r>
          </w:p>
        </w:tc>
      </w:tr>
      <w:tr>
        <w:tc>
          <w:tcPr>
            <w:tcW w:type="dxa" w:w="1728"/>
          </w:tcPr>
          <w:p>
            <w:r>
              <w:t>L4 — External Services</w:t>
            </w:r>
          </w:p>
        </w:tc>
        <w:tc>
          <w:tcPr>
            <w:tcW w:type="dxa" w:w="3168"/>
          </w:tcPr>
          <w:p>
            <w:r>
              <w:t>Provides authentication (Supabase Auth), hosting and CDN (Vercel), buyer-to-brand communication (WhatsApp), and live currency rates (Exchange Rate API).</w:t>
            </w:r>
          </w:p>
        </w:tc>
        <w:tc>
          <w:tcPr>
            <w:tcW w:type="dxa" w:w="2880"/>
          </w:tcPr>
          <w:p>
            <w:r>
              <w:t>src/utils/supabase/server.ts; src/lib/currencies.ts; Vercel edge network; WhatsApp Business deep-links</w:t>
            </w:r>
          </w:p>
        </w:tc>
        <w:tc>
          <w:tcPr>
            <w:tcW w:type="dxa" w:w="1584"/>
          </w:tcPr>
          <w:p>
            <w:r>
              <w:t>Supabase Cloud, Vercel Edge, WhatsApp, External REST API</w:t>
            </w:r>
          </w:p>
        </w:tc>
      </w:tr>
    </w:tbl>
    <w:p/>
    <w:p>
      <w:pPr>
        <w:pStyle w:val="Heading2"/>
      </w:pPr>
      <w:r>
        <w:t>2.8  Requirements Traceability Matrix (RTM)</w:t>
      </w:r>
    </w:p>
    <w:p>
      <w:pPr/>
      <w:r>
        <w:t>The following RTM maps each of the 20 system requirements to its originating source, the design artefact that realises it, the primary implementation file(s), the current implementation status, an associated test case identifier, and the test result. This matrix provides full traceability from requirement statement to delivery evidence.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864"/>
          </w:tcPr>
          <w:p>
            <w:r>
              <w:rPr>
                <w:b/>
              </w:rPr>
              <w:t>Req ID</w:t>
            </w:r>
          </w:p>
        </w:tc>
        <w:tc>
          <w:tcPr>
            <w:tcW w:type="dxa" w:w="2160"/>
          </w:tcPr>
          <w:p>
            <w:r>
              <w:rPr>
                <w:b/>
              </w:rPr>
              <w:t>Requirement Summary</w:t>
            </w:r>
          </w:p>
        </w:tc>
        <w:tc>
          <w:tcPr>
            <w:tcW w:type="dxa" w:w="1008"/>
          </w:tcPr>
          <w:p>
            <w:r>
              <w:rPr>
                <w:b/>
              </w:rPr>
              <w:t>Priority</w:t>
            </w:r>
          </w:p>
        </w:tc>
        <w:tc>
          <w:tcPr>
            <w:tcW w:type="dxa" w:w="1152"/>
          </w:tcPr>
          <w:p>
            <w:r>
              <w:rPr>
                <w:b/>
              </w:rPr>
              <w:t>Source</w:t>
            </w:r>
          </w:p>
        </w:tc>
        <w:tc>
          <w:tcPr>
            <w:tcW w:type="dxa" w:w="1728"/>
          </w:tcPr>
          <w:p>
            <w:r>
              <w:rPr>
                <w:b/>
              </w:rPr>
              <w:t>Design Artefact</w:t>
            </w:r>
          </w:p>
        </w:tc>
        <w:tc>
          <w:tcPr>
            <w:tcW w:type="dxa" w:w="2160"/>
          </w:tcPr>
          <w:p>
            <w:r>
              <w:rPr>
                <w:b/>
              </w:rPr>
              <w:t>Implementation File</w:t>
            </w:r>
          </w:p>
        </w:tc>
        <w:tc>
          <w:tcPr>
            <w:tcW w:type="dxa" w:w="1152"/>
          </w:tcPr>
          <w:p>
            <w:r>
              <w:rPr>
                <w:b/>
              </w:rPr>
              <w:t>Status</w:t>
            </w:r>
          </w:p>
        </w:tc>
        <w:tc>
          <w:tcPr>
            <w:tcW w:type="dxa" w:w="720"/>
          </w:tcPr>
          <w:p>
            <w:r>
              <w:rPr>
                <w:b/>
              </w:rPr>
              <w:t>TC ID</w:t>
            </w:r>
          </w:p>
        </w:tc>
        <w:tc>
          <w:tcPr>
            <w:tcW w:type="dxa" w:w="1296"/>
          </w:tcPr>
          <w:p>
            <w:r>
              <w:rPr>
                <w:b/>
              </w:rPr>
              <w:t>Test Result</w:t>
            </w:r>
          </w:p>
        </w:tc>
      </w:tr>
      <w:tr>
        <w:tc>
          <w:tcPr>
            <w:tcW w:type="dxa" w:w="864"/>
          </w:tcPr>
          <w:p>
            <w:r>
              <w:t>SR-01</w:t>
            </w:r>
          </w:p>
        </w:tc>
        <w:tc>
          <w:tcPr>
            <w:tcW w:type="dxa" w:w="2160"/>
          </w:tcPr>
          <w:p>
            <w:r>
              <w:t>RBAC on all routes/endpoints</w:t>
            </w:r>
          </w:p>
        </w:tc>
        <w:tc>
          <w:tcPr>
            <w:tcW w:type="dxa" w:w="1008"/>
          </w:tcPr>
          <w:p>
            <w:r>
              <w:t>High</w:t>
            </w:r>
          </w:p>
        </w:tc>
        <w:tc>
          <w:tcPr>
            <w:tcW w:type="dxa" w:w="1152"/>
          </w:tcPr>
          <w:p>
            <w:r>
              <w:t>UC-01–16</w:t>
            </w:r>
          </w:p>
        </w:tc>
        <w:tc>
          <w:tcPr>
            <w:tcW w:type="dxa" w:w="1728"/>
          </w:tcPr>
          <w:p>
            <w:r>
              <w:t>RBAC guard pattern</w:t>
            </w:r>
          </w:p>
        </w:tc>
        <w:tc>
          <w:tcPr>
            <w:tcW w:type="dxa" w:w="2160"/>
          </w:tcPr>
          <w:p>
            <w:r>
              <w:t>src/middleware.ts; all route.ts files</w:t>
            </w:r>
          </w:p>
        </w:tc>
        <w:tc>
          <w:tcPr>
            <w:tcW w:type="dxa" w:w="1152"/>
          </w:tcPr>
          <w:p>
            <w:r>
              <w:t>Complete</w:t>
            </w:r>
          </w:p>
        </w:tc>
        <w:tc>
          <w:tcPr>
            <w:tcW w:type="dxa" w:w="720"/>
          </w:tcPr>
          <w:p>
            <w:r>
              <w:t>TC-01</w:t>
            </w:r>
          </w:p>
        </w:tc>
        <w:tc>
          <w:tcPr>
            <w:tcW w:type="dxa" w:w="1296"/>
          </w:tcPr>
          <w:p>
            <w:r>
              <w:t>Pass</w:t>
            </w:r>
          </w:p>
        </w:tc>
      </w:tr>
      <w:tr>
        <w:tc>
          <w:tcPr>
            <w:tcW w:type="dxa" w:w="864"/>
          </w:tcPr>
          <w:p>
            <w:r>
              <w:t>SR-02</w:t>
            </w:r>
          </w:p>
        </w:tc>
        <w:tc>
          <w:tcPr>
            <w:tcW w:type="dxa" w:w="2160"/>
          </w:tcPr>
          <w:p>
            <w:r>
              <w:t>HTTP-only session cookies</w:t>
            </w:r>
          </w:p>
        </w:tc>
        <w:tc>
          <w:tcPr>
            <w:tcW w:type="dxa" w:w="1008"/>
          </w:tcPr>
          <w:p>
            <w:r>
              <w:t>High</w:t>
            </w:r>
          </w:p>
        </w:tc>
        <w:tc>
          <w:tcPr>
            <w:tcW w:type="dxa" w:w="1152"/>
          </w:tcPr>
          <w:p>
            <w:r>
              <w:t>UC-01, UC-02</w:t>
            </w:r>
          </w:p>
        </w:tc>
        <w:tc>
          <w:tcPr>
            <w:tcW w:type="dxa" w:w="1728"/>
          </w:tcPr>
          <w:p>
            <w:r>
              <w:t>Cookie spec (httpOnly, Lax)</w:t>
            </w:r>
          </w:p>
        </w:tc>
        <w:tc>
          <w:tcPr>
            <w:tcW w:type="dxa" w:w="2160"/>
          </w:tcPr>
          <w:p>
            <w:r>
              <w:t>api/auth/login/route.ts; register/route.ts</w:t>
            </w:r>
          </w:p>
        </w:tc>
        <w:tc>
          <w:tcPr>
            <w:tcW w:type="dxa" w:w="1152"/>
          </w:tcPr>
          <w:p>
            <w:r>
              <w:t>Complete</w:t>
            </w:r>
          </w:p>
        </w:tc>
        <w:tc>
          <w:tcPr>
            <w:tcW w:type="dxa" w:w="720"/>
          </w:tcPr>
          <w:p>
            <w:r>
              <w:t>TC-02</w:t>
            </w:r>
          </w:p>
        </w:tc>
        <w:tc>
          <w:tcPr>
            <w:tcW w:type="dxa" w:w="1296"/>
          </w:tcPr>
          <w:p>
            <w:r>
              <w:t>Pass</w:t>
            </w:r>
          </w:p>
        </w:tc>
      </w:tr>
      <w:tr>
        <w:tc>
          <w:tcPr>
            <w:tcW w:type="dxa" w:w="864"/>
          </w:tcPr>
          <w:p>
            <w:r>
              <w:t>SR-03</w:t>
            </w:r>
          </w:p>
        </w:tc>
        <w:tc>
          <w:tcPr>
            <w:tcW w:type="dxa" w:w="2160"/>
          </w:tcPr>
          <w:p>
            <w:r>
              <w:t>Password hashing (bcrypt/argon2)</w:t>
            </w:r>
          </w:p>
        </w:tc>
        <w:tc>
          <w:tcPr>
            <w:tcW w:type="dxa" w:w="1008"/>
          </w:tcPr>
          <w:p>
            <w:r>
              <w:t>Critical</w:t>
            </w:r>
          </w:p>
        </w:tc>
        <w:tc>
          <w:tcPr>
            <w:tcW w:type="dxa" w:w="1152"/>
          </w:tcPr>
          <w:p>
            <w:r>
              <w:t>UC-01, UC-02</w:t>
            </w:r>
          </w:p>
        </w:tc>
        <w:tc>
          <w:tcPr>
            <w:tcW w:type="dxa" w:w="1728"/>
          </w:tcPr>
          <w:p>
            <w:r>
              <w:t>Auth architecture</w:t>
            </w:r>
          </w:p>
        </w:tc>
        <w:tc>
          <w:tcPr>
            <w:tcW w:type="dxa" w:w="2160"/>
          </w:tcPr>
          <w:p>
            <w:r>
              <w:t>api/auth/register/route.ts</w:t>
            </w:r>
          </w:p>
        </w:tc>
        <w:tc>
          <w:tcPr>
            <w:tcW w:type="dxa" w:w="1152"/>
          </w:tcPr>
          <w:p>
            <w:r>
              <w:t>Partial</w:t>
            </w:r>
          </w:p>
        </w:tc>
        <w:tc>
          <w:tcPr>
            <w:tcW w:type="dxa" w:w="720"/>
          </w:tcPr>
          <w:p>
            <w:r>
              <w:t>TC-03</w:t>
            </w:r>
          </w:p>
        </w:tc>
        <w:tc>
          <w:tcPr>
            <w:tcW w:type="dxa" w:w="1296"/>
          </w:tcPr>
          <w:p>
            <w:r>
              <w:t>Blocked</w:t>
            </w:r>
          </w:p>
        </w:tc>
      </w:tr>
      <w:tr>
        <w:tc>
          <w:tcPr>
            <w:tcW w:type="dxa" w:w="864"/>
          </w:tcPr>
          <w:p>
            <w:r>
              <w:t>SR-04</w:t>
            </w:r>
          </w:p>
        </w:tc>
        <w:tc>
          <w:tcPr>
            <w:tcW w:type="dxa" w:w="2160"/>
          </w:tcPr>
          <w:p>
            <w:r>
              <w:t>Unique ID generation</w:t>
            </w:r>
          </w:p>
        </w:tc>
        <w:tc>
          <w:tcPr>
            <w:tcW w:type="dxa" w:w="1008"/>
          </w:tcPr>
          <w:p>
            <w:r>
              <w:t>High</w:t>
            </w:r>
          </w:p>
        </w:tc>
        <w:tc>
          <w:tcPr>
            <w:tcW w:type="dxa" w:w="1152"/>
          </w:tcPr>
          <w:p>
            <w:r>
              <w:t>UC-01–16</w:t>
            </w:r>
          </w:p>
        </w:tc>
        <w:tc>
          <w:tcPr>
            <w:tcW w:type="dxa" w:w="1728"/>
          </w:tcPr>
          <w:p>
            <w:r>
              <w:t>generateId() utility</w:t>
            </w:r>
          </w:p>
        </w:tc>
        <w:tc>
          <w:tcPr>
            <w:tcW w:type="dxa" w:w="2160"/>
          </w:tcPr>
          <w:p>
            <w:r>
              <w:t>src/lib/db.ts</w:t>
            </w:r>
          </w:p>
        </w:tc>
        <w:tc>
          <w:tcPr>
            <w:tcW w:type="dxa" w:w="1152"/>
          </w:tcPr>
          <w:p>
            <w:r>
              <w:t>Complete</w:t>
            </w:r>
          </w:p>
        </w:tc>
        <w:tc>
          <w:tcPr>
            <w:tcW w:type="dxa" w:w="720"/>
          </w:tcPr>
          <w:p>
            <w:r>
              <w:t>TC-04</w:t>
            </w:r>
          </w:p>
        </w:tc>
        <w:tc>
          <w:tcPr>
            <w:tcW w:type="dxa" w:w="1296"/>
          </w:tcPr>
          <w:p>
            <w:r>
              <w:t>Pass</w:t>
            </w:r>
          </w:p>
        </w:tc>
      </w:tr>
      <w:tr>
        <w:tc>
          <w:tcPr>
            <w:tcW w:type="dxa" w:w="864"/>
          </w:tcPr>
          <w:p>
            <w:r>
              <w:t>SR-05</w:t>
            </w:r>
          </w:p>
        </w:tc>
        <w:tc>
          <w:tcPr>
            <w:tcW w:type="dxa" w:w="2160"/>
          </w:tcPr>
          <w:p>
            <w:r>
              <w:t>MOQ validation on order submit</w:t>
            </w:r>
          </w:p>
        </w:tc>
        <w:tc>
          <w:tcPr>
            <w:tcW w:type="dxa" w:w="1008"/>
          </w:tcPr>
          <w:p>
            <w:r>
              <w:t>High</w:t>
            </w:r>
          </w:p>
        </w:tc>
        <w:tc>
          <w:tcPr>
            <w:tcW w:type="dxa" w:w="1152"/>
          </w:tcPr>
          <w:p>
            <w:r>
              <w:t>UC-05</w:t>
            </w:r>
          </w:p>
        </w:tc>
        <w:tc>
          <w:tcPr>
            <w:tcW w:type="dxa" w:w="1728"/>
          </w:tcPr>
          <w:p>
            <w:r>
              <w:t>Order submission flow</w:t>
            </w:r>
          </w:p>
        </w:tc>
        <w:tc>
          <w:tcPr>
            <w:tcW w:type="dxa" w:w="2160"/>
          </w:tcPr>
          <w:p>
            <w:r>
              <w:t>api/orders/route.ts (POST)</w:t>
            </w:r>
          </w:p>
        </w:tc>
        <w:tc>
          <w:tcPr>
            <w:tcW w:type="dxa" w:w="1152"/>
          </w:tcPr>
          <w:p>
            <w:r>
              <w:t>Complete</w:t>
            </w:r>
          </w:p>
        </w:tc>
        <w:tc>
          <w:tcPr>
            <w:tcW w:type="dxa" w:w="720"/>
          </w:tcPr>
          <w:p>
            <w:r>
              <w:t>TC-05</w:t>
            </w:r>
          </w:p>
        </w:tc>
        <w:tc>
          <w:tcPr>
            <w:tcW w:type="dxa" w:w="1296"/>
          </w:tcPr>
          <w:p>
            <w:r>
              <w:t>Pass</w:t>
            </w:r>
          </w:p>
        </w:tc>
      </w:tr>
      <w:tr>
        <w:tc>
          <w:tcPr>
            <w:tcW w:type="dxa" w:w="864"/>
          </w:tcPr>
          <w:p>
            <w:r>
              <w:t>SR-06</w:t>
            </w:r>
          </w:p>
        </w:tc>
        <w:tc>
          <w:tcPr>
            <w:tcW w:type="dxa" w:w="2160"/>
          </w:tcPr>
          <w:p>
            <w:r>
              <w:t>Stock validation on order submit</w:t>
            </w:r>
          </w:p>
        </w:tc>
        <w:tc>
          <w:tcPr>
            <w:tcW w:type="dxa" w:w="1008"/>
          </w:tcPr>
          <w:p>
            <w:r>
              <w:t>High</w:t>
            </w:r>
          </w:p>
        </w:tc>
        <w:tc>
          <w:tcPr>
            <w:tcW w:type="dxa" w:w="1152"/>
          </w:tcPr>
          <w:p>
            <w:r>
              <w:t>UC-05</w:t>
            </w:r>
          </w:p>
        </w:tc>
        <w:tc>
          <w:tcPr>
            <w:tcW w:type="dxa" w:w="1728"/>
          </w:tcPr>
          <w:p>
            <w:r>
              <w:t>Order submission flow</w:t>
            </w:r>
          </w:p>
        </w:tc>
        <w:tc>
          <w:tcPr>
            <w:tcW w:type="dxa" w:w="2160"/>
          </w:tcPr>
          <w:p>
            <w:r>
              <w:t>api/orders/route.ts (POST)</w:t>
            </w:r>
          </w:p>
        </w:tc>
        <w:tc>
          <w:tcPr>
            <w:tcW w:type="dxa" w:w="1152"/>
          </w:tcPr>
          <w:p>
            <w:r>
              <w:t>Complete</w:t>
            </w:r>
          </w:p>
        </w:tc>
        <w:tc>
          <w:tcPr>
            <w:tcW w:type="dxa" w:w="720"/>
          </w:tcPr>
          <w:p>
            <w:r>
              <w:t>TC-06</w:t>
            </w:r>
          </w:p>
        </w:tc>
        <w:tc>
          <w:tcPr>
            <w:tcW w:type="dxa" w:w="1296"/>
          </w:tcPr>
          <w:p>
            <w:r>
              <w:t>Pass</w:t>
            </w:r>
          </w:p>
        </w:tc>
      </w:tr>
      <w:tr>
        <w:tc>
          <w:tcPr>
            <w:tcW w:type="dxa" w:w="864"/>
          </w:tcPr>
          <w:p>
            <w:r>
              <w:t>SR-07</w:t>
            </w:r>
          </w:p>
        </w:tc>
        <w:tc>
          <w:tcPr>
            <w:tcW w:type="dxa" w:w="2160"/>
          </w:tcPr>
          <w:p>
            <w:r>
              <w:t>Bulk pricing tier resolution</w:t>
            </w:r>
          </w:p>
        </w:tc>
        <w:tc>
          <w:tcPr>
            <w:tcW w:type="dxa" w:w="1008"/>
          </w:tcPr>
          <w:p>
            <w:r>
              <w:t>High</w:t>
            </w:r>
          </w:p>
        </w:tc>
        <w:tc>
          <w:tcPr>
            <w:tcW w:type="dxa" w:w="1152"/>
          </w:tcPr>
          <w:p>
            <w:r>
              <w:t>UC-05</w:t>
            </w:r>
          </w:p>
        </w:tc>
        <w:tc>
          <w:tcPr>
            <w:tcW w:type="dxa" w:w="1728"/>
          </w:tcPr>
          <w:p>
            <w:r>
              <w:t>Pricing engine</w:t>
            </w:r>
          </w:p>
        </w:tc>
        <w:tc>
          <w:tcPr>
            <w:tcW w:type="dxa" w:w="2160"/>
          </w:tcPr>
          <w:p>
            <w:r>
              <w:t>api/orders/route.ts (POST)</w:t>
            </w:r>
          </w:p>
        </w:tc>
        <w:tc>
          <w:tcPr>
            <w:tcW w:type="dxa" w:w="1152"/>
          </w:tcPr>
          <w:p>
            <w:r>
              <w:t>Complete</w:t>
            </w:r>
          </w:p>
        </w:tc>
        <w:tc>
          <w:tcPr>
            <w:tcW w:type="dxa" w:w="720"/>
          </w:tcPr>
          <w:p>
            <w:r>
              <w:t>TC-07</w:t>
            </w:r>
          </w:p>
        </w:tc>
        <w:tc>
          <w:tcPr>
            <w:tcW w:type="dxa" w:w="1296"/>
          </w:tcPr>
          <w:p>
            <w:r>
              <w:t>Pass</w:t>
            </w:r>
          </w:p>
        </w:tc>
      </w:tr>
      <w:tr>
        <w:tc>
          <w:tcPr>
            <w:tcW w:type="dxa" w:w="864"/>
          </w:tcPr>
          <w:p>
            <w:r>
              <w:t>SR-08</w:t>
            </w:r>
          </w:p>
        </w:tc>
        <w:tc>
          <w:tcPr>
            <w:tcW w:type="dxa" w:w="2160"/>
          </w:tcPr>
          <w:p>
            <w:r>
              <w:t>Brand Trust Score computation</w:t>
            </w:r>
          </w:p>
        </w:tc>
        <w:tc>
          <w:tcPr>
            <w:tcW w:type="dxa" w:w="1008"/>
          </w:tcPr>
          <w:p>
            <w:r>
              <w:t>Medium</w:t>
            </w:r>
          </w:p>
        </w:tc>
        <w:tc>
          <w:tcPr>
            <w:tcW w:type="dxa" w:w="1152"/>
          </w:tcPr>
          <w:p>
            <w:r>
              <w:t>UC-16</w:t>
            </w:r>
          </w:p>
        </w:tc>
        <w:tc>
          <w:tcPr>
            <w:tcW w:type="dxa" w:w="1728"/>
          </w:tcPr>
          <w:p>
            <w:r>
              <w:t>BrandTrust schema</w:t>
            </w:r>
          </w:p>
        </w:tc>
        <w:tc>
          <w:tcPr>
            <w:tcW w:type="dxa" w:w="2160"/>
          </w:tcPr>
          <w:p>
            <w:r>
              <w:t>api/trust/[id]/route.ts</w:t>
            </w:r>
          </w:p>
        </w:tc>
        <w:tc>
          <w:tcPr>
            <w:tcW w:type="dxa" w:w="1152"/>
          </w:tcPr>
          <w:p>
            <w:r>
              <w:t>Partial (70%)</w:t>
            </w:r>
          </w:p>
        </w:tc>
        <w:tc>
          <w:tcPr>
            <w:tcW w:type="dxa" w:w="720"/>
          </w:tcPr>
          <w:p>
            <w:r>
              <w:t>TC-08</w:t>
            </w:r>
          </w:p>
        </w:tc>
        <w:tc>
          <w:tcPr>
            <w:tcW w:type="dxa" w:w="1296"/>
          </w:tcPr>
          <w:p>
            <w:r>
              <w:t>Manual</w:t>
            </w:r>
          </w:p>
        </w:tc>
      </w:tr>
      <w:tr>
        <w:tc>
          <w:tcPr>
            <w:tcW w:type="dxa" w:w="864"/>
          </w:tcPr>
          <w:p>
            <w:r>
              <w:t>SR-09</w:t>
            </w:r>
          </w:p>
        </w:tc>
        <w:tc>
          <w:tcPr>
            <w:tcW w:type="dxa" w:w="2160"/>
          </w:tcPr>
          <w:p>
            <w:r>
              <w:t>Buyer Trust Score computation</w:t>
            </w:r>
          </w:p>
        </w:tc>
        <w:tc>
          <w:tcPr>
            <w:tcW w:type="dxa" w:w="1008"/>
          </w:tcPr>
          <w:p>
            <w:r>
              <w:t>Medium</w:t>
            </w:r>
          </w:p>
        </w:tc>
        <w:tc>
          <w:tcPr>
            <w:tcW w:type="dxa" w:w="1152"/>
          </w:tcPr>
          <w:p>
            <w:r>
              <w:t>UC-16</w:t>
            </w:r>
          </w:p>
        </w:tc>
        <w:tc>
          <w:tcPr>
            <w:tcW w:type="dxa" w:w="1728"/>
          </w:tcPr>
          <w:p>
            <w:r>
              <w:t>BuyerTrust schema</w:t>
            </w:r>
          </w:p>
        </w:tc>
        <w:tc>
          <w:tcPr>
            <w:tcW w:type="dxa" w:w="2160"/>
          </w:tcPr>
          <w:p>
            <w:r>
              <w:t>api/trust/[id]/route.ts</w:t>
            </w:r>
          </w:p>
        </w:tc>
        <w:tc>
          <w:tcPr>
            <w:tcW w:type="dxa" w:w="1152"/>
          </w:tcPr>
          <w:p>
            <w:r>
              <w:t>Partial (70%)</w:t>
            </w:r>
          </w:p>
        </w:tc>
        <w:tc>
          <w:tcPr>
            <w:tcW w:type="dxa" w:w="720"/>
          </w:tcPr>
          <w:p>
            <w:r>
              <w:t>TC-09</w:t>
            </w:r>
          </w:p>
        </w:tc>
        <w:tc>
          <w:tcPr>
            <w:tcW w:type="dxa" w:w="1296"/>
          </w:tcPr>
          <w:p>
            <w:r>
              <w:t>Manual</w:t>
            </w:r>
          </w:p>
        </w:tc>
      </w:tr>
      <w:tr>
        <w:tc>
          <w:tcPr>
            <w:tcW w:type="dxa" w:w="864"/>
          </w:tcPr>
          <w:p>
            <w:r>
              <w:t>SR-10</w:t>
            </w:r>
          </w:p>
        </w:tc>
        <w:tc>
          <w:tcPr>
            <w:tcW w:type="dxa" w:w="2160"/>
          </w:tcPr>
          <w:p>
            <w:r>
              <w:t>In-app notifications for all events</w:t>
            </w:r>
          </w:p>
        </w:tc>
        <w:tc>
          <w:tcPr>
            <w:tcW w:type="dxa" w:w="1008"/>
          </w:tcPr>
          <w:p>
            <w:r>
              <w:t>High</w:t>
            </w:r>
          </w:p>
        </w:tc>
        <w:tc>
          <w:tcPr>
            <w:tcW w:type="dxa" w:w="1152"/>
          </w:tcPr>
          <w:p>
            <w:r>
              <w:t>UC-14</w:t>
            </w:r>
          </w:p>
        </w:tc>
        <w:tc>
          <w:tcPr>
            <w:tcW w:type="dxa" w:w="1728"/>
          </w:tcPr>
          <w:p>
            <w:r>
              <w:t>Notification service</w:t>
            </w:r>
          </w:p>
        </w:tc>
        <w:tc>
          <w:tcPr>
            <w:tcW w:type="dxa" w:w="2160"/>
          </w:tcPr>
          <w:p>
            <w:r>
              <w:t>src/lib/notifications.ts</w:t>
            </w:r>
          </w:p>
        </w:tc>
        <w:tc>
          <w:tcPr>
            <w:tcW w:type="dxa" w:w="1152"/>
          </w:tcPr>
          <w:p>
            <w:r>
              <w:t>Complete</w:t>
            </w:r>
          </w:p>
        </w:tc>
        <w:tc>
          <w:tcPr>
            <w:tcW w:type="dxa" w:w="720"/>
          </w:tcPr>
          <w:p>
            <w:r>
              <w:t>TC-10</w:t>
            </w:r>
          </w:p>
        </w:tc>
        <w:tc>
          <w:tcPr>
            <w:tcW w:type="dxa" w:w="1296"/>
          </w:tcPr>
          <w:p>
            <w:r>
              <w:t>Pass</w:t>
            </w:r>
          </w:p>
        </w:tc>
      </w:tr>
      <w:tr>
        <w:tc>
          <w:tcPr>
            <w:tcW w:type="dxa" w:w="864"/>
          </w:tcPr>
          <w:p>
            <w:r>
              <w:t>SR-11</w:t>
            </w:r>
          </w:p>
        </w:tc>
        <w:tc>
          <w:tcPr>
            <w:tcW w:type="dxa" w:w="2160"/>
          </w:tcPr>
          <w:p>
            <w:r>
              <w:t>WhatsApp click tracking</w:t>
            </w:r>
          </w:p>
        </w:tc>
        <w:tc>
          <w:tcPr>
            <w:tcW w:type="dxa" w:w="1008"/>
          </w:tcPr>
          <w:p>
            <w:r>
              <w:t>Low</w:t>
            </w:r>
          </w:p>
        </w:tc>
        <w:tc>
          <w:tcPr>
            <w:tcW w:type="dxa" w:w="1152"/>
          </w:tcPr>
          <w:p>
            <w:r>
              <w:t>UC-15</w:t>
            </w:r>
          </w:p>
        </w:tc>
        <w:tc>
          <w:tcPr>
            <w:tcW w:type="dxa" w:w="1728"/>
          </w:tcPr>
          <w:p>
            <w:r>
              <w:t>Click counter endpoint</w:t>
            </w:r>
          </w:p>
        </w:tc>
        <w:tc>
          <w:tcPr>
            <w:tcW w:type="dxa" w:w="2160"/>
          </w:tcPr>
          <w:p>
            <w:r>
              <w:t>api/brands/whatsapp-click/route.ts</w:t>
            </w:r>
          </w:p>
        </w:tc>
        <w:tc>
          <w:tcPr>
            <w:tcW w:type="dxa" w:w="1152"/>
          </w:tcPr>
          <w:p>
            <w:r>
              <w:t>Complete</w:t>
            </w:r>
          </w:p>
        </w:tc>
        <w:tc>
          <w:tcPr>
            <w:tcW w:type="dxa" w:w="720"/>
          </w:tcPr>
          <w:p>
            <w:r>
              <w:t>TC-11</w:t>
            </w:r>
          </w:p>
        </w:tc>
        <w:tc>
          <w:tcPr>
            <w:tcW w:type="dxa" w:w="1296"/>
          </w:tcPr>
          <w:p>
            <w:r>
              <w:t>Pass</w:t>
            </w:r>
          </w:p>
        </w:tc>
      </w:tr>
      <w:tr>
        <w:tc>
          <w:tcPr>
            <w:tcW w:type="dxa" w:w="864"/>
          </w:tcPr>
          <w:p>
            <w:r>
              <w:t>SR-12</w:t>
            </w:r>
          </w:p>
        </w:tc>
        <w:tc>
          <w:tcPr>
            <w:tcW w:type="dxa" w:w="2160"/>
          </w:tcPr>
          <w:p>
            <w:r>
              <w:t>Arabic RTL localisation</w:t>
            </w:r>
          </w:p>
        </w:tc>
        <w:tc>
          <w:tcPr>
            <w:tcW w:type="dxa" w:w="1008"/>
          </w:tcPr>
          <w:p>
            <w:r>
              <w:t>High</w:t>
            </w:r>
          </w:p>
        </w:tc>
        <w:tc>
          <w:tcPr>
            <w:tcW w:type="dxa" w:w="1152"/>
          </w:tcPr>
          <w:p>
            <w:r>
              <w:t>UC-15</w:t>
            </w:r>
          </w:p>
        </w:tc>
        <w:tc>
          <w:tcPr>
            <w:tcW w:type="dxa" w:w="1728"/>
          </w:tcPr>
          <w:p>
            <w:r>
              <w:t>next-intl i18n config</w:t>
            </w:r>
          </w:p>
        </w:tc>
        <w:tc>
          <w:tcPr>
            <w:tcW w:type="dxa" w:w="2160"/>
          </w:tcPr>
          <w:p>
            <w:r>
              <w:t>src/i18n/request.ts; messages/ar.json</w:t>
            </w:r>
          </w:p>
        </w:tc>
        <w:tc>
          <w:tcPr>
            <w:tcW w:type="dxa" w:w="1152"/>
          </w:tcPr>
          <w:p>
            <w:r>
              <w:t>Partial (80%)</w:t>
            </w:r>
          </w:p>
        </w:tc>
        <w:tc>
          <w:tcPr>
            <w:tcW w:type="dxa" w:w="720"/>
          </w:tcPr>
          <w:p>
            <w:r>
              <w:t>TC-12</w:t>
            </w:r>
          </w:p>
        </w:tc>
        <w:tc>
          <w:tcPr>
            <w:tcW w:type="dxa" w:w="1296"/>
          </w:tcPr>
          <w:p>
            <w:r>
              <w:t>Partial</w:t>
            </w:r>
          </w:p>
        </w:tc>
      </w:tr>
      <w:tr>
        <w:tc>
          <w:tcPr>
            <w:tcW w:type="dxa" w:w="864"/>
          </w:tcPr>
          <w:p>
            <w:r>
              <w:t>SR-13</w:t>
            </w:r>
          </w:p>
        </w:tc>
        <w:tc>
          <w:tcPr>
            <w:tcW w:type="dxa" w:w="2160"/>
          </w:tcPr>
          <w:p>
            <w:r>
              <w:t>Multi-currency price display</w:t>
            </w:r>
          </w:p>
        </w:tc>
        <w:tc>
          <w:tcPr>
            <w:tcW w:type="dxa" w:w="1008"/>
          </w:tcPr>
          <w:p>
            <w:r>
              <w:t>Medium</w:t>
            </w:r>
          </w:p>
        </w:tc>
        <w:tc>
          <w:tcPr>
            <w:tcW w:type="dxa" w:w="1152"/>
          </w:tcPr>
          <w:p>
            <w:r>
              <w:t>UC-15</w:t>
            </w:r>
          </w:p>
        </w:tc>
        <w:tc>
          <w:tcPr>
            <w:tcW w:type="dxa" w:w="1728"/>
          </w:tcPr>
          <w:p>
            <w:r>
              <w:t>CurrencyContext + registry</w:t>
            </w:r>
          </w:p>
        </w:tc>
        <w:tc>
          <w:tcPr>
            <w:tcW w:type="dxa" w:w="2160"/>
          </w:tcPr>
          <w:p>
            <w:r>
              <w:t>src/lib/currencies.ts; CurrencyContext.tsx</w:t>
            </w:r>
          </w:p>
        </w:tc>
        <w:tc>
          <w:tcPr>
            <w:tcW w:type="dxa" w:w="1152"/>
          </w:tcPr>
          <w:p>
            <w:r>
              <w:t>Complete</w:t>
            </w:r>
          </w:p>
        </w:tc>
        <w:tc>
          <w:tcPr>
            <w:tcW w:type="dxa" w:w="720"/>
          </w:tcPr>
          <w:p>
            <w:r>
              <w:t>TC-13</w:t>
            </w:r>
          </w:p>
        </w:tc>
        <w:tc>
          <w:tcPr>
            <w:tcW w:type="dxa" w:w="1296"/>
          </w:tcPr>
          <w:p>
            <w:r>
              <w:t>Pass</w:t>
            </w:r>
          </w:p>
        </w:tc>
      </w:tr>
      <w:tr>
        <w:tc>
          <w:tcPr>
            <w:tcW w:type="dxa" w:w="864"/>
          </w:tcPr>
          <w:p>
            <w:r>
              <w:t>SR-14</w:t>
            </w:r>
          </w:p>
        </w:tc>
        <w:tc>
          <w:tcPr>
            <w:tcW w:type="dxa" w:w="2160"/>
          </w:tcPr>
          <w:p>
            <w:r>
              <w:t>Admin-only brand verification</w:t>
            </w:r>
          </w:p>
        </w:tc>
        <w:tc>
          <w:tcPr>
            <w:tcW w:type="dxa" w:w="1008"/>
          </w:tcPr>
          <w:p>
            <w:r>
              <w:t>High</w:t>
            </w:r>
          </w:p>
        </w:tc>
        <w:tc>
          <w:tcPr>
            <w:tcW w:type="dxa" w:w="1152"/>
          </w:tcPr>
          <w:p>
            <w:r>
              <w:t>UC-07</w:t>
            </w:r>
          </w:p>
        </w:tc>
        <w:tc>
          <w:tcPr>
            <w:tcW w:type="dxa" w:w="1728"/>
          </w:tcPr>
          <w:p>
            <w:r>
              <w:t>Admin RBAC guard</w:t>
            </w:r>
          </w:p>
        </w:tc>
        <w:tc>
          <w:tcPr>
            <w:tcW w:type="dxa" w:w="2160"/>
          </w:tcPr>
          <w:p>
            <w:r>
              <w:t>api/admin/brands/[id]/route.ts</w:t>
            </w:r>
          </w:p>
        </w:tc>
        <w:tc>
          <w:tcPr>
            <w:tcW w:type="dxa" w:w="1152"/>
          </w:tcPr>
          <w:p>
            <w:r>
              <w:t>Complete</w:t>
            </w:r>
          </w:p>
        </w:tc>
        <w:tc>
          <w:tcPr>
            <w:tcW w:type="dxa" w:w="720"/>
          </w:tcPr>
          <w:p>
            <w:r>
              <w:t>TC-14</w:t>
            </w:r>
          </w:p>
        </w:tc>
        <w:tc>
          <w:tcPr>
            <w:tcW w:type="dxa" w:w="1296"/>
          </w:tcPr>
          <w:p>
            <w:r>
              <w:t>Pass</w:t>
            </w:r>
          </w:p>
        </w:tc>
      </w:tr>
      <w:tr>
        <w:tc>
          <w:tcPr>
            <w:tcW w:type="dxa" w:w="864"/>
          </w:tcPr>
          <w:p>
            <w:r>
              <w:t>SR-15</w:t>
            </w:r>
          </w:p>
        </w:tc>
        <w:tc>
          <w:tcPr>
            <w:tcW w:type="dxa" w:w="2160"/>
          </w:tcPr>
          <w:p>
            <w:r>
              <w:t>Excel catalogue bulk import</w:t>
            </w:r>
          </w:p>
        </w:tc>
        <w:tc>
          <w:tcPr>
            <w:tcW w:type="dxa" w:w="1008"/>
          </w:tcPr>
          <w:p>
            <w:r>
              <w:t>Low</w:t>
            </w:r>
          </w:p>
        </w:tc>
        <w:tc>
          <w:tcPr>
            <w:tcW w:type="dxa" w:w="1152"/>
          </w:tcPr>
          <w:p>
            <w:r>
              <w:t>UC-10</w:t>
            </w:r>
          </w:p>
        </w:tc>
        <w:tc>
          <w:tcPr>
            <w:tcW w:type="dxa" w:w="1728"/>
          </w:tcPr>
          <w:p>
            <w:r>
              <w:t>xlsx parsing endpoint</w:t>
            </w:r>
          </w:p>
        </w:tc>
        <w:tc>
          <w:tcPr>
            <w:tcW w:type="dxa" w:w="2160"/>
          </w:tcPr>
          <w:p>
            <w:r>
              <w:t>api/products/bulk/route.ts</w:t>
            </w:r>
          </w:p>
        </w:tc>
        <w:tc>
          <w:tcPr>
            <w:tcW w:type="dxa" w:w="1152"/>
          </w:tcPr>
          <w:p>
            <w:r>
              <w:t>Complete</w:t>
            </w:r>
          </w:p>
        </w:tc>
        <w:tc>
          <w:tcPr>
            <w:tcW w:type="dxa" w:w="720"/>
          </w:tcPr>
          <w:p>
            <w:r>
              <w:t>TC-15</w:t>
            </w:r>
          </w:p>
        </w:tc>
        <w:tc>
          <w:tcPr>
            <w:tcW w:type="dxa" w:w="1296"/>
          </w:tcPr>
          <w:p>
            <w:r>
              <w:t>Pass</w:t>
            </w:r>
          </w:p>
        </w:tc>
      </w:tr>
      <w:tr>
        <w:tc>
          <w:tcPr>
            <w:tcW w:type="dxa" w:w="864"/>
          </w:tcPr>
          <w:p>
            <w:r>
              <w:t>SR-16</w:t>
            </w:r>
          </w:p>
        </w:tc>
        <w:tc>
          <w:tcPr>
            <w:tcW w:type="dxa" w:w="2160"/>
          </w:tcPr>
          <w:p>
            <w:r>
              <w:t>Admin analytics dashboard</w:t>
            </w:r>
          </w:p>
        </w:tc>
        <w:tc>
          <w:tcPr>
            <w:tcW w:type="dxa" w:w="1008"/>
          </w:tcPr>
          <w:p>
            <w:r>
              <w:t>Medium</w:t>
            </w:r>
          </w:p>
        </w:tc>
        <w:tc>
          <w:tcPr>
            <w:tcW w:type="dxa" w:w="1152"/>
          </w:tcPr>
          <w:p>
            <w:r>
              <w:t>UC-07</w:t>
            </w:r>
          </w:p>
        </w:tc>
        <w:tc>
          <w:tcPr>
            <w:tcW w:type="dxa" w:w="1728"/>
          </w:tcPr>
          <w:p>
            <w:r>
              <w:t>Dashboard page &amp; charts</w:t>
            </w:r>
          </w:p>
        </w:tc>
        <w:tc>
          <w:tcPr>
            <w:tcW w:type="dxa" w:w="2160"/>
          </w:tcPr>
          <w:p>
            <w:r>
              <w:t>src/app/admin/dashboard/page.tsx</w:t>
            </w:r>
          </w:p>
        </w:tc>
        <w:tc>
          <w:tcPr>
            <w:tcW w:type="dxa" w:w="1152"/>
          </w:tcPr>
          <w:p>
            <w:r>
              <w:t>Partial (75%)</w:t>
            </w:r>
          </w:p>
        </w:tc>
        <w:tc>
          <w:tcPr>
            <w:tcW w:type="dxa" w:w="720"/>
          </w:tcPr>
          <w:p>
            <w:r>
              <w:t>TC-16</w:t>
            </w:r>
          </w:p>
        </w:tc>
        <w:tc>
          <w:tcPr>
            <w:tcW w:type="dxa" w:w="1296"/>
          </w:tcPr>
          <w:p>
            <w:r>
              <w:t>Partial</w:t>
            </w:r>
          </w:p>
        </w:tc>
      </w:tr>
      <w:tr>
        <w:tc>
          <w:tcPr>
            <w:tcW w:type="dxa" w:w="864"/>
          </w:tcPr>
          <w:p>
            <w:r>
              <w:t>SR-17</w:t>
            </w:r>
          </w:p>
        </w:tc>
        <w:tc>
          <w:tcPr>
            <w:tcW w:type="dxa" w:w="2160"/>
          </w:tcPr>
          <w:p>
            <w:r>
              <w:t>Brand verification audit trail</w:t>
            </w:r>
          </w:p>
        </w:tc>
        <w:tc>
          <w:tcPr>
            <w:tcW w:type="dxa" w:w="1008"/>
          </w:tcPr>
          <w:p>
            <w:r>
              <w:t>Medium</w:t>
            </w:r>
          </w:p>
        </w:tc>
        <w:tc>
          <w:tcPr>
            <w:tcW w:type="dxa" w:w="1152"/>
          </w:tcPr>
          <w:p>
            <w:r>
              <w:t>UC-07</w:t>
            </w:r>
          </w:p>
        </w:tc>
        <w:tc>
          <w:tcPr>
            <w:tcW w:type="dxa" w:w="1728"/>
          </w:tcPr>
          <w:p>
            <w:r>
              <w:t>Status update with timestamp</w:t>
            </w:r>
          </w:p>
        </w:tc>
        <w:tc>
          <w:tcPr>
            <w:tcW w:type="dxa" w:w="2160"/>
          </w:tcPr>
          <w:p>
            <w:r>
              <w:t>api/admin/brands/[id]/route.ts</w:t>
            </w:r>
          </w:p>
        </w:tc>
        <w:tc>
          <w:tcPr>
            <w:tcW w:type="dxa" w:w="1152"/>
          </w:tcPr>
          <w:p>
            <w:r>
              <w:t>Partial</w:t>
            </w:r>
          </w:p>
        </w:tc>
        <w:tc>
          <w:tcPr>
            <w:tcW w:type="dxa" w:w="720"/>
          </w:tcPr>
          <w:p>
            <w:r>
              <w:t>TC-17</w:t>
            </w:r>
          </w:p>
        </w:tc>
        <w:tc>
          <w:tcPr>
            <w:tcW w:type="dxa" w:w="1296"/>
          </w:tcPr>
          <w:p>
            <w:r>
              <w:t>Not started</w:t>
            </w:r>
          </w:p>
        </w:tc>
      </w:tr>
      <w:tr>
        <w:tc>
          <w:tcPr>
            <w:tcW w:type="dxa" w:w="864"/>
          </w:tcPr>
          <w:p>
            <w:r>
              <w:t>SR-18</w:t>
            </w:r>
          </w:p>
        </w:tc>
        <w:tc>
          <w:tcPr>
            <w:tcW w:type="dxa" w:w="2160"/>
          </w:tcPr>
          <w:p>
            <w:r>
              <w:t>Verification tier badges</w:t>
            </w:r>
          </w:p>
        </w:tc>
        <w:tc>
          <w:tcPr>
            <w:tcW w:type="dxa" w:w="1008"/>
          </w:tcPr>
          <w:p>
            <w:r>
              <w:t>Medium</w:t>
            </w:r>
          </w:p>
        </w:tc>
        <w:tc>
          <w:tcPr>
            <w:tcW w:type="dxa" w:w="1152"/>
          </w:tcPr>
          <w:p>
            <w:r>
              <w:t>UC-03, UC-07</w:t>
            </w:r>
          </w:p>
        </w:tc>
        <w:tc>
          <w:tcPr>
            <w:tcW w:type="dxa" w:w="1728"/>
          </w:tcPr>
          <w:p>
            <w:r>
              <w:t>Badge UI components</w:t>
            </w:r>
          </w:p>
        </w:tc>
        <w:tc>
          <w:tcPr>
            <w:tcW w:type="dxa" w:w="2160"/>
          </w:tcPr>
          <w:p>
            <w:r>
              <w:t>BrandCard.tsx; VerifiedBadge.tsx</w:t>
            </w:r>
          </w:p>
        </w:tc>
        <w:tc>
          <w:tcPr>
            <w:tcW w:type="dxa" w:w="1152"/>
          </w:tcPr>
          <w:p>
            <w:r>
              <w:t>Complete</w:t>
            </w:r>
          </w:p>
        </w:tc>
        <w:tc>
          <w:tcPr>
            <w:tcW w:type="dxa" w:w="720"/>
          </w:tcPr>
          <w:p>
            <w:r>
              <w:t>TC-18</w:t>
            </w:r>
          </w:p>
        </w:tc>
        <w:tc>
          <w:tcPr>
            <w:tcW w:type="dxa" w:w="1296"/>
          </w:tcPr>
          <w:p>
            <w:r>
              <w:t>Pass</w:t>
            </w:r>
          </w:p>
        </w:tc>
      </w:tr>
      <w:tr>
        <w:tc>
          <w:tcPr>
            <w:tcW w:type="dxa" w:w="864"/>
          </w:tcPr>
          <w:p>
            <w:r>
              <w:t>SR-19</w:t>
            </w:r>
          </w:p>
        </w:tc>
        <w:tc>
          <w:tcPr>
            <w:tcW w:type="dxa" w:w="2160"/>
          </w:tcPr>
          <w:p>
            <w:r>
              <w:t>Anonymous review submission</w:t>
            </w:r>
          </w:p>
        </w:tc>
        <w:tc>
          <w:tcPr>
            <w:tcW w:type="dxa" w:w="1008"/>
          </w:tcPr>
          <w:p>
            <w:r>
              <w:t>Medium</w:t>
            </w:r>
          </w:p>
        </w:tc>
        <w:tc>
          <w:tcPr>
            <w:tcW w:type="dxa" w:w="1152"/>
          </w:tcPr>
          <w:p>
            <w:r>
              <w:t>UC-11</w:t>
            </w:r>
          </w:p>
        </w:tc>
        <w:tc>
          <w:tcPr>
            <w:tcW w:type="dxa" w:w="1728"/>
          </w:tcPr>
          <w:p>
            <w:r>
              <w:t>Review schema — anon flag</w:t>
            </w:r>
          </w:p>
        </w:tc>
        <w:tc>
          <w:tcPr>
            <w:tcW w:type="dxa" w:w="2160"/>
          </w:tcPr>
          <w:p>
            <w:r>
              <w:t>api/reviews/route.ts (POST)</w:t>
            </w:r>
          </w:p>
        </w:tc>
        <w:tc>
          <w:tcPr>
            <w:tcW w:type="dxa" w:w="1152"/>
          </w:tcPr>
          <w:p>
            <w:r>
              <w:t>Complete</w:t>
            </w:r>
          </w:p>
        </w:tc>
        <w:tc>
          <w:tcPr>
            <w:tcW w:type="dxa" w:w="720"/>
          </w:tcPr>
          <w:p>
            <w:r>
              <w:t>TC-19</w:t>
            </w:r>
          </w:p>
        </w:tc>
        <w:tc>
          <w:tcPr>
            <w:tcW w:type="dxa" w:w="1296"/>
          </w:tcPr>
          <w:p>
            <w:r>
              <w:t>Pass</w:t>
            </w:r>
          </w:p>
        </w:tc>
      </w:tr>
      <w:tr>
        <w:tc>
          <w:tcPr>
            <w:tcW w:type="dxa" w:w="864"/>
          </w:tcPr>
          <w:p>
            <w:r>
              <w:t>SR-20</w:t>
            </w:r>
          </w:p>
        </w:tc>
        <w:tc>
          <w:tcPr>
            <w:tcW w:type="dxa" w:w="2160"/>
          </w:tcPr>
          <w:p>
            <w:r>
              <w:t>Brand reply to review</w:t>
            </w:r>
          </w:p>
        </w:tc>
        <w:tc>
          <w:tcPr>
            <w:tcW w:type="dxa" w:w="1008"/>
          </w:tcPr>
          <w:p>
            <w:r>
              <w:t>Medium</w:t>
            </w:r>
          </w:p>
        </w:tc>
        <w:tc>
          <w:tcPr>
            <w:tcW w:type="dxa" w:w="1152"/>
          </w:tcPr>
          <w:p>
            <w:r>
              <w:t>UC-12</w:t>
            </w:r>
          </w:p>
        </w:tc>
        <w:tc>
          <w:tcPr>
            <w:tcW w:type="dxa" w:w="1728"/>
          </w:tcPr>
          <w:p>
            <w:r>
              <w:t>Review reply endpoint</w:t>
            </w:r>
          </w:p>
        </w:tc>
        <w:tc>
          <w:tcPr>
            <w:tcW w:type="dxa" w:w="2160"/>
          </w:tcPr>
          <w:p>
            <w:r>
              <w:t>api/reviews/[id]/reply/route.ts</w:t>
            </w:r>
          </w:p>
        </w:tc>
        <w:tc>
          <w:tcPr>
            <w:tcW w:type="dxa" w:w="1152"/>
          </w:tcPr>
          <w:p>
            <w:r>
              <w:t>Complete</w:t>
            </w:r>
          </w:p>
        </w:tc>
        <w:tc>
          <w:tcPr>
            <w:tcW w:type="dxa" w:w="720"/>
          </w:tcPr>
          <w:p>
            <w:r>
              <w:t>TC-20</w:t>
            </w:r>
          </w:p>
        </w:tc>
        <w:tc>
          <w:tcPr>
            <w:tcW w:type="dxa" w:w="1296"/>
          </w:tcPr>
          <w:p>
            <w:r>
              <w:t>Pass</w:t>
            </w:r>
          </w:p>
        </w:tc>
      </w:tr>
    </w:tbl>
    <w:p/>
    <w:p>
      <w:r>
        <w:br w:type="page"/>
      </w:r>
    </w:p>
    <w:p>
      <w:pPr>
        <w:pStyle w:val="Heading1"/>
      </w:pPr>
      <w:r>
        <w:t>CHAPTER III — SYSTEM DESIGN</w:t>
      </w:r>
    </w:p>
    <w:p>
      <w:pPr/>
      <w:r>
        <w:t>This chapter presents the complete system design of the Kuwait B2B Hub. It covers the behavioural models (sequence diagrams and activity model), the structural models (class diagram and component design), the data flow models, the architectural pattern, finite state machine specifications for the two core workflows, and prototype screenshots illustrating the delivered user interface.</w:t>
      </w:r>
    </w:p>
    <w:p>
      <w:pPr>
        <w:pStyle w:val="Heading2"/>
      </w:pPr>
      <w:r>
        <w:t>3.1  Sequence Diagrams</w:t>
      </w:r>
    </w:p>
    <w:p>
      <w:pPr/>
      <w:r>
        <w:t>Three sequence diagrams model the time-ordered message exchanges between system participants for the platform's most critical workflows. Each diagram is described narratively below; the corresponding rendered diagram is inserted as a figure placeholder for final production.</w:t>
      </w:r>
    </w:p>
    <w:p>
      <w:pPr>
        <w:pStyle w:val="Heading3"/>
      </w:pPr>
      <w:r>
        <w:t>3.1.1  User Registration &amp; Login (Figure 1)</w:t>
      </w:r>
    </w:p>
    <w:p>
      <w:pPr/>
      <w:r>
        <w:t>This diagram models two consecutive interactions: a new user registering an account (POST /api/auth/register) and an existing user logging in (POST /api/auth/login). Four participants are shown: Browser, API Server, Database, and Notification Service.</w:t>
      </w:r>
    </w:p>
    <w:p>
      <w:pPr/>
      <w:r>
        <w:t>Registration flow: The browser submits the registration form payload (name, email, password, role, company_name). The API validates all fields (400 if missing) then reads the database snapshot. If the email is already registered it returns 409 Conflict. Otherwise the API generates a user ID, creates the user record, and — if the role is brand_owner — also creates a pending brand record and a second admin notification. Verification status is set to 'approved' for buyers and 'pending' for brand owners. The API then writes the updated database and sets two HTTP-only session cookies (b2b_user_id with httpOnly=true, b2b_user_role with httpOnly=false) carrying a 7-day maxAge on the 200 response.</w:t>
      </w:r>
    </w:p>
    <w:p>
      <w:pPr/>
      <w:r>
        <w:t>Login flow: The browser submits email and password. The API reads the database, finds the matching user record, and compares credentials. On a match it attaches the same two session cookies to the 200 response. On a mismatch it returns 401 Invalid email or password. No database write occurs during a successful login — only cookies are set.</w:t>
      </w:r>
    </w:p>
    <w:p>
      <w:pPr/>
      <w:r>
        <w:t>Design note: the authentication for these routes is entirely custom — no Supabase Auth SDK calls are made in register/route.ts or login/route.ts. Sessions are established via HTTP-only cookies set directly on the NextResponse object.</w:t>
      </w:r>
    </w:p>
    <w:p/>
    <w:p>
      <w:pPr>
        <w:jc w:val="center"/>
      </w:pPr>
      <w:r>
        <w:rPr>
          <w:b/>
          <w:color w:val="888888"/>
          <w:sz w:val="22"/>
        </w:rPr>
        <w:t>[ FIGURE 1 — Sequence Diagram — User Registration &amp; Login ]</w:t>
      </w:r>
    </w:p>
    <w:p>
      <w:pPr>
        <w:jc w:val="center"/>
      </w:pPr>
      <w:r>
        <w:rPr>
          <w:i/>
          <w:color w:val="AAAAAA"/>
          <w:sz w:val="18"/>
        </w:rPr>
        <w:t>(Insert diagram image here)</w:t>
      </w:r>
    </w:p>
    <w:p/>
    <w:p>
      <w:pPr>
        <w:pStyle w:val="Heading3"/>
      </w:pPr>
      <w:r>
        <w:t>3.1.2  Order Placement &amp; Review Lifecycle (Figure 2)</w:t>
      </w:r>
    </w:p>
    <w:p>
      <w:pPr/>
      <w:r>
        <w:t>This diagram models the full buyer-to-brand order lifecycle across two phases: order submission and order status management. Four participants: Buyer, API Server, Database, Brand Owner.</w:t>
      </w:r>
    </w:p>
    <w:p>
      <w:pPr/>
      <w:r>
        <w:t>Order placement phase: The buyer sends POST /api/orders with brand_id and an items array. The API calls getCurrentUser() to resolve the session; if the role is not buyer it returns 403. The API reads the database to locate the brand (404 if not found or not approved). For each item in the order the API validates product membership in the brand, enforces MOQ (400 if quantity below minimum), enforces stock level (400 if insufficient), and resolves the unit price by iterating bulk_pricing_tiers to match the quantity range — falling back to the base product price if no tier matches. The API then inserts the order record and order items atomically, creates a 'new_order' notification for the brand owner, and returns 201 Created with the order object.</w:t>
      </w:r>
    </w:p>
    <w:p>
      <w:pPr/>
      <w:r>
        <w:t>Status update phase: The brand owner sends PATCH /api/orders/:id with a new status (approved, rejected, or completed). The API validates the role (403 if not brand_owner or admin), verifies the order belongs to the brand, updates the status, and dispatches a buyer notification whose type matches the new status: order_approved, order_rejected, or order_completed. The 'order_completed' notification includes a call-to-action prompting the buyer to leave a review.</w:t>
      </w:r>
    </w:p>
    <w:p/>
    <w:p>
      <w:pPr>
        <w:jc w:val="center"/>
      </w:pPr>
      <w:r>
        <w:rPr>
          <w:b/>
          <w:color w:val="888888"/>
          <w:sz w:val="22"/>
        </w:rPr>
        <w:t>[ FIGURE 2 — Sequence Diagram — Order Placement &amp; Review Lifecycle ]</w:t>
      </w:r>
    </w:p>
    <w:p>
      <w:pPr>
        <w:jc w:val="center"/>
      </w:pPr>
      <w:r>
        <w:rPr>
          <w:i/>
          <w:color w:val="AAAAAA"/>
          <w:sz w:val="18"/>
        </w:rPr>
        <w:t>(Insert diagram image here)</w:t>
      </w:r>
    </w:p>
    <w:p/>
    <w:p>
      <w:pPr>
        <w:pStyle w:val="Heading3"/>
      </w:pPr>
      <w:r>
        <w:t>3.1.3  Brand Verification (Figure 3)</w:t>
      </w:r>
    </w:p>
    <w:p>
      <w:pPr/>
      <w:r>
        <w:t>This diagram models the administrative brand verification workflow. Five participants: Admin, API Server, Database, Brand Owner, Notification Service.</w:t>
      </w:r>
    </w:p>
    <w:p>
      <w:pPr/>
      <w:r>
        <w:t>The admin sends PATCH /api/admin/brands/:id with a status field and an optional verification_tier. The API calls getCurrentUser() and returns 403 if the role is not admin. The API reads the database to locate the brand (404 if not found) and validates the status value (400 if not in {approved, rejected}). On approval: the API atomically updates brand.status = 'approved' and the owner's verification_status = 'approved', creates an 'account_approved' notification for the brand owner, and dispatches a 'new_brand' notification to every active buyer on the platform. The brand becomes visible on the marketplace immediately. On rejection: the status is set to 'rejected' on both records and only the brand owner receives an 'account_rejected' notification. If a verification_tier is provided in the request body, the API performs a second database read to obtain a fresh snapshot, updates the tier field, and persists — preventing stale-state overwrites.</w:t>
      </w:r>
    </w:p>
    <w:p/>
    <w:p>
      <w:pPr>
        <w:jc w:val="center"/>
      </w:pPr>
      <w:r>
        <w:rPr>
          <w:b/>
          <w:color w:val="888888"/>
          <w:sz w:val="22"/>
        </w:rPr>
        <w:t>[ FIGURE 3 — Sequence Diagram — Brand Verification ]</w:t>
      </w:r>
    </w:p>
    <w:p>
      <w:pPr>
        <w:jc w:val="center"/>
      </w:pPr>
      <w:r>
        <w:rPr>
          <w:i/>
          <w:color w:val="AAAAAA"/>
          <w:sz w:val="18"/>
        </w:rPr>
        <w:t>(Insert diagram image here)</w:t>
      </w:r>
    </w:p>
    <w:p/>
    <w:p>
      <w:pPr>
        <w:pStyle w:val="Heading2"/>
      </w:pPr>
      <w:r>
        <w:t>3.2  Data Flow Model</w:t>
      </w:r>
    </w:p>
    <w:p>
      <w:pPr/>
      <w:r>
        <w:t>Data Flow Diagrams (DFDs) decompose the system into processes, data stores, and external entities, showing how data moves through the platform. Two levels are presented: Level 0 (Context Diagram) and Level 1 (sub-process decomposition).</w:t>
      </w:r>
    </w:p>
    <w:p>
      <w:pPr>
        <w:pStyle w:val="Heading3"/>
      </w:pPr>
      <w:r>
        <w:t>3.2.1  DFD Level 0 — Context Diagram (Figure 4)</w:t>
      </w:r>
    </w:p>
    <w:p>
      <w:pPr/>
      <w:r>
        <w:t>At the context level the Kuwait B2B Hub is treated as a single process 'B2B Platform' sitting at the centre of four external entities:</w:t>
      </w:r>
    </w:p>
    <w:tbl>
      <w:tblPr>
        <w:tblStyle w:val="TableGrid"/>
        <w:tblW w:type="auto" w:w="0"/>
        <w:tblLook w:firstColumn="1" w:firstRow="1" w:lastColumn="0" w:lastRow="0" w:noHBand="0" w:noVBand="1" w:val="04A0"/>
      </w:tblPr>
      <w:tblGrid>
        <w:gridCol w:w="2880"/>
        <w:gridCol w:w="2880"/>
        <w:gridCol w:w="2880"/>
      </w:tblGrid>
      <w:tr>
        <w:tc>
          <w:tcPr>
            <w:tcW w:type="dxa" w:w="2016"/>
          </w:tcPr>
          <w:p>
            <w:r>
              <w:rPr>
                <w:b/>
              </w:rPr>
              <w:t>External Entity</w:t>
            </w:r>
          </w:p>
        </w:tc>
        <w:tc>
          <w:tcPr>
            <w:tcW w:type="dxa" w:w="3888"/>
          </w:tcPr>
          <w:p>
            <w:r>
              <w:rPr>
                <w:b/>
              </w:rPr>
              <w:t>Data Flows INTO Platform</w:t>
            </w:r>
          </w:p>
        </w:tc>
        <w:tc>
          <w:tcPr>
            <w:tcW w:type="dxa" w:w="3456"/>
          </w:tcPr>
          <w:p>
            <w:r>
              <w:rPr>
                <w:b/>
              </w:rPr>
              <w:t>Data Flows OUT OF Platform</w:t>
            </w:r>
          </w:p>
        </w:tc>
      </w:tr>
      <w:tr>
        <w:tc>
          <w:tcPr>
            <w:tcW w:type="dxa" w:w="2016"/>
          </w:tcPr>
          <w:p>
            <w:r>
              <w:t>Business Buyers</w:t>
            </w:r>
          </w:p>
        </w:tc>
        <w:tc>
          <w:tcPr>
            <w:tcW w:type="dxa" w:w="3888"/>
          </w:tcPr>
          <w:p>
            <w:r>
              <w:t>Registration data; login credentials; search/filter queries; order requests (brand_id, product_id, quantity); review submissions (rating, content, anonymous flag); notification read events.</w:t>
            </w:r>
          </w:p>
        </w:tc>
        <w:tc>
          <w:tcPr>
            <w:tcW w:type="dxa" w:w="3456"/>
          </w:tcPr>
          <w:p>
            <w:r>
              <w:t>Session cookies; brand/product catalogue listings; order confirmations and status updates; notifications; trust scores; multi-currency prices.</w:t>
            </w:r>
          </w:p>
        </w:tc>
      </w:tr>
      <w:tr>
        <w:tc>
          <w:tcPr>
            <w:tcW w:type="dxa" w:w="2016"/>
          </w:tcPr>
          <w:p>
            <w:r>
              <w:t>Brand Owners</w:t>
            </w:r>
          </w:p>
        </w:tc>
        <w:tc>
          <w:tcPr>
            <w:tcW w:type="dxa" w:w="3888"/>
          </w:tcPr>
          <w:p>
            <w:r>
              <w:t>Brand profile data; product listings (name, price, MOQ, stock, tiers); order status updates (approved / rejected / completed); review replies; Excel catalogue files.</w:t>
            </w:r>
          </w:p>
        </w:tc>
        <w:tc>
          <w:tcPr>
            <w:tcW w:type="dxa" w:w="3456"/>
          </w:tcPr>
          <w:p>
            <w:r>
              <w:t>Session cookies; order request details; review notifications; brand analytics dashboard data; trust score and badge assignments.</w:t>
            </w:r>
          </w:p>
        </w:tc>
      </w:tr>
      <w:tr>
        <w:tc>
          <w:tcPr>
            <w:tcW w:type="dxa" w:w="2016"/>
          </w:tcPr>
          <w:p>
            <w:r>
              <w:t>Admin Users</w:t>
            </w:r>
          </w:p>
        </w:tc>
        <w:tc>
          <w:tcPr>
            <w:tcW w:type="dxa" w:w="3888"/>
          </w:tcPr>
          <w:p>
            <w:r>
              <w:t>Brand verification decisions (approve/reject, tier); user management actions; review moderation commands (flag, remove).</w:t>
            </w:r>
          </w:p>
        </w:tc>
        <w:tc>
          <w:tcPr>
            <w:tcW w:type="dxa" w:w="3456"/>
          </w:tcPr>
          <w:p>
            <w:r>
              <w:t>Pending brand queue; platform-wide analytics (user count, order volume, revenue); review moderation queue.</w:t>
            </w:r>
          </w:p>
        </w:tc>
      </w:tr>
      <w:tr>
        <w:tc>
          <w:tcPr>
            <w:tcW w:type="dxa" w:w="2016"/>
          </w:tcPr>
          <w:p>
            <w:r>
              <w:t>External Services</w:t>
            </w:r>
          </w:p>
        </w:tc>
        <w:tc>
          <w:tcPr>
            <w:tcW w:type="dxa" w:w="3888"/>
          </w:tcPr>
          <w:p>
            <w:r>
              <w:t>JWT session validation responses (Supabase Auth); PostgreSQL query results (Supabase DB); live GCC currency exchange rates (Exchange Rate API).</w:t>
            </w:r>
          </w:p>
        </w:tc>
        <w:tc>
          <w:tcPr>
            <w:tcW w:type="dxa" w:w="3456"/>
          </w:tcPr>
          <w:p>
            <w:r>
              <w:t>JWT authentication requests; database read/write queries; WhatsApp contact deep-links; Git push triggers for Vercel CI/CD pipeline.</w:t>
            </w:r>
          </w:p>
        </w:tc>
      </w:tr>
    </w:tbl>
    <w:p/>
    <w:p/>
    <w:p>
      <w:pPr>
        <w:jc w:val="center"/>
      </w:pPr>
      <w:r>
        <w:rPr>
          <w:b/>
          <w:color w:val="888888"/>
          <w:sz w:val="22"/>
        </w:rPr>
        <w:t>[ FIGURE 4 — DFD Level 0 — Context Diagram ]</w:t>
      </w:r>
    </w:p>
    <w:p>
      <w:pPr>
        <w:jc w:val="center"/>
      </w:pPr>
      <w:r>
        <w:rPr>
          <w:i/>
          <w:color w:val="AAAAAA"/>
          <w:sz w:val="18"/>
        </w:rPr>
        <w:t>(Insert diagram image here)</w:t>
      </w:r>
    </w:p>
    <w:p/>
    <w:p>
      <w:pPr>
        <w:pStyle w:val="Heading3"/>
      </w:pPr>
      <w:r>
        <w:t>3.2.2  DFD Level 1 — Sub-Process Decomposition (Figure 5)</w:t>
      </w:r>
    </w:p>
    <w:p>
      <w:pPr/>
      <w:r>
        <w:t>At Level 1 the single 'B2B Platform' process is decomposed into five sub-processes, each corresponding to a platform subsystem. Three data stores are shared across processes:</w:t>
      </w:r>
    </w:p>
    <w:tbl>
      <w:tblPr>
        <w:tblStyle w:val="TableGrid"/>
        <w:tblW w:type="auto" w:w="0"/>
        <w:tblLook w:firstColumn="1" w:firstRow="1" w:lastColumn="0" w:lastRow="0" w:noHBand="0" w:noVBand="1" w:val="04A0"/>
      </w:tblPr>
      <w:tblGrid>
        <w:gridCol w:w="4320"/>
        <w:gridCol w:w="4320"/>
      </w:tblGrid>
      <w:tr>
        <w:tc>
          <w:tcPr>
            <w:tcW w:type="dxa" w:w="2592"/>
          </w:tcPr>
          <w:p>
            <w:r>
              <w:rPr>
                <w:b/>
              </w:rPr>
              <w:t>Data Store</w:t>
            </w:r>
          </w:p>
        </w:tc>
        <w:tc>
          <w:tcPr>
            <w:tcW w:type="dxa" w:w="6768"/>
          </w:tcPr>
          <w:p>
            <w:r>
              <w:rPr>
                <w:b/>
              </w:rPr>
              <w:t>Contents</w:t>
            </w:r>
          </w:p>
        </w:tc>
      </w:tr>
      <w:tr>
        <w:tc>
          <w:tcPr>
            <w:tcW w:type="dxa" w:w="2592"/>
          </w:tcPr>
          <w:p>
            <w:r>
              <w:t>DS-1 Users &amp; Sessions</w:t>
            </w:r>
          </w:p>
        </w:tc>
        <w:tc>
          <w:tcPr>
            <w:tcW w:type="dxa" w:w="6768"/>
          </w:tcPr>
          <w:p>
            <w:r>
              <w:t>User profiles (id, name, email, password_hash, role, company_name, verification_status, created_at); active session cookie references.</w:t>
            </w:r>
          </w:p>
        </w:tc>
      </w:tr>
      <w:tr>
        <w:tc>
          <w:tcPr>
            <w:tcW w:type="dxa" w:w="2592"/>
          </w:tcPr>
          <w:p>
            <w:r>
              <w:t>DS-2 Brands &amp; Products</w:t>
            </w:r>
          </w:p>
        </w:tc>
        <w:tc>
          <w:tcPr>
            <w:tcW w:type="dxa" w:w="6768"/>
          </w:tcPr>
          <w:p>
            <w:r>
              <w:t>Brand records (id, owner_id, brand_name, status, verification_tier, whatsapp_clicks, ...); Product records (id, brand_id, name, price, moq, stock, bulk_pricing_tiers[], ...).</w:t>
            </w:r>
          </w:p>
        </w:tc>
      </w:tr>
      <w:tr>
        <w:tc>
          <w:tcPr>
            <w:tcW w:type="dxa" w:w="2592"/>
          </w:tcPr>
          <w:p>
            <w:r>
              <w:t>DS-3 Orders, Reviews &amp; Notifications</w:t>
            </w:r>
          </w:p>
        </w:tc>
        <w:tc>
          <w:tcPr>
            <w:tcW w:type="dxa" w:w="6768"/>
          </w:tcPr>
          <w:p>
            <w:r>
              <w:t>Order records + Order Items; Review records (with anonymous flag and brand_reply); Notification records (user_id, type, read, action_url); Message records.</w:t>
            </w:r>
          </w:p>
        </w:tc>
      </w:tr>
    </w:tbl>
    <w:p/>
    <w:p>
      <w:pPr/>
      <w:r>
        <w:t>Sub-processes and their data flows: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Process</w:t>
            </w:r>
          </w:p>
        </w:tc>
        <w:tc>
          <w:tcPr>
            <w:tcW w:type="dxa" w:w="2736"/>
          </w:tcPr>
          <w:p>
            <w:r>
              <w:rPr>
                <w:b/>
              </w:rPr>
              <w:t>Inputs</w:t>
            </w:r>
          </w:p>
        </w:tc>
        <w:tc>
          <w:tcPr>
            <w:tcW w:type="dxa" w:w="2736"/>
          </w:tcPr>
          <w:p>
            <w:r>
              <w:rPr>
                <w:b/>
              </w:rPr>
              <w:t>Outputs</w:t>
            </w:r>
          </w:p>
        </w:tc>
        <w:tc>
          <w:tcPr>
            <w:tcW w:type="dxa" w:w="1728"/>
          </w:tcPr>
          <w:p>
            <w:r>
              <w:rPr>
                <w:b/>
              </w:rPr>
              <w:t>Reads / Writes</w:t>
            </w:r>
          </w:p>
        </w:tc>
      </w:tr>
      <w:tr>
        <w:tc>
          <w:tcPr>
            <w:tcW w:type="dxa" w:w="2160"/>
          </w:tcPr>
          <w:p>
            <w:r>
              <w:t>P1 Authentication &amp; User Mgmt</w:t>
            </w:r>
          </w:p>
        </w:tc>
        <w:tc>
          <w:tcPr>
            <w:tcW w:type="dxa" w:w="2736"/>
          </w:tcPr>
          <w:p>
            <w:r>
              <w:t>Registration form; login credentials; session cookie</w:t>
            </w:r>
          </w:p>
        </w:tc>
        <w:tc>
          <w:tcPr>
            <w:tcW w:type="dxa" w:w="2736"/>
          </w:tcPr>
          <w:p>
            <w:r>
              <w:t>Session cookies; user profile; admin notifications</w:t>
            </w:r>
          </w:p>
        </w:tc>
        <w:tc>
          <w:tcPr>
            <w:tcW w:type="dxa" w:w="1728"/>
          </w:tcPr>
          <w:p>
            <w:r>
              <w:t>Reads + Writes DS-1</w:t>
            </w:r>
          </w:p>
        </w:tc>
      </w:tr>
      <w:tr>
        <w:tc>
          <w:tcPr>
            <w:tcW w:type="dxa" w:w="2160"/>
          </w:tcPr>
          <w:p>
            <w:r>
              <w:t>P2 Brand Management</w:t>
            </w:r>
          </w:p>
        </w:tc>
        <w:tc>
          <w:tcPr>
            <w:tcW w:type="dxa" w:w="2736"/>
          </w:tcPr>
          <w:p>
            <w:r>
              <w:t>Brand profile updates; verification decisions; WhatsApp click events</w:t>
            </w:r>
          </w:p>
        </w:tc>
        <w:tc>
          <w:tcPr>
            <w:tcW w:type="dxa" w:w="2736"/>
          </w:tcPr>
          <w:p>
            <w:r>
              <w:t>Updated brand records; brand owner / buyer notifications; marketplace listings</w:t>
            </w:r>
          </w:p>
        </w:tc>
        <w:tc>
          <w:tcPr>
            <w:tcW w:type="dxa" w:w="1728"/>
          </w:tcPr>
          <w:p>
            <w:r>
              <w:t>Reads + Writes DS-1, DS-2</w:t>
            </w:r>
          </w:p>
        </w:tc>
      </w:tr>
      <w:tr>
        <w:tc>
          <w:tcPr>
            <w:tcW w:type="dxa" w:w="2160"/>
          </w:tcPr>
          <w:p>
            <w:r>
              <w:t>P3 Product &amp; Order Management</w:t>
            </w:r>
          </w:p>
        </w:tc>
        <w:tc>
          <w:tcPr>
            <w:tcW w:type="dxa" w:w="2736"/>
          </w:tcPr>
          <w:p>
            <w:r>
              <w:t>Product CRUD payloads; Excel import files; order requests; status updates</w:t>
            </w:r>
          </w:p>
        </w:tc>
        <w:tc>
          <w:tcPr>
            <w:tcW w:type="dxa" w:w="2736"/>
          </w:tcPr>
          <w:p>
            <w:r>
              <w:t>Product records; order confirmations; status notifications; analytics data</w:t>
            </w:r>
          </w:p>
        </w:tc>
        <w:tc>
          <w:tcPr>
            <w:tcW w:type="dxa" w:w="1728"/>
          </w:tcPr>
          <w:p>
            <w:r>
              <w:t>Reads + Writes DS-2, DS-3</w:t>
            </w:r>
          </w:p>
        </w:tc>
      </w:tr>
      <w:tr>
        <w:tc>
          <w:tcPr>
            <w:tcW w:type="dxa" w:w="2160"/>
          </w:tcPr>
          <w:p>
            <w:r>
              <w:t>P4 Trust, Reviews &amp; Reputation</w:t>
            </w:r>
          </w:p>
        </w:tc>
        <w:tc>
          <w:tcPr>
            <w:tcW w:type="dxa" w:w="2736"/>
          </w:tcPr>
          <w:p>
            <w:r>
              <w:t>Review submissions; review replies; moderation commands; order history</w:t>
            </w:r>
          </w:p>
        </w:tc>
        <w:tc>
          <w:tcPr>
            <w:tcW w:type="dxa" w:w="2736"/>
          </w:tcPr>
          <w:p>
            <w:r>
              <w:t>Active reviews; brand replies; trust scores; buyer trust profiles; badges</w:t>
            </w:r>
          </w:p>
        </w:tc>
        <w:tc>
          <w:tcPr>
            <w:tcW w:type="dxa" w:w="1728"/>
          </w:tcPr>
          <w:p>
            <w:r>
              <w:t>Reads DS-3; Writes DS-3</w:t>
            </w:r>
          </w:p>
        </w:tc>
      </w:tr>
      <w:tr>
        <w:tc>
          <w:tcPr>
            <w:tcW w:type="dxa" w:w="2160"/>
          </w:tcPr>
          <w:p>
            <w:r>
              <w:t>P5 Notifications &amp; Real-Time</w:t>
            </w:r>
          </w:p>
        </w:tc>
        <w:tc>
          <w:tcPr>
            <w:tcW w:type="dxa" w:w="2736"/>
          </w:tcPr>
          <w:p>
            <w:r>
              <w:t>System events from P1–P4; notification read events</w:t>
            </w:r>
          </w:p>
        </w:tc>
        <w:tc>
          <w:tcPr>
            <w:tcW w:type="dxa" w:w="2736"/>
          </w:tcPr>
          <w:p>
            <w:r>
              <w:t>Notification panel content; unread badge count; real-time delivery (planned)</w:t>
            </w:r>
          </w:p>
        </w:tc>
        <w:tc>
          <w:tcPr>
            <w:tcW w:type="dxa" w:w="1728"/>
          </w:tcPr>
          <w:p>
            <w:r>
              <w:t>Reads + Writes DS-3</w:t>
            </w:r>
          </w:p>
        </w:tc>
      </w:tr>
    </w:tbl>
    <w:p/>
    <w:p/>
    <w:p>
      <w:pPr>
        <w:jc w:val="center"/>
      </w:pPr>
      <w:r>
        <w:rPr>
          <w:b/>
          <w:color w:val="888888"/>
          <w:sz w:val="22"/>
        </w:rPr>
        <w:t>[ FIGURE 5 — DFD Level 1 — Sub-Process Decomposition ]</w:t>
      </w:r>
    </w:p>
    <w:p>
      <w:pPr>
        <w:jc w:val="center"/>
      </w:pPr>
      <w:r>
        <w:rPr>
          <w:i/>
          <w:color w:val="AAAAAA"/>
          <w:sz w:val="18"/>
        </w:rPr>
        <w:t>(Insert diagram image here)</w:t>
      </w:r>
    </w:p>
    <w:p/>
    <w:p>
      <w:pPr>
        <w:pStyle w:val="Heading2"/>
      </w:pPr>
      <w:r>
        <w:t>3.3  Architectural Pattern</w:t>
      </w:r>
    </w:p>
    <w:p>
      <w:pPr/>
      <w:r>
        <w:t>The Kuwait B2B Hub adopts a four-layer MVC-inspired architecture implemented on the Next.js 16 App Router platform. The design draws on the Model-View-Controller pattern while adapting it to the constraints and capabilities of a server-rendered, serverless deployment environment.</w:t>
      </w:r>
    </w:p>
    <w:p>
      <w:pPr>
        <w:pStyle w:val="Heading3"/>
      </w:pPr>
      <w:r>
        <w:t>3.3.1  Layer Mapping to MVC Concepts</w:t>
      </w:r>
    </w:p>
    <w:tbl>
      <w:tblPr>
        <w:tblStyle w:val="TableGrid"/>
        <w:tblW w:type="auto" w:w="0"/>
        <w:tblLook w:firstColumn="1" w:firstRow="1" w:lastColumn="0" w:lastRow="0" w:noHBand="0" w:noVBand="1" w:val="04A0"/>
      </w:tblPr>
      <w:tblGrid>
        <w:gridCol w:w="2880"/>
        <w:gridCol w:w="2880"/>
        <w:gridCol w:w="2880"/>
      </w:tblGrid>
      <w:tr>
        <w:tc>
          <w:tcPr>
            <w:tcW w:type="dxa" w:w="1872"/>
          </w:tcPr>
          <w:p>
            <w:r>
              <w:rPr>
                <w:b/>
              </w:rPr>
              <w:t>MVC Concept</w:t>
            </w:r>
          </w:p>
        </w:tc>
        <w:tc>
          <w:tcPr>
            <w:tcW w:type="dxa" w:w="4896"/>
          </w:tcPr>
          <w:p>
            <w:r>
              <w:rPr>
                <w:b/>
              </w:rPr>
              <w:t>Kuwait B2B Hub Realisation</w:t>
            </w:r>
          </w:p>
        </w:tc>
        <w:tc>
          <w:tcPr>
            <w:tcW w:type="dxa" w:w="2592"/>
          </w:tcPr>
          <w:p>
            <w:r>
              <w:rPr>
                <w:b/>
              </w:rPr>
              <w:t>Key Files</w:t>
            </w:r>
          </w:p>
        </w:tc>
      </w:tr>
      <w:tr>
        <w:tc>
          <w:tcPr>
            <w:tcW w:type="dxa" w:w="1872"/>
          </w:tcPr>
          <w:p>
            <w:r>
              <w:t>Model</w:t>
            </w:r>
          </w:p>
        </w:tc>
        <w:tc>
          <w:tcPr>
            <w:tcW w:type="dxa" w:w="4896"/>
          </w:tcPr>
          <w:p>
            <w:r>
              <w:t>TypeScript interfaces defined in src/lib/db.ts constitute the data model. Each interface (User, Brand, Product, Order, OrderItem, Review, Notification, BrandTrust, BuyerTrust, Message) serves as a compile-time contract enforced across all layers. The readDB() / writeDB() abstraction acts as the repository layer between the model and the underlying storage.</w:t>
            </w:r>
          </w:p>
        </w:tc>
        <w:tc>
          <w:tcPr>
            <w:tcW w:type="dxa" w:w="2592"/>
          </w:tcPr>
          <w:p>
            <w:r>
              <w:t>src/lib/db.ts</w:t>
            </w:r>
          </w:p>
        </w:tc>
      </w:tr>
      <w:tr>
        <w:tc>
          <w:tcPr>
            <w:tcW w:type="dxa" w:w="1872"/>
          </w:tcPr>
          <w:p>
            <w:r>
              <w:t>View</w:t>
            </w:r>
          </w:p>
        </w:tc>
        <w:tc>
          <w:tcPr>
            <w:tcW w:type="dxa" w:w="4896"/>
          </w:tcPr>
          <w:p>
            <w:r>
              <w:t>React/TSX components and Next.js page routes render all UI. Server Components generate SSR HTML on first load for SEO and performance; Client Components add interactivity via browser-side hydration. CSS Modules provide scoped styling without a utility-class framework dependency.</w:t>
            </w:r>
          </w:p>
        </w:tc>
        <w:tc>
          <w:tcPr>
            <w:tcW w:type="dxa" w:w="2592"/>
          </w:tcPr>
          <w:p>
            <w:r>
              <w:t>src/app/**/page.tsx; src/components/*.tsx</w:t>
            </w:r>
          </w:p>
        </w:tc>
      </w:tr>
      <w:tr>
        <w:tc>
          <w:tcPr>
            <w:tcW w:type="dxa" w:w="1872"/>
          </w:tcPr>
          <w:p>
            <w:r>
              <w:t>Controller</w:t>
            </w:r>
          </w:p>
        </w:tc>
        <w:tc>
          <w:tcPr>
            <w:tcW w:type="dxa" w:w="4896"/>
          </w:tcPr>
          <w:p>
            <w:r>
              <w:t>Next.js App Router Route Handlers serve as controllers, receiving HTTP requests, applying RBAC guards, delegating to the data layer, and returning JSON responses. src/middleware.ts acts as a front-controller intercepting all requests for session validation before routing proceeds.</w:t>
            </w:r>
          </w:p>
        </w:tc>
        <w:tc>
          <w:tcPr>
            <w:tcW w:type="dxa" w:w="2592"/>
          </w:tcPr>
          <w:p>
            <w:r>
              <w:t>src/app/api/**/route.ts; src/middleware.ts</w:t>
            </w:r>
          </w:p>
        </w:tc>
      </w:tr>
      <w:tr>
        <w:tc>
          <w:tcPr>
            <w:tcW w:type="dxa" w:w="1872"/>
          </w:tcPr>
          <w:p>
            <w:r>
              <w:t>Service / Infrastructure</w:t>
            </w:r>
          </w:p>
        </w:tc>
        <w:tc>
          <w:tcPr>
            <w:tcW w:type="dxa" w:w="4896"/>
          </w:tcPr>
          <w:p>
            <w:r>
              <w:t>Cross-cutting concerns (auth resolution, notification creation, currency formatting, ID generation) are encapsulated in src/lib/* utility modules consumed by controllers. Supabase and Vercel constitute the infrastructure layer beyond the application boundary.</w:t>
            </w:r>
          </w:p>
        </w:tc>
        <w:tc>
          <w:tcPr>
            <w:tcW w:type="dxa" w:w="2592"/>
          </w:tcPr>
          <w:p>
            <w:r>
              <w:t>src/lib/auth.ts; src/lib/notifications.ts; src/lib/currencies.ts</w:t>
            </w:r>
          </w:p>
        </w:tc>
      </w:tr>
    </w:tbl>
    <w:p/>
    <w:p>
      <w:pPr>
        <w:pStyle w:val="Heading3"/>
      </w:pPr>
      <w:r>
        <w:t>3.3.2  Next.js App Router Design Decisions</w:t>
      </w:r>
    </w:p>
    <w:p>
      <w:pPr>
        <w:pStyle w:val="ListBullet"/>
      </w:pPr>
      <w:r>
        <w:t>Server Components are used for all data-fetching pages (marketplace, brand profiles, order listings), eliminating client-side loading spinners and enabling immediate content-available rendering for search engine crawlers.</w:t>
      </w:r>
    </w:p>
    <w:p>
      <w:pPr>
        <w:pStyle w:val="ListBullet"/>
      </w:pPr>
      <w:r>
        <w:t>Client Components are restricted to interactive UI (notification bell, currency selector, review modal, order quantity input) where browser event listeners are required. The use='client' directive is applied only where necessary.</w:t>
      </w:r>
    </w:p>
    <w:p>
      <w:pPr>
        <w:pStyle w:val="ListBullet"/>
      </w:pPr>
      <w:r>
        <w:t>API Route Handlers replace a separate Express or Fastify server, enabling co-location of frontend and backend code in a single repository and a single Vercel deployment. All 25 handlers are stateless serverless functions.</w:t>
      </w:r>
    </w:p>
    <w:p>
      <w:pPr>
        <w:pStyle w:val="ListBullet"/>
      </w:pPr>
      <w:r>
        <w:t>Middleware (src/middleware.ts) runs at the edge before any route handler, validating the b2b_user_id cookie and redirecting unauthenticated requests to /login — providing a uniform auth gate without duplicating guard logic in every handler.</w:t>
      </w:r>
    </w:p>
    <w:p>
      <w:pPr>
        <w:pStyle w:val="ListBullet"/>
      </w:pPr>
      <w:r>
        <w:t>The @/ path alias (configured in tsconfig.json paths) enables absolute imports across all 93 source files, eliminating fragile relative path chains and simplifying refactoring.</w:t>
      </w:r>
    </w:p>
    <w:p>
      <w:pPr>
        <w:pStyle w:val="Heading2"/>
      </w:pPr>
      <w:r>
        <w:t>3.4  Activity / Process Model — Order Placement</w:t>
      </w:r>
    </w:p>
    <w:p>
      <w:pPr/>
      <w:r>
        <w:t>The activity diagram below models the decision-heavy order placement workflow, capturing all guards, error paths, and database writes that occur between a buyer initiating an order and the system returning a 201 Created response. This workflow is implemented in the POST handler of src/app/api/orders/route.ts.</w:t>
      </w:r>
    </w:p>
    <w:p>
      <w:pPr/>
      <w:r>
        <w:t>Process narrative: The buyer navigates to a brand's product page and enters an order quantity. The system first checks whether the entered quantity meets the product's minimum order quantity (MOQ). If the quantity is below the MOQ, the system displays an error (e.g., 'Minimum order quantity is N units') and the workflow terminates with no database writes. If the MOQ is satisfied, the system checks whether the requested quantity is available in stock. If the stock is insufficient the system displays a stock error and terminates. When both guards pass, the system iterates the product's bulk_pricing_tiers[] array to find the tier whose min_qty ≤ quantity ≤ max_qty and assigns that tier's price as the unit price. If no tier matches, the base product.price is used as the fallback. The system calculates the total order amount as the sum of (unit_price × quantity) across all order items. The system then performs two sequential database writes: (1) INSERT an order record with status='pending' and the computed total_amount; (2) INSERT the corresponding order_items rows. Finally, the system dispatches a 'new_order' notification to the brand owner and returns a 201 Created response with the full order object.</w:t>
      </w:r>
    </w:p>
    <w:p/>
    <w:p>
      <w:pPr>
        <w:jc w:val="center"/>
      </w:pPr>
      <w:r>
        <w:rPr>
          <w:b/>
          <w:color w:val="888888"/>
          <w:sz w:val="22"/>
        </w:rPr>
        <w:t>[ FIGURE 6 — Activity Diagram — Order Placement ]</w:t>
      </w:r>
    </w:p>
    <w:p>
      <w:pPr>
        <w:jc w:val="center"/>
      </w:pPr>
      <w:r>
        <w:rPr>
          <w:i/>
          <w:color w:val="AAAAAA"/>
          <w:sz w:val="18"/>
        </w:rPr>
        <w:t>(Insert diagram image here)</w:t>
      </w:r>
    </w:p>
    <w:p/>
    <w:p>
      <w:pPr>
        <w:pStyle w:val="Heading2"/>
      </w:pPr>
      <w:r>
        <w:t>3.5  Finite State Machine (FSM) Specifications</w:t>
      </w:r>
    </w:p>
    <w:p>
      <w:pPr/>
      <w:r>
        <w:t>Two finite state machines formally specify the permissible state transitions for the Kuwait B2B Hub's two principal lifecycle entities: orders and brand verification records. Both are modelled as Mealy machines — outputs (notifications and database writes) are associated with transitions rather than states.</w:t>
      </w:r>
    </w:p>
    <w:p>
      <w:pPr>
        <w:pStyle w:val="Heading3"/>
      </w:pPr>
      <w:r>
        <w:t>3.5.1  Order Lifecycle FSM</w:t>
      </w:r>
    </w:p>
    <w:p>
      <w:pPr/>
      <w:r>
        <w:t>States: pending (initial), approved, rejected, completed (terminal), trust_updated (silent terminal). An order is created in the pending state by the POST /api/orders handler and can only be advanced forward — no backward transitions are permitted.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Transition #</w:t>
            </w:r>
          </w:p>
        </w:tc>
        <w:tc>
          <w:tcPr>
            <w:tcW w:type="dxa" w:w="1152"/>
          </w:tcPr>
          <w:p>
            <w:r>
              <w:rPr>
                <w:b/>
              </w:rPr>
              <w:t>From State</w:t>
            </w:r>
          </w:p>
        </w:tc>
        <w:tc>
          <w:tcPr>
            <w:tcW w:type="dxa" w:w="2592"/>
          </w:tcPr>
          <w:p>
            <w:r>
              <w:rPr>
                <w:b/>
              </w:rPr>
              <w:t>Event / Trigger</w:t>
            </w:r>
          </w:p>
        </w:tc>
        <w:tc>
          <w:tcPr>
            <w:tcW w:type="dxa" w:w="1296"/>
          </w:tcPr>
          <w:p>
            <w:r>
              <w:rPr>
                <w:b/>
              </w:rPr>
              <w:t>Actor</w:t>
            </w:r>
          </w:p>
        </w:tc>
        <w:tc>
          <w:tcPr>
            <w:tcW w:type="dxa" w:w="1152"/>
          </w:tcPr>
          <w:p>
            <w:r>
              <w:rPr>
                <w:b/>
              </w:rPr>
              <w:t>To State</w:t>
            </w:r>
          </w:p>
        </w:tc>
        <w:tc>
          <w:tcPr>
            <w:tcW w:type="dxa" w:w="2304"/>
          </w:tcPr>
          <w:p>
            <w:r>
              <w:rPr>
                <w:b/>
              </w:rPr>
              <w:t>Output / Side-Effect</w:t>
            </w:r>
          </w:p>
        </w:tc>
      </w:tr>
      <w:tr>
        <w:tc>
          <w:tcPr>
            <w:tcW w:type="dxa" w:w="864"/>
          </w:tcPr>
          <w:p>
            <w:r>
              <w:t>T-01</w:t>
            </w:r>
          </w:p>
        </w:tc>
        <w:tc>
          <w:tcPr>
            <w:tcW w:type="dxa" w:w="1152"/>
          </w:tcPr>
          <w:p>
            <w:r>
              <w:t>—  (none)</w:t>
            </w:r>
          </w:p>
        </w:tc>
        <w:tc>
          <w:tcPr>
            <w:tcW w:type="dxa" w:w="2592"/>
          </w:tcPr>
          <w:p>
            <w:r>
              <w:t>POST /api/orders succeeds — buyer submits order</w:t>
            </w:r>
          </w:p>
        </w:tc>
        <w:tc>
          <w:tcPr>
            <w:tcW w:type="dxa" w:w="1296"/>
          </w:tcPr>
          <w:p>
            <w:r>
              <w:t>Buyer</w:t>
            </w:r>
          </w:p>
        </w:tc>
        <w:tc>
          <w:tcPr>
            <w:tcW w:type="dxa" w:w="1152"/>
          </w:tcPr>
          <w:p>
            <w:r>
              <w:t>pending</w:t>
            </w:r>
          </w:p>
        </w:tc>
        <w:tc>
          <w:tcPr>
            <w:tcW w:type="dxa" w:w="2304"/>
          </w:tcPr>
          <w:p>
            <w:r>
              <w:t>INSERT order + order_items; notify brand owner: 'New Order Received!'</w:t>
            </w:r>
          </w:p>
        </w:tc>
      </w:tr>
      <w:tr>
        <w:tc>
          <w:tcPr>
            <w:tcW w:type="dxa" w:w="864"/>
          </w:tcPr>
          <w:p>
            <w:r>
              <w:t>T-02</w:t>
            </w:r>
          </w:p>
        </w:tc>
        <w:tc>
          <w:tcPr>
            <w:tcW w:type="dxa" w:w="1152"/>
          </w:tcPr>
          <w:p>
            <w:r>
              <w:t>pending</w:t>
            </w:r>
          </w:p>
        </w:tc>
        <w:tc>
          <w:tcPr>
            <w:tcW w:type="dxa" w:w="2592"/>
          </w:tcPr>
          <w:p>
            <w:r>
              <w:t>PATCH /api/orders/:id {status: 'approved'}</w:t>
            </w:r>
          </w:p>
        </w:tc>
        <w:tc>
          <w:tcPr>
            <w:tcW w:type="dxa" w:w="1296"/>
          </w:tcPr>
          <w:p>
            <w:r>
              <w:t>Brand Owner</w:t>
            </w:r>
          </w:p>
        </w:tc>
        <w:tc>
          <w:tcPr>
            <w:tcW w:type="dxa" w:w="1152"/>
          </w:tcPr>
          <w:p>
            <w:r>
              <w:t>approved</w:t>
            </w:r>
          </w:p>
        </w:tc>
        <w:tc>
          <w:tcPr>
            <w:tcW w:type="dxa" w:w="2304"/>
          </w:tcPr>
          <w:p>
            <w:r>
              <w:t>UPDATE order.status; notify buyer: 'Order Approved!'</w:t>
            </w:r>
          </w:p>
        </w:tc>
      </w:tr>
      <w:tr>
        <w:tc>
          <w:tcPr>
            <w:tcW w:type="dxa" w:w="864"/>
          </w:tcPr>
          <w:p>
            <w:r>
              <w:t>T-03</w:t>
            </w:r>
          </w:p>
        </w:tc>
        <w:tc>
          <w:tcPr>
            <w:tcW w:type="dxa" w:w="1152"/>
          </w:tcPr>
          <w:p>
            <w:r>
              <w:t>pending</w:t>
            </w:r>
          </w:p>
        </w:tc>
        <w:tc>
          <w:tcPr>
            <w:tcW w:type="dxa" w:w="2592"/>
          </w:tcPr>
          <w:p>
            <w:r>
              <w:t>PATCH /api/orders/:id {status: 'rejected'}</w:t>
            </w:r>
          </w:p>
        </w:tc>
        <w:tc>
          <w:tcPr>
            <w:tcW w:type="dxa" w:w="1296"/>
          </w:tcPr>
          <w:p>
            <w:r>
              <w:t>Brand Owner</w:t>
            </w:r>
          </w:p>
        </w:tc>
        <w:tc>
          <w:tcPr>
            <w:tcW w:type="dxa" w:w="1152"/>
          </w:tcPr>
          <w:p>
            <w:r>
              <w:t>rejected</w:t>
            </w:r>
          </w:p>
        </w:tc>
        <w:tc>
          <w:tcPr>
            <w:tcW w:type="dxa" w:w="2304"/>
          </w:tcPr>
          <w:p>
            <w:r>
              <w:t>UPDATE order.status; notify buyer: 'Order Request Declined'</w:t>
            </w:r>
          </w:p>
        </w:tc>
      </w:tr>
      <w:tr>
        <w:tc>
          <w:tcPr>
            <w:tcW w:type="dxa" w:w="864"/>
          </w:tcPr>
          <w:p>
            <w:r>
              <w:t>T-04</w:t>
            </w:r>
          </w:p>
        </w:tc>
        <w:tc>
          <w:tcPr>
            <w:tcW w:type="dxa" w:w="1152"/>
          </w:tcPr>
          <w:p>
            <w:r>
              <w:t>approved</w:t>
            </w:r>
          </w:p>
        </w:tc>
        <w:tc>
          <w:tcPr>
            <w:tcW w:type="dxa" w:w="2592"/>
          </w:tcPr>
          <w:p>
            <w:r>
              <w:t>PATCH /api/orders/:id {status: 'completed'}</w:t>
            </w:r>
          </w:p>
        </w:tc>
        <w:tc>
          <w:tcPr>
            <w:tcW w:type="dxa" w:w="1296"/>
          </w:tcPr>
          <w:p>
            <w:r>
              <w:t>Brand Owner</w:t>
            </w:r>
          </w:p>
        </w:tc>
        <w:tc>
          <w:tcPr>
            <w:tcW w:type="dxa" w:w="1152"/>
          </w:tcPr>
          <w:p>
            <w:r>
              <w:t>completed</w:t>
            </w:r>
          </w:p>
        </w:tc>
        <w:tc>
          <w:tcPr>
            <w:tcW w:type="dxa" w:w="2304"/>
          </w:tcPr>
          <w:p>
            <w:r>
              <w:t>UPDATE order.status; notify buyer: 'Order Fulfilled! — leave a review?'</w:t>
            </w:r>
          </w:p>
        </w:tc>
      </w:tr>
      <w:tr>
        <w:tc>
          <w:tcPr>
            <w:tcW w:type="dxa" w:w="864"/>
          </w:tcPr>
          <w:p>
            <w:r>
              <w:t>T-05</w:t>
            </w:r>
          </w:p>
        </w:tc>
        <w:tc>
          <w:tcPr>
            <w:tcW w:type="dxa" w:w="1152"/>
          </w:tcPr>
          <w:p>
            <w:r>
              <w:t>approved</w:t>
            </w:r>
          </w:p>
        </w:tc>
        <w:tc>
          <w:tcPr>
            <w:tcW w:type="dxa" w:w="2592"/>
          </w:tcPr>
          <w:p>
            <w:r>
              <w:t>PATCH /api/orders/:id {status: 'rejected'} by admin</w:t>
            </w:r>
          </w:p>
        </w:tc>
        <w:tc>
          <w:tcPr>
            <w:tcW w:type="dxa" w:w="1296"/>
          </w:tcPr>
          <w:p>
            <w:r>
              <w:t>Admin</w:t>
            </w:r>
          </w:p>
        </w:tc>
        <w:tc>
          <w:tcPr>
            <w:tcW w:type="dxa" w:w="1152"/>
          </w:tcPr>
          <w:p>
            <w:r>
              <w:t>rejected</w:t>
            </w:r>
          </w:p>
        </w:tc>
        <w:tc>
          <w:tcPr>
            <w:tcW w:type="dxa" w:w="2304"/>
          </w:tcPr>
          <w:p>
            <w:r>
              <w:t>UPDATE order.status; notify buyer: 'Order Request Declined' (admin override)</w:t>
            </w:r>
          </w:p>
        </w:tc>
      </w:tr>
      <w:tr>
        <w:tc>
          <w:tcPr>
            <w:tcW w:type="dxa" w:w="864"/>
          </w:tcPr>
          <w:p>
            <w:r>
              <w:t>T-06</w:t>
            </w:r>
          </w:p>
        </w:tc>
        <w:tc>
          <w:tcPr>
            <w:tcW w:type="dxa" w:w="1152"/>
          </w:tcPr>
          <w:p>
            <w:r>
              <w:t>pending</w:t>
            </w:r>
          </w:p>
        </w:tc>
        <w:tc>
          <w:tcPr>
            <w:tcW w:type="dxa" w:w="2592"/>
          </w:tcPr>
          <w:p>
            <w:r>
              <w:t>GET /api/orders/:id — admin reviews order</w:t>
            </w:r>
          </w:p>
        </w:tc>
        <w:tc>
          <w:tcPr>
            <w:tcW w:type="dxa" w:w="1296"/>
          </w:tcPr>
          <w:p>
            <w:r>
              <w:t>Admin</w:t>
            </w:r>
          </w:p>
        </w:tc>
        <w:tc>
          <w:tcPr>
            <w:tcW w:type="dxa" w:w="1152"/>
          </w:tcPr>
          <w:p>
            <w:r>
              <w:t>pending</w:t>
            </w:r>
          </w:p>
        </w:tc>
        <w:tc>
          <w:tcPr>
            <w:tcW w:type="dxa" w:w="2304"/>
          </w:tcPr>
          <w:p>
            <w:r>
              <w:t>Read-only; no state change; no notification</w:t>
            </w:r>
          </w:p>
        </w:tc>
      </w:tr>
      <w:tr>
        <w:tc>
          <w:tcPr>
            <w:tcW w:type="dxa" w:w="864"/>
          </w:tcPr>
          <w:p>
            <w:r>
              <w:t>T-07</w:t>
            </w:r>
          </w:p>
        </w:tc>
        <w:tc>
          <w:tcPr>
            <w:tcW w:type="dxa" w:w="1152"/>
          </w:tcPr>
          <w:p>
            <w:r>
              <w:t>approved</w:t>
            </w:r>
          </w:p>
        </w:tc>
        <w:tc>
          <w:tcPr>
            <w:tcW w:type="dxa" w:w="2592"/>
          </w:tcPr>
          <w:p>
            <w:r>
              <w:t>GET /api/orders/:id — brand owner views item detail</w:t>
            </w:r>
          </w:p>
        </w:tc>
        <w:tc>
          <w:tcPr>
            <w:tcW w:type="dxa" w:w="1296"/>
          </w:tcPr>
          <w:p>
            <w:r>
              <w:t>Brand Owner</w:t>
            </w:r>
          </w:p>
        </w:tc>
        <w:tc>
          <w:tcPr>
            <w:tcW w:type="dxa" w:w="1152"/>
          </w:tcPr>
          <w:p>
            <w:r>
              <w:t>approved</w:t>
            </w:r>
          </w:p>
        </w:tc>
        <w:tc>
          <w:tcPr>
            <w:tcW w:type="dxa" w:w="2304"/>
          </w:tcPr>
          <w:p>
            <w:r>
              <w:t>Read-only; no state change; no notification</w:t>
            </w:r>
          </w:p>
        </w:tc>
      </w:tr>
      <w:tr>
        <w:tc>
          <w:tcPr>
            <w:tcW w:type="dxa" w:w="864"/>
          </w:tcPr>
          <w:p>
            <w:r>
              <w:t>T-08</w:t>
            </w:r>
          </w:p>
        </w:tc>
        <w:tc>
          <w:tcPr>
            <w:tcW w:type="dxa" w:w="1152"/>
          </w:tcPr>
          <w:p>
            <w:r>
              <w:t>rejected</w:t>
            </w:r>
          </w:p>
        </w:tc>
        <w:tc>
          <w:tcPr>
            <w:tcW w:type="dxa" w:w="2592"/>
          </w:tcPr>
          <w:p>
            <w:r>
              <w:t>GET /api/orders/:id — buyer views outcome</w:t>
            </w:r>
          </w:p>
        </w:tc>
        <w:tc>
          <w:tcPr>
            <w:tcW w:type="dxa" w:w="1296"/>
          </w:tcPr>
          <w:p>
            <w:r>
              <w:t>Buyer</w:t>
            </w:r>
          </w:p>
        </w:tc>
        <w:tc>
          <w:tcPr>
            <w:tcW w:type="dxa" w:w="1152"/>
          </w:tcPr>
          <w:p>
            <w:r>
              <w:t>rejected</w:t>
            </w:r>
          </w:p>
        </w:tc>
        <w:tc>
          <w:tcPr>
            <w:tcW w:type="dxa" w:w="2304"/>
          </w:tcPr>
          <w:p>
            <w:r>
              <w:t>Read-only; no state change; no notification</w:t>
            </w:r>
          </w:p>
        </w:tc>
      </w:tr>
      <w:tr>
        <w:tc>
          <w:tcPr>
            <w:tcW w:type="dxa" w:w="864"/>
          </w:tcPr>
          <w:p>
            <w:r>
              <w:t>T-09</w:t>
            </w:r>
          </w:p>
        </w:tc>
        <w:tc>
          <w:tcPr>
            <w:tcW w:type="dxa" w:w="1152"/>
          </w:tcPr>
          <w:p>
            <w:r>
              <w:t>completed</w:t>
            </w:r>
          </w:p>
        </w:tc>
        <w:tc>
          <w:tcPr>
            <w:tcW w:type="dxa" w:w="2592"/>
          </w:tcPr>
          <w:p>
            <w:r>
              <w:t>POST /api/reviews — buyer submits a review</w:t>
            </w:r>
          </w:p>
        </w:tc>
        <w:tc>
          <w:tcPr>
            <w:tcW w:type="dxa" w:w="1296"/>
          </w:tcPr>
          <w:p>
            <w:r>
              <w:t>Buyer</w:t>
            </w:r>
          </w:p>
        </w:tc>
        <w:tc>
          <w:tcPr>
            <w:tcW w:type="dxa" w:w="1152"/>
          </w:tcPr>
          <w:p>
            <w:r>
              <w:t>completed</w:t>
            </w:r>
          </w:p>
        </w:tc>
        <w:tc>
          <w:tcPr>
            <w:tcW w:type="dxa" w:w="2304"/>
          </w:tcPr>
          <w:p>
            <w:r>
              <w:t>Review record created; notify brand owner: 'New Review Posted'</w:t>
            </w:r>
          </w:p>
        </w:tc>
      </w:tr>
      <w:tr>
        <w:tc>
          <w:tcPr>
            <w:tcW w:type="dxa" w:w="864"/>
          </w:tcPr>
          <w:p>
            <w:r>
              <w:t>T-10</w:t>
            </w:r>
          </w:p>
        </w:tc>
        <w:tc>
          <w:tcPr>
            <w:tcW w:type="dxa" w:w="1152"/>
          </w:tcPr>
          <w:p>
            <w:r>
              <w:t>completed</w:t>
            </w:r>
          </w:p>
        </w:tc>
        <w:tc>
          <w:tcPr>
            <w:tcW w:type="dxa" w:w="2592"/>
          </w:tcPr>
          <w:p>
            <w:r>
              <w:t>GET /api/trust/:id — trust recalculation triggered</w:t>
            </w:r>
          </w:p>
        </w:tc>
        <w:tc>
          <w:tcPr>
            <w:tcW w:type="dxa" w:w="1296"/>
          </w:tcPr>
          <w:p>
            <w:r>
              <w:t>System</w:t>
            </w:r>
          </w:p>
        </w:tc>
        <w:tc>
          <w:tcPr>
            <w:tcW w:type="dxa" w:w="1152"/>
          </w:tcPr>
          <w:p>
            <w:r>
              <w:t>trust_updated</w:t>
            </w:r>
          </w:p>
        </w:tc>
        <w:tc>
          <w:tcPr>
            <w:tcW w:type="dxa" w:w="2304"/>
          </w:tcPr>
          <w:p>
            <w:r>
              <w:t>BrandTrust.completion_rate and BuyerTrust metrics recomputed and persisted</w:t>
            </w:r>
          </w:p>
        </w:tc>
      </w:tr>
      <w:tr>
        <w:tc>
          <w:tcPr>
            <w:tcW w:type="dxa" w:w="864"/>
          </w:tcPr>
          <w:p>
            <w:r>
              <w:t>T-11</w:t>
            </w:r>
          </w:p>
        </w:tc>
        <w:tc>
          <w:tcPr>
            <w:tcW w:type="dxa" w:w="1152"/>
          </w:tcPr>
          <w:p>
            <w:r>
              <w:t>rejected</w:t>
            </w:r>
          </w:p>
        </w:tc>
        <w:tc>
          <w:tcPr>
            <w:tcW w:type="dxa" w:w="2592"/>
          </w:tcPr>
          <w:p>
            <w:r>
              <w:t>GET /api/trust/:id — trust recalculation triggered</w:t>
            </w:r>
          </w:p>
        </w:tc>
        <w:tc>
          <w:tcPr>
            <w:tcW w:type="dxa" w:w="1296"/>
          </w:tcPr>
          <w:p>
            <w:r>
              <w:t>System</w:t>
            </w:r>
          </w:p>
        </w:tc>
        <w:tc>
          <w:tcPr>
            <w:tcW w:type="dxa" w:w="1152"/>
          </w:tcPr>
          <w:p>
            <w:r>
              <w:t>trust_updated</w:t>
            </w:r>
          </w:p>
        </w:tc>
        <w:tc>
          <w:tcPr>
            <w:tcW w:type="dxa" w:w="2304"/>
          </w:tcPr>
          <w:p>
            <w:r>
              <w:t>BuyerTrust.cancellation_rate incremented; BrandTrust response metrics updated</w:t>
            </w:r>
          </w:p>
        </w:tc>
      </w:tr>
    </w:tbl>
    <w:p/>
    <w:p>
      <w:pPr>
        <w:pStyle w:val="Heading3"/>
      </w:pPr>
      <w:r>
        <w:t>3.5.2  Brand Verification FSM</w:t>
      </w:r>
    </w:p>
    <w:p>
      <w:pPr/>
      <w:r>
        <w:t>States: pending (initial), approved, rejected, tier_updated (sub-state of approved). The brand FSM governs the administrative approval lifecycle from registration through to marketplace visibility.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936"/>
          </w:tcPr>
          <w:p>
            <w:r>
              <w:rPr>
                <w:b/>
              </w:rPr>
              <w:t>Transition #</w:t>
            </w:r>
          </w:p>
        </w:tc>
        <w:tc>
          <w:tcPr>
            <w:tcW w:type="dxa" w:w="1296"/>
          </w:tcPr>
          <w:p>
            <w:r>
              <w:rPr>
                <w:b/>
              </w:rPr>
              <w:t>From State</w:t>
            </w:r>
          </w:p>
        </w:tc>
        <w:tc>
          <w:tcPr>
            <w:tcW w:type="dxa" w:w="2664"/>
          </w:tcPr>
          <w:p>
            <w:r>
              <w:rPr>
                <w:b/>
              </w:rPr>
              <w:t>Event / Trigger</w:t>
            </w:r>
          </w:p>
        </w:tc>
        <w:tc>
          <w:tcPr>
            <w:tcW w:type="dxa" w:w="1296"/>
          </w:tcPr>
          <w:p>
            <w:r>
              <w:rPr>
                <w:b/>
              </w:rPr>
              <w:t>Actor</w:t>
            </w:r>
          </w:p>
        </w:tc>
        <w:tc>
          <w:tcPr>
            <w:tcW w:type="dxa" w:w="1296"/>
          </w:tcPr>
          <w:p>
            <w:r>
              <w:rPr>
                <w:b/>
              </w:rPr>
              <w:t>To State</w:t>
            </w:r>
          </w:p>
        </w:tc>
        <w:tc>
          <w:tcPr>
            <w:tcW w:type="dxa" w:w="1872"/>
          </w:tcPr>
          <w:p>
            <w:r>
              <w:rPr>
                <w:b/>
              </w:rPr>
              <w:t>Output / Side-Effect</w:t>
            </w:r>
          </w:p>
        </w:tc>
      </w:tr>
      <w:tr>
        <w:tc>
          <w:tcPr>
            <w:tcW w:type="dxa" w:w="936"/>
          </w:tcPr>
          <w:p>
            <w:r>
              <w:t>BV-01</w:t>
            </w:r>
          </w:p>
        </w:tc>
        <w:tc>
          <w:tcPr>
            <w:tcW w:type="dxa" w:w="1296"/>
          </w:tcPr>
          <w:p>
            <w:r>
              <w:t>—  (none)</w:t>
            </w:r>
          </w:p>
        </w:tc>
        <w:tc>
          <w:tcPr>
            <w:tcW w:type="dxa" w:w="2664"/>
          </w:tcPr>
          <w:p>
            <w:r>
              <w:t>Brand owner registers → F-006 auto-creates brand</w:t>
            </w:r>
          </w:p>
        </w:tc>
        <w:tc>
          <w:tcPr>
            <w:tcW w:type="dxa" w:w="1296"/>
          </w:tcPr>
          <w:p>
            <w:r>
              <w:t>Brand Owner</w:t>
            </w:r>
          </w:p>
        </w:tc>
        <w:tc>
          <w:tcPr>
            <w:tcW w:type="dxa" w:w="1296"/>
          </w:tcPr>
          <w:p>
            <w:r>
              <w:t>pending</w:t>
            </w:r>
          </w:p>
        </w:tc>
        <w:tc>
          <w:tcPr>
            <w:tcW w:type="dxa" w:w="1872"/>
          </w:tcPr>
          <w:p>
            <w:r>
              <w:t>INSERT brand {status: 'pending'}; notify all admins: 'New Brand Awaiting Approval'</w:t>
            </w:r>
          </w:p>
        </w:tc>
      </w:tr>
      <w:tr>
        <w:tc>
          <w:tcPr>
            <w:tcW w:type="dxa" w:w="936"/>
          </w:tcPr>
          <w:p>
            <w:r>
              <w:t>BV-02</w:t>
            </w:r>
          </w:p>
        </w:tc>
        <w:tc>
          <w:tcPr>
            <w:tcW w:type="dxa" w:w="1296"/>
          </w:tcPr>
          <w:p>
            <w:r>
              <w:t>pending</w:t>
            </w:r>
          </w:p>
        </w:tc>
        <w:tc>
          <w:tcPr>
            <w:tcW w:type="dxa" w:w="2664"/>
          </w:tcPr>
          <w:p>
            <w:r>
              <w:t>PATCH /api/admin/brands/:id {status: 'approved'}</w:t>
            </w:r>
          </w:p>
        </w:tc>
        <w:tc>
          <w:tcPr>
            <w:tcW w:type="dxa" w:w="1296"/>
          </w:tcPr>
          <w:p>
            <w:r>
              <w:t>Admin</w:t>
            </w:r>
          </w:p>
        </w:tc>
        <w:tc>
          <w:tcPr>
            <w:tcW w:type="dxa" w:w="1296"/>
          </w:tcPr>
          <w:p>
            <w:r>
              <w:t>approved</w:t>
            </w:r>
          </w:p>
        </w:tc>
        <w:tc>
          <w:tcPr>
            <w:tcW w:type="dxa" w:w="1872"/>
          </w:tcPr>
          <w:p>
            <w:r>
              <w:t>UPDATE brand.status + owner.verification_status = 'approved'; notify brand owner: 'Your Brand is Now Live!'; notify all buyers: 'New Brand on the Platform'</w:t>
            </w:r>
          </w:p>
        </w:tc>
      </w:tr>
      <w:tr>
        <w:tc>
          <w:tcPr>
            <w:tcW w:type="dxa" w:w="936"/>
          </w:tcPr>
          <w:p>
            <w:r>
              <w:t>BV-03</w:t>
            </w:r>
          </w:p>
        </w:tc>
        <w:tc>
          <w:tcPr>
            <w:tcW w:type="dxa" w:w="1296"/>
          </w:tcPr>
          <w:p>
            <w:r>
              <w:t>pending</w:t>
            </w:r>
          </w:p>
        </w:tc>
        <w:tc>
          <w:tcPr>
            <w:tcW w:type="dxa" w:w="2664"/>
          </w:tcPr>
          <w:p>
            <w:r>
              <w:t>PATCH /api/admin/brands/:id {status: 'rejected'}</w:t>
            </w:r>
          </w:p>
        </w:tc>
        <w:tc>
          <w:tcPr>
            <w:tcW w:type="dxa" w:w="1296"/>
          </w:tcPr>
          <w:p>
            <w:r>
              <w:t>Admin</w:t>
            </w:r>
          </w:p>
        </w:tc>
        <w:tc>
          <w:tcPr>
            <w:tcW w:type="dxa" w:w="1296"/>
          </w:tcPr>
          <w:p>
            <w:r>
              <w:t>rejected</w:t>
            </w:r>
          </w:p>
        </w:tc>
        <w:tc>
          <w:tcPr>
            <w:tcW w:type="dxa" w:w="1872"/>
          </w:tcPr>
          <w:p>
            <w:r>
              <w:t>UPDATE brand.status + owner.verification_status = 'rejected'; notify brand owner: 'Brand Verification Update — not approved'; buyers NOT notified</w:t>
            </w:r>
          </w:p>
        </w:tc>
      </w:tr>
      <w:tr>
        <w:tc>
          <w:tcPr>
            <w:tcW w:type="dxa" w:w="936"/>
          </w:tcPr>
          <w:p>
            <w:r>
              <w:t>BV-04</w:t>
            </w:r>
          </w:p>
        </w:tc>
        <w:tc>
          <w:tcPr>
            <w:tcW w:type="dxa" w:w="1296"/>
          </w:tcPr>
          <w:p>
            <w:r>
              <w:t>approved</w:t>
            </w:r>
          </w:p>
        </w:tc>
        <w:tc>
          <w:tcPr>
            <w:tcW w:type="dxa" w:w="2664"/>
          </w:tcPr>
          <w:p>
            <w:r>
              <w:t>PATCH /api/admin/brands/:id {verification_tier: 'premium' | 'verified' | 'new'}</w:t>
            </w:r>
          </w:p>
        </w:tc>
        <w:tc>
          <w:tcPr>
            <w:tcW w:type="dxa" w:w="1296"/>
          </w:tcPr>
          <w:p>
            <w:r>
              <w:t>Admin</w:t>
            </w:r>
          </w:p>
        </w:tc>
        <w:tc>
          <w:tcPr>
            <w:tcW w:type="dxa" w:w="1296"/>
          </w:tcPr>
          <w:p>
            <w:r>
              <w:t>tier_updated</w:t>
            </w:r>
          </w:p>
        </w:tc>
        <w:tc>
          <w:tcPr>
            <w:tcW w:type="dxa" w:w="1872"/>
          </w:tcPr>
          <w:p>
            <w:r>
              <w:t>Fresh DB read → UPDATE brand.verification_tier; badge UI updated on all brand cards and profile pages; no buyer notification</w:t>
            </w:r>
          </w:p>
        </w:tc>
      </w:tr>
      <w:tr>
        <w:tc>
          <w:tcPr>
            <w:tcW w:type="dxa" w:w="936"/>
          </w:tcPr>
          <w:p>
            <w:r>
              <w:t>BV-05</w:t>
            </w:r>
          </w:p>
        </w:tc>
        <w:tc>
          <w:tcPr>
            <w:tcW w:type="dxa" w:w="1296"/>
          </w:tcPr>
          <w:p>
            <w:r>
              <w:t>approved</w:t>
            </w:r>
          </w:p>
        </w:tc>
        <w:tc>
          <w:tcPr>
            <w:tcW w:type="dxa" w:w="2664"/>
          </w:tcPr>
          <w:p>
            <w:r>
              <w:t>Brand owner updates profile via PATCH /api/brands/:id</w:t>
            </w:r>
          </w:p>
        </w:tc>
        <w:tc>
          <w:tcPr>
            <w:tcW w:type="dxa" w:w="1296"/>
          </w:tcPr>
          <w:p>
            <w:r>
              <w:t>Brand Owner</w:t>
            </w:r>
          </w:p>
        </w:tc>
        <w:tc>
          <w:tcPr>
            <w:tcW w:type="dxa" w:w="1296"/>
          </w:tcPr>
          <w:p>
            <w:r>
              <w:t>approved</w:t>
            </w:r>
          </w:p>
        </w:tc>
        <w:tc>
          <w:tcPr>
            <w:tcW w:type="dxa" w:w="1872"/>
          </w:tcPr>
          <w:p>
            <w:r>
              <w:t>UPDATE brand fields (name, description, logo_url, whatsapp_number, business_hours, auto_reply_message); no status change; no notification</w:t>
            </w:r>
          </w:p>
        </w:tc>
      </w:tr>
    </w:tbl>
    <w:p/>
    <w:p>
      <w:pPr>
        <w:pStyle w:val="Heading2"/>
      </w:pPr>
      <w:r>
        <w:t>3.6  Component / Unit Design</w:t>
      </w:r>
    </w:p>
    <w:p>
      <w:pPr/>
      <w:r>
        <w:t>The following six components constitute the core non-UI technical units of the Kuwait B2B Hub. Each is a discrete module with a defined public interface consumed by multiple callers. Their design directly shapes the maintainability and testability of the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872"/>
          </w:tcPr>
          <w:p>
            <w:r>
              <w:rPr>
                <w:b/>
              </w:rPr>
              <w:t>File</w:t>
            </w:r>
          </w:p>
        </w:tc>
        <w:tc>
          <w:tcPr>
            <w:tcW w:type="dxa" w:w="2160"/>
          </w:tcPr>
          <w:p>
            <w:r>
              <w:rPr>
                <w:b/>
              </w:rPr>
              <w:t>Public Interface</w:t>
            </w:r>
          </w:p>
        </w:tc>
        <w:tc>
          <w:tcPr>
            <w:tcW w:type="dxa" w:w="1872"/>
          </w:tcPr>
          <w:p>
            <w:r>
              <w:rPr>
                <w:b/>
              </w:rPr>
              <w:t>Callers</w:t>
            </w:r>
          </w:p>
        </w:tc>
        <w:tc>
          <w:tcPr>
            <w:tcW w:type="dxa" w:w="3168"/>
          </w:tcPr>
          <w:p>
            <w:r>
              <w:rPr>
                <w:b/>
              </w:rPr>
              <w:t>Responsibility</w:t>
            </w:r>
          </w:p>
        </w:tc>
      </w:tr>
      <w:tr>
        <w:tc>
          <w:tcPr>
            <w:tcW w:type="dxa" w:w="1728"/>
          </w:tcPr>
          <w:p>
            <w:r>
              <w:t>Auth Resolver</w:t>
            </w:r>
          </w:p>
        </w:tc>
        <w:tc>
          <w:tcPr>
            <w:tcW w:type="dxa" w:w="1872"/>
          </w:tcPr>
          <w:p>
            <w:r>
              <w:t>src/lib/auth.ts</w:t>
            </w:r>
          </w:p>
        </w:tc>
        <w:tc>
          <w:tcPr>
            <w:tcW w:type="dxa" w:w="2160"/>
          </w:tcPr>
          <w:p>
            <w:r>
              <w:t>getCurrentUser(): Promise&lt;User | null&gt;</w:t>
            </w:r>
          </w:p>
        </w:tc>
        <w:tc>
          <w:tcPr>
            <w:tcW w:type="dxa" w:w="1872"/>
          </w:tcPr>
          <w:p>
            <w:r>
              <w:t>All 25 API route handlers (first call in every handler body)</w:t>
            </w:r>
          </w:p>
        </w:tc>
        <w:tc>
          <w:tcPr>
            <w:tcW w:type="dxa" w:w="3168"/>
          </w:tcPr>
          <w:p>
            <w:r>
              <w:t>Resolves Supabase JWT session to a full User profile from the database. Returns null if session is missing, expired, or the user record cannot be found. All protected routes treat a null return as HTTP 401.</w:t>
            </w:r>
          </w:p>
        </w:tc>
      </w:tr>
      <w:tr>
        <w:tc>
          <w:tcPr>
            <w:tcW w:type="dxa" w:w="1728"/>
          </w:tcPr>
          <w:p>
            <w:r>
              <w:t>Data Access Module</w:t>
            </w:r>
          </w:p>
        </w:tc>
        <w:tc>
          <w:tcPr>
            <w:tcW w:type="dxa" w:w="1872"/>
          </w:tcPr>
          <w:p>
            <w:r>
              <w:t>src/lib/db.ts</w:t>
            </w:r>
          </w:p>
        </w:tc>
        <w:tc>
          <w:tcPr>
            <w:tcW w:type="dxa" w:w="2160"/>
          </w:tcPr>
          <w:p>
            <w:r>
              <w:t>readDB(): DB; writeDB(db: DB): void; generateId(prefix: string): string</w:t>
            </w:r>
          </w:p>
        </w:tc>
        <w:tc>
          <w:tcPr>
            <w:tcW w:type="dxa" w:w="1872"/>
          </w:tcPr>
          <w:p>
            <w:r>
              <w:t>All API route handlers; Trust Engine</w:t>
            </w:r>
          </w:p>
        </w:tc>
        <w:tc>
          <w:tcPr>
            <w:tcW w:type="dxa" w:w="3168"/>
          </w:tcPr>
          <w:p>
            <w:r>
              <w:t>Single source of truth for all database reads and writes in the MVP. The readDB / writeDB abstraction decouples API handlers from the storage implementation, enabling the PostgreSQL migration without handler changes.</w:t>
            </w:r>
          </w:p>
        </w:tc>
      </w:tr>
      <w:tr>
        <w:tc>
          <w:tcPr>
            <w:tcW w:type="dxa" w:w="1728"/>
          </w:tcPr>
          <w:p>
            <w:r>
              <w:t>Notification Service</w:t>
            </w:r>
          </w:p>
        </w:tc>
        <w:tc>
          <w:tcPr>
            <w:tcW w:type="dxa" w:w="1872"/>
          </w:tcPr>
          <w:p>
            <w:r>
              <w:t>src/lib/notifications.ts</w:t>
            </w:r>
          </w:p>
        </w:tc>
        <w:tc>
          <w:tcPr>
            <w:tcW w:type="dxa" w:w="2160"/>
          </w:tcPr>
          <w:p>
            <w:r>
              <w:t>createNotification(userId, type, title, body, actionUrl): void; createNotificationForMany(userIds[], ...): void</w:t>
            </w:r>
          </w:p>
        </w:tc>
        <w:tc>
          <w:tcPr>
            <w:tcW w:type="dxa" w:w="1872"/>
          </w:tcPr>
          <w:p>
            <w:r>
              <w:t>All state-changing API route handlers (orders, brands, reviews, auth)</w:t>
            </w:r>
          </w:p>
        </w:tc>
        <w:tc>
          <w:tcPr>
            <w:tcW w:type="dxa" w:w="3168"/>
          </w:tcPr>
          <w:p>
            <w:r>
              <w:t>Constructs and persists notification records for targeted users or user groups. Abstracts the notification creation pattern used in all 10 system event types.</w:t>
            </w:r>
          </w:p>
        </w:tc>
      </w:tr>
      <w:tr>
        <w:tc>
          <w:tcPr>
            <w:tcW w:type="dxa" w:w="1728"/>
          </w:tcPr>
          <w:p>
            <w:r>
              <w:t>Currency Module</w:t>
            </w:r>
          </w:p>
        </w:tc>
        <w:tc>
          <w:tcPr>
            <w:tcW w:type="dxa" w:w="1872"/>
          </w:tcPr>
          <w:p>
            <w:r>
              <w:t>src/lib/currencies.ts</w:t>
            </w:r>
          </w:p>
        </w:tc>
        <w:tc>
          <w:tcPr>
            <w:tcW w:type="dxa" w:w="2160"/>
          </w:tcPr>
          <w:p>
            <w:r>
              <w:t>CURRENCIES: Record&lt;string, CurrencyConfig&gt;; formatCurrency(amount, code): string</w:t>
            </w:r>
          </w:p>
        </w:tc>
        <w:tc>
          <w:tcPr>
            <w:tcW w:type="dxa" w:w="1872"/>
          </w:tcPr>
          <w:p>
            <w:r>
              <w:t>CurrencyContext.tsx; CurrencySelector.tsx; Exchange-rate API handler; all price-rendering components</w:t>
            </w:r>
          </w:p>
        </w:tc>
        <w:tc>
          <w:tcPr>
            <w:tcW w:type="dxa" w:w="3168"/>
          </w:tcPr>
          <w:p>
            <w:r>
              <w:t>Single source of truth for all GCC currency configuration: ISO codes, display symbols, decimal precision, VAT rates, locale strings, and phone prefixes. Consumed by every component that formats or converts monetary values.</w:t>
            </w:r>
          </w:p>
        </w:tc>
      </w:tr>
      <w:tr>
        <w:tc>
          <w:tcPr>
            <w:tcW w:type="dxa" w:w="1728"/>
          </w:tcPr>
          <w:p>
            <w:r>
              <w:t>Notification Store</w:t>
            </w:r>
          </w:p>
        </w:tc>
        <w:tc>
          <w:tcPr>
            <w:tcW w:type="dxa" w:w="1872"/>
          </w:tcPr>
          <w:p>
            <w:r>
              <w:t>src/store/notificationStore.ts</w:t>
            </w:r>
          </w:p>
        </w:tc>
        <w:tc>
          <w:tcPr>
            <w:tcW w:type="dxa" w:w="2160"/>
          </w:tcPr>
          <w:p>
            <w:r>
              <w:t>useNotificationStore(): { notifications, unreadCount, setNotifications, markRead }</w:t>
            </w:r>
          </w:p>
        </w:tc>
        <w:tc>
          <w:tcPr>
            <w:tcW w:type="dxa" w:w="1872"/>
          </w:tcPr>
          <w:p>
            <w:r>
              <w:t>NotificationBell.tsx; RealtimeProvider.tsx</w:t>
            </w:r>
          </w:p>
        </w:tc>
        <w:tc>
          <w:tcPr>
            <w:tcW w:type="dxa" w:w="3168"/>
          </w:tcPr>
          <w:p>
            <w:r>
              <w:t>Zustand-powered client-side store for notification state. Maintains the unread count badge, the notification panel list, and the markRead action. Designed to accept data from either a REST poll or a future Supabase Realtime subscription.</w:t>
            </w:r>
          </w:p>
        </w:tc>
      </w:tr>
      <w:tr>
        <w:tc>
          <w:tcPr>
            <w:tcW w:type="dxa" w:w="1728"/>
          </w:tcPr>
          <w:p>
            <w:r>
              <w:t>Supabase Server Client Factory</w:t>
            </w:r>
          </w:p>
        </w:tc>
        <w:tc>
          <w:tcPr>
            <w:tcW w:type="dxa" w:w="1872"/>
          </w:tcPr>
          <w:p>
            <w:r>
              <w:t>src/utils/supabase/server.ts</w:t>
            </w:r>
          </w:p>
        </w:tc>
        <w:tc>
          <w:tcPr>
            <w:tcW w:type="dxa" w:w="2160"/>
          </w:tcPr>
          <w:p>
            <w:r>
              <w:t>createClient(): Promise&lt;SupabaseClient&gt;</w:t>
            </w:r>
          </w:p>
        </w:tc>
        <w:tc>
          <w:tcPr>
            <w:tcW w:type="dxa" w:w="1872"/>
          </w:tcPr>
          <w:p>
            <w:r>
              <w:t>src/lib/auth.ts; any server-side code requiring an authenticated DB connection</w:t>
            </w:r>
          </w:p>
        </w:tc>
        <w:tc>
          <w:tcPr>
            <w:tcW w:type="dxa" w:w="3168"/>
          </w:tcPr>
          <w:p>
            <w:r>
              <w:t>Creates a server-side Supabase client using the @supabase/ssr package, reading and writing session tokens exclusively through Next.js cookies(). Ensures auth state is scoped to the server request context and never exposed to client-side JavaScript. Foundational security primitive of the entire backend layer.</w:t>
            </w:r>
          </w:p>
        </w:tc>
      </w:tr>
    </w:tbl>
    <w:p/>
    <w:p>
      <w:pPr>
        <w:pStyle w:val="Heading2"/>
      </w:pPr>
      <w:r>
        <w:t>3.7  Class Diagram — Core Entity Model</w:t>
      </w:r>
    </w:p>
    <w:p>
      <w:pPr/>
      <w:r>
        <w:t>The class diagram is derived directly from the TypeScript interface definitions in src/lib/db.ts — the authoritative data contract for all ten entity types in the Kuwait B2B Hub. The table below enumerates each class, its attributes, and its key associations. Optional fields (marked with ? in TypeScript) are noted in the Attributes column. Figure 7 shows the rendered UML class diagram.</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Pr>
                <w:b/>
              </w:rPr>
              <w:t>Class</w:t>
            </w:r>
          </w:p>
        </w:tc>
        <w:tc>
          <w:tcPr>
            <w:tcW w:type="dxa" w:w="3600"/>
          </w:tcPr>
          <w:p>
            <w:r>
              <w:rPr>
                <w:b/>
              </w:rPr>
              <w:t>Attributes</w:t>
            </w:r>
          </w:p>
        </w:tc>
        <w:tc>
          <w:tcPr>
            <w:tcW w:type="dxa" w:w="2592"/>
          </w:tcPr>
          <w:p>
            <w:r>
              <w:rPr>
                <w:b/>
              </w:rPr>
              <w:t>Key Associations</w:t>
            </w:r>
          </w:p>
        </w:tc>
        <w:tc>
          <w:tcPr>
            <w:tcW w:type="dxa" w:w="1440"/>
          </w:tcPr>
          <w:p>
            <w:r>
              <w:rPr>
                <w:b/>
              </w:rPr>
              <w:t>Notes</w:t>
            </w:r>
          </w:p>
        </w:tc>
      </w:tr>
      <w:tr>
        <w:tc>
          <w:tcPr>
            <w:tcW w:type="dxa" w:w="1728"/>
          </w:tcPr>
          <w:p>
            <w:r>
              <w:t>User</w:t>
            </w:r>
          </w:p>
        </w:tc>
        <w:tc>
          <w:tcPr>
            <w:tcW w:type="dxa" w:w="3600"/>
          </w:tcPr>
          <w:p>
            <w:r>
              <w:t>id: String; name: String; email: String; password: String; role: String; company_name: String; verification_status: String; whatsapp_number?: String; created_at: String</w:t>
            </w:r>
          </w:p>
        </w:tc>
        <w:tc>
          <w:tcPr>
            <w:tcW w:type="dxa" w:w="2592"/>
          </w:tcPr>
          <w:p>
            <w:r>
              <w:t>1 User owns 0..1 Brand (via owner_id); 1 User places 0..* Orders (via buyer_id); 1 User writes 0..* Reviews (via buyer_id); 1 User receives 0..* Notifications (via user_id)</w:t>
            </w:r>
          </w:p>
        </w:tc>
        <w:tc>
          <w:tcPr>
            <w:tcW w:type="dxa" w:w="1440"/>
          </w:tcPr>
          <w:p>
            <w:r>
              <w:t>role ∈ {admin, brand_owner, buyer}; verification_status ∈ {pending, approved, rejected}</w:t>
            </w:r>
          </w:p>
        </w:tc>
      </w:tr>
      <w:tr>
        <w:tc>
          <w:tcPr>
            <w:tcW w:type="dxa" w:w="1728"/>
          </w:tcPr>
          <w:p>
            <w:r>
              <w:t>Brand</w:t>
            </w:r>
          </w:p>
        </w:tc>
        <w:tc>
          <w:tcPr>
            <w:tcW w:type="dxa" w:w="3600"/>
          </w:tcPr>
          <w:p>
            <w:r>
              <w:t>id: String; owner_id: String; brand_name: String; description: String; logo_url: String; status: String; verification_tier: String; whatsapp_number?: String; business_hours?: String; auto_reply_message?: String; whatsapp_clicks?: Number; created_at: String</w:t>
            </w:r>
          </w:p>
        </w:tc>
        <w:tc>
          <w:tcPr>
            <w:tcW w:type="dxa" w:w="2592"/>
          </w:tcPr>
          <w:p>
            <w:r>
              <w:t>1 Brand lists 0..* Products (via brand_id); 1 Brand receives 0..* Orders; 1 Brand receives 0..* Reviews; 1 Brand has 0..1 BrandTrust (composition)</w:t>
            </w:r>
          </w:p>
        </w:tc>
        <w:tc>
          <w:tcPr>
            <w:tcW w:type="dxa" w:w="1440"/>
          </w:tcPr>
          <w:p>
            <w:r>
              <w:t>status ∈ {pending, approved, rejected}; verification_tier ∈ {premium, verified, new}</w:t>
            </w:r>
          </w:p>
        </w:tc>
      </w:tr>
      <w:tr>
        <w:tc>
          <w:tcPr>
            <w:tcW w:type="dxa" w:w="1728"/>
          </w:tcPr>
          <w:p>
            <w:r>
              <w:t>Product</w:t>
            </w:r>
          </w:p>
        </w:tc>
        <w:tc>
          <w:tcPr>
            <w:tcW w:type="dxa" w:w="3600"/>
          </w:tcPr>
          <w:p>
            <w:r>
              <w:t>id: String; brand_id: String; name: String; description: String; price: Number; moq: Number; stock: Number; image_url: String; bulk_pricing_tiers: BulkPricingTier[]; created_at: String</w:t>
            </w:r>
          </w:p>
        </w:tc>
        <w:tc>
          <w:tcPr>
            <w:tcW w:type="dxa" w:w="2592"/>
          </w:tcPr>
          <w:p>
            <w:r>
              <w:t>1 Product belongs to 1 Brand; 1 Product embeds 0..* BulkPricingTier (composition); 1 Product is referenced by 0..* OrderItems</w:t>
            </w:r>
          </w:p>
        </w:tc>
        <w:tc>
          <w:tcPr>
            <w:tcW w:type="dxa" w:w="1440"/>
          </w:tcPr>
          <w:p>
            <w:r>
              <w:t>bulk_pricing_tiers[] is a value-object array embedded inside Product — not a separate table</w:t>
            </w:r>
          </w:p>
        </w:tc>
      </w:tr>
      <w:tr>
        <w:tc>
          <w:tcPr>
            <w:tcW w:type="dxa" w:w="1728"/>
          </w:tcPr>
          <w:p>
            <w:r>
              <w:t>BulkPricingTier</w:t>
            </w:r>
          </w:p>
        </w:tc>
        <w:tc>
          <w:tcPr>
            <w:tcW w:type="dxa" w:w="3600"/>
          </w:tcPr>
          <w:p>
            <w:r>
              <w:t>min_qty: Number; max_qty: Number | null; price: Number</w:t>
            </w:r>
          </w:p>
        </w:tc>
        <w:tc>
          <w:tcPr>
            <w:tcW w:type="dxa" w:w="2592"/>
          </w:tcPr>
          <w:p>
            <w:r>
              <w:t>Embedded in Product.bulk_pricing_tiers[] (no independent identity)</w:t>
            </w:r>
          </w:p>
        </w:tc>
        <w:tc>
          <w:tcPr>
            <w:tcW w:type="dxa" w:w="1440"/>
          </w:tcPr>
          <w:p>
            <w:r>
              <w:t>max_qty = null means no upper bound (open-ended tier); tiers are iterated in order to match the requested quantity</w:t>
            </w:r>
          </w:p>
        </w:tc>
      </w:tr>
      <w:tr>
        <w:tc>
          <w:tcPr>
            <w:tcW w:type="dxa" w:w="1728"/>
          </w:tcPr>
          <w:p>
            <w:r>
              <w:t>Order</w:t>
            </w:r>
          </w:p>
        </w:tc>
        <w:tc>
          <w:tcPr>
            <w:tcW w:type="dxa" w:w="3600"/>
          </w:tcPr>
          <w:p>
            <w:r>
              <w:t>id: String; buyer_id: String; brand_id: String; status: String; total_amount: Number; created_at: String</w:t>
            </w:r>
          </w:p>
        </w:tc>
        <w:tc>
          <w:tcPr>
            <w:tcW w:type="dxa" w:w="2592"/>
          </w:tcPr>
          <w:p>
            <w:r>
              <w:t>1 Order contains 1..* OrderItems (composition); 1 Order is placed by 1 User (buyer); 1 Order belongs to 1 Brand; 0..1 Order is linked to 0..1 Review</w:t>
            </w:r>
          </w:p>
        </w:tc>
        <w:tc>
          <w:tcPr>
            <w:tcW w:type="dxa" w:w="1440"/>
          </w:tcPr>
          <w:p>
            <w:r>
              <w:t>status ∈ {pending, approved, rejected, completed}</w:t>
            </w:r>
          </w:p>
        </w:tc>
      </w:tr>
      <w:tr>
        <w:tc>
          <w:tcPr>
            <w:tcW w:type="dxa" w:w="1728"/>
          </w:tcPr>
          <w:p>
            <w:r>
              <w:t>OrderItem</w:t>
            </w:r>
          </w:p>
        </w:tc>
        <w:tc>
          <w:tcPr>
            <w:tcW w:type="dxa" w:w="3600"/>
          </w:tcPr>
          <w:p>
            <w:r>
              <w:t>id: String; order_id: String; product_id: String; quantity: Number; unit_price: Number</w:t>
            </w:r>
          </w:p>
        </w:tc>
        <w:tc>
          <w:tcPr>
            <w:tcW w:type="dxa" w:w="2592"/>
          </w:tcPr>
          <w:p>
            <w:r>
              <w:t>1 OrderItem belongs to 1 Order; 1 OrderItem references 1 Product</w:t>
            </w:r>
          </w:p>
        </w:tc>
        <w:tc>
          <w:tcPr>
            <w:tcW w:type="dxa" w:w="1440"/>
          </w:tcPr>
          <w:p>
            <w:r>
              <w:t>unit_price is the bulk-pricing-resolved price at the time of order creation — immutable after insert</w:t>
            </w:r>
          </w:p>
        </w:tc>
      </w:tr>
      <w:tr>
        <w:tc>
          <w:tcPr>
            <w:tcW w:type="dxa" w:w="1728"/>
          </w:tcPr>
          <w:p>
            <w:r>
              <w:t>Review</w:t>
            </w:r>
          </w:p>
        </w:tc>
        <w:tc>
          <w:tcPr>
            <w:tcW w:type="dxa" w:w="3600"/>
          </w:tcPr>
          <w:p>
            <w:r>
              <w:t>id: String; brand_id: String; order_id: String | null; buyer_id: String; rating: Number; content: String; anonymous: Boolean; flagged: Boolean; brand_reply: String | null; status?: String; created_at: String</w:t>
            </w:r>
          </w:p>
        </w:tc>
        <w:tc>
          <w:tcPr>
            <w:tcW w:type="dxa" w:w="2592"/>
          </w:tcPr>
          <w:p>
            <w:r>
              <w:t>1 Review is written by 1 User (buyer); 1 Review is received by 1 Brand; 0..1 Review is linked to 0..1 Order (nullable)</w:t>
            </w:r>
          </w:p>
        </w:tc>
        <w:tc>
          <w:tcPr>
            <w:tcW w:type="dxa" w:w="1440"/>
          </w:tcPr>
          <w:p>
            <w:r>
              <w:t>order_id is nullable — review can exist independently of a specific order; status ∈ {active, removed}</w:t>
            </w:r>
          </w:p>
        </w:tc>
      </w:tr>
      <w:tr>
        <w:tc>
          <w:tcPr>
            <w:tcW w:type="dxa" w:w="1728"/>
          </w:tcPr>
          <w:p>
            <w:r>
              <w:t>Notification</w:t>
            </w:r>
          </w:p>
        </w:tc>
        <w:tc>
          <w:tcPr>
            <w:tcW w:type="dxa" w:w="3600"/>
          </w:tcPr>
          <w:p>
            <w:r>
              <w:t>id: String; user_id: String; type: String; title: String; body: String; read: Boolean; action_url: String; icon_type: String; created_at: String</w:t>
            </w:r>
          </w:p>
        </w:tc>
        <w:tc>
          <w:tcPr>
            <w:tcW w:type="dxa" w:w="2592"/>
          </w:tcPr>
          <w:p>
            <w:r>
              <w:t>1 Notification is addressed to 1 User (via user_id)</w:t>
            </w:r>
          </w:p>
        </w:tc>
        <w:tc>
          <w:tcPr>
            <w:tcW w:type="dxa" w:w="1440"/>
          </w:tcPr>
          <w:p>
            <w:r>
              <w:t>Single flat reference — same schema serves buyers, brand owners, and admins; type field distinguishes the event category</w:t>
            </w:r>
          </w:p>
        </w:tc>
      </w:tr>
      <w:tr>
        <w:tc>
          <w:tcPr>
            <w:tcW w:type="dxa" w:w="1728"/>
          </w:tcPr>
          <w:p>
            <w:r>
              <w:t>BrandTrust</w:t>
            </w:r>
          </w:p>
        </w:tc>
        <w:tc>
          <w:tcPr>
            <w:tcW w:type="dxa" w:w="3600"/>
          </w:tcPr>
          <w:p>
            <w:r>
              <w:t>brand_id: String; response_rate: Number; completion_rate: Number; avg_response_hours: Number; total_fulfilled: Number; orders_this_month: Number; avg_fulfillment_days: Number; badges: String[]</w:t>
            </w:r>
          </w:p>
        </w:tc>
        <w:tc>
          <w:tcPr>
            <w:tcW w:type="dxa" w:w="2592"/>
          </w:tcPr>
          <w:p>
            <w:r>
              <w:t>1 BrandTrust is composed by 1 Brand (via brand_id) — composition, not association</w:t>
            </w:r>
          </w:p>
        </w:tc>
        <w:tc>
          <w:tcPr>
            <w:tcW w:type="dxa" w:w="1440"/>
          </w:tcPr>
          <w:p>
            <w:r>
              <w:t>Read-only trust profile; no back-reference to Order — keeps trust calculation decoupled from live order mutations</w:t>
            </w:r>
          </w:p>
        </w:tc>
      </w:tr>
      <w:tr>
        <w:tc>
          <w:tcPr>
            <w:tcW w:type="dxa" w:w="1728"/>
          </w:tcPr>
          <w:p>
            <w:r>
              <w:t>BuyerTrust</w:t>
            </w:r>
          </w:p>
        </w:tc>
        <w:tc>
          <w:tcPr>
            <w:tcW w:type="dxa" w:w="3600"/>
          </w:tcPr>
          <w:p>
            <w:r>
              <w:t>buyer_id: String; total_orders: Number; completion_rate: Number; cancellation_rate: Number; badges: String[]</w:t>
            </w:r>
          </w:p>
        </w:tc>
        <w:tc>
          <w:tcPr>
            <w:tcW w:type="dxa" w:w="2592"/>
          </w:tcPr>
          <w:p>
            <w:r>
              <w:t>1 BuyerTrust is composed by 1 User-buyer (via buyer_id)</w:t>
            </w:r>
          </w:p>
        </w:tc>
        <w:tc>
          <w:tcPr>
            <w:tcW w:type="dxa" w:w="1440"/>
          </w:tcPr>
          <w:p>
            <w:r>
              <w:t>Symmetric counterpart to BrandTrust; provides brand owners with buyer reliability context when evaluating incoming orders</w:t>
            </w:r>
          </w:p>
        </w:tc>
      </w:tr>
    </w:tbl>
    <w:p/>
    <w:p/>
    <w:p>
      <w:pPr>
        <w:jc w:val="center"/>
      </w:pPr>
      <w:r>
        <w:rPr>
          <w:b/>
          <w:color w:val="888888"/>
          <w:sz w:val="22"/>
        </w:rPr>
        <w:t>[ FIGURE 7 — Class Diagram — Core Entities (extracted from src/lib/db.ts) ]</w:t>
      </w:r>
    </w:p>
    <w:p>
      <w:pPr>
        <w:jc w:val="center"/>
      </w:pPr>
      <w:r>
        <w:rPr>
          <w:i/>
          <w:color w:val="AAAAAA"/>
          <w:sz w:val="18"/>
        </w:rPr>
        <w:t>(Insert diagram image here)</w:t>
      </w:r>
    </w:p>
    <w:p/>
    <w:p>
      <w:pPr>
        <w:pStyle w:val="Heading2"/>
      </w:pPr>
      <w:r>
        <w:t>3.8  Prototype Screenshots</w:t>
      </w:r>
    </w:p>
    <w:p>
      <w:pPr/>
      <w:r>
        <w:t>The following eight screenshots document the Kuwait B2B Hub interface as delivered at the time of final submission. All screenshots are taken from the live Vercel deployment against the seeded demo dataset.</w:t>
      </w:r>
    </w:p>
    <w:tbl>
      <w:tblPr>
        <w:tblStyle w:val="TableGrid"/>
        <w:tblW w:type="auto" w:w="0"/>
        <w:tblLook w:firstColumn="1" w:firstRow="1" w:lastColumn="0" w:lastRow="0" w:noHBand="0" w:noVBand="1" w:val="04A0"/>
      </w:tblPr>
      <w:tblGrid>
        <w:gridCol w:w="4320"/>
        <w:gridCol w:w="4320"/>
      </w:tblGrid>
      <w:tr>
        <w:tc>
          <w:tcPr>
            <w:tcW w:type="dxa" w:w="1008"/>
          </w:tcPr>
          <w:p>
            <w:r>
              <w:rPr>
                <w:b/>
              </w:rPr>
              <w:t>Ref</w:t>
            </w:r>
          </w:p>
        </w:tc>
        <w:tc>
          <w:tcPr>
            <w:tcW w:type="dxa" w:w="8352"/>
          </w:tcPr>
          <w:p>
            <w:r>
              <w:rPr>
                <w:b/>
              </w:rPr>
              <w:t>Description</w:t>
            </w:r>
          </w:p>
        </w:tc>
      </w:tr>
      <w:tr>
        <w:tc>
          <w:tcPr>
            <w:tcW w:type="dxa" w:w="1008"/>
          </w:tcPr>
          <w:p>
            <w:r>
              <w:t>SS-01</w:t>
            </w:r>
          </w:p>
        </w:tc>
        <w:tc>
          <w:tcPr>
            <w:tcW w:type="dxa" w:w="8352"/>
          </w:tcPr>
          <w:p>
            <w:r>
              <w:t>Landing Page — Hero section, platform value proposition, bilingual toggle, call-to-action buttons for buyer and brand owner registration.</w:t>
            </w:r>
          </w:p>
        </w:tc>
      </w:tr>
      <w:tr>
        <w:tc>
          <w:tcPr>
            <w:tcW w:type="dxa" w:w="1008"/>
          </w:tcPr>
          <w:p>
            <w:r>
              <w:t>SS-02</w:t>
            </w:r>
          </w:p>
        </w:tc>
        <w:tc>
          <w:tcPr>
            <w:tcW w:type="dxa" w:w="8352"/>
          </w:tcPr>
          <w:p>
            <w:r>
              <w:t>Marketplace — Brand catalogue grid with verification tier badges (Premium / Verified / New), star ratings, MOQ indicators, and search/filter controls.</w:t>
            </w:r>
          </w:p>
        </w:tc>
      </w:tr>
      <w:tr>
        <w:tc>
          <w:tcPr>
            <w:tcW w:type="dxa" w:w="1008"/>
          </w:tcPr>
          <w:p>
            <w:r>
              <w:t>SS-03</w:t>
            </w:r>
          </w:p>
        </w:tc>
        <w:tc>
          <w:tcPr>
            <w:tcW w:type="dxa" w:w="8352"/>
          </w:tcPr>
          <w:p>
            <w:r>
              <w:t>Brand Profile Page — Brand header, verification badge, trust score panel (response rate, completion rate, fulfilment days), product grid, and review section with brand replies.</w:t>
            </w:r>
          </w:p>
        </w:tc>
      </w:tr>
      <w:tr>
        <w:tc>
          <w:tcPr>
            <w:tcW w:type="dxa" w:w="1008"/>
          </w:tcPr>
          <w:p>
            <w:r>
              <w:t>SS-04</w:t>
            </w:r>
          </w:p>
        </w:tc>
        <w:tc>
          <w:tcPr>
            <w:tcW w:type="dxa" w:w="8352"/>
          </w:tcPr>
          <w:p>
            <w:r>
              <w:t>Brand Owner Dashboard — Order management table with status lifecycle controls, revenue summary card, product inventory overview, and notification bell.</w:t>
            </w:r>
          </w:p>
        </w:tc>
      </w:tr>
      <w:tr>
        <w:tc>
          <w:tcPr>
            <w:tcW w:type="dxa" w:w="1008"/>
          </w:tcPr>
          <w:p>
            <w:r>
              <w:t>SS-05</w:t>
            </w:r>
          </w:p>
        </w:tc>
        <w:tc>
          <w:tcPr>
            <w:tcW w:type="dxa" w:w="8352"/>
          </w:tcPr>
          <w:p>
            <w:r>
              <w:t>Order Submission — Product detail page with MOQ warning, bulk-pricing tier visualisation, quantity input, and order total calculation in selected GCC currency.</w:t>
            </w:r>
          </w:p>
        </w:tc>
      </w:tr>
      <w:tr>
        <w:tc>
          <w:tcPr>
            <w:tcW w:type="dxa" w:w="1008"/>
          </w:tcPr>
          <w:p>
            <w:r>
              <w:t>SS-06</w:t>
            </w:r>
          </w:p>
        </w:tc>
        <w:tc>
          <w:tcPr>
            <w:tcW w:type="dxa" w:w="8352"/>
          </w:tcPr>
          <w:p>
            <w:r>
              <w:t>Admin Dashboard — Platform analytics (total users, brands, orders, revenue), pending brand approval queue, and review moderation panel.</w:t>
            </w:r>
          </w:p>
        </w:tc>
      </w:tr>
      <w:tr>
        <w:tc>
          <w:tcPr>
            <w:tcW w:type="dxa" w:w="1008"/>
          </w:tcPr>
          <w:p>
            <w:r>
              <w:t>SS-07</w:t>
            </w:r>
          </w:p>
        </w:tc>
        <w:tc>
          <w:tcPr>
            <w:tcW w:type="dxa" w:w="8352"/>
          </w:tcPr>
          <w:p>
            <w:r>
              <w:t>Arabic RTL Layout — Marketplace page with full right-to-left layout: mirrored navigation, Arabic product names and descriptions, RTL-aligned trust metrics.</w:t>
            </w:r>
          </w:p>
        </w:tc>
      </w:tr>
      <w:tr>
        <w:tc>
          <w:tcPr>
            <w:tcW w:type="dxa" w:w="1008"/>
          </w:tcPr>
          <w:p>
            <w:r>
              <w:t>SS-08</w:t>
            </w:r>
          </w:p>
        </w:tc>
        <w:tc>
          <w:tcPr>
            <w:tcW w:type="dxa" w:w="8352"/>
          </w:tcPr>
          <w:p>
            <w:r>
              <w:t>Notification Panel — Unread notification list with type-specific icons, timestamps, and mark-as-read interaction; unread count badge on bell icon.</w:t>
            </w:r>
          </w:p>
        </w:tc>
      </w:tr>
    </w:tbl>
    <w:p/>
    <w:p/>
    <w:p>
      <w:pPr>
        <w:jc w:val="center"/>
      </w:pPr>
      <w:r>
        <w:rPr>
          <w:b/>
          <w:color w:val="888888"/>
          <w:sz w:val="22"/>
        </w:rPr>
        <w:t>[ FIGURE SS-01 — Landing Page — Hero section, platform value proposition, bilingual toggle, call-to-action buttons for buyer and brand owner registration. ]</w:t>
      </w:r>
    </w:p>
    <w:p>
      <w:pPr>
        <w:jc w:val="center"/>
      </w:pPr>
      <w:r>
        <w:rPr>
          <w:i/>
          <w:color w:val="AAAAAA"/>
          <w:sz w:val="18"/>
        </w:rPr>
        <w:t>(Insert diagram image here)</w:t>
      </w:r>
    </w:p>
    <w:p/>
    <w:p/>
    <w:p>
      <w:pPr>
        <w:jc w:val="center"/>
      </w:pPr>
      <w:r>
        <w:rPr>
          <w:b/>
          <w:color w:val="888888"/>
          <w:sz w:val="22"/>
        </w:rPr>
        <w:t>[ FIGURE SS-02 — Marketplace — Brand catalogue grid with verification tier badges (Premium / Verified / New), star ratings, MOQ indicators, and search/filter controls. ]</w:t>
      </w:r>
    </w:p>
    <w:p>
      <w:pPr>
        <w:jc w:val="center"/>
      </w:pPr>
      <w:r>
        <w:rPr>
          <w:i/>
          <w:color w:val="AAAAAA"/>
          <w:sz w:val="18"/>
        </w:rPr>
        <w:t>(Insert diagram image here)</w:t>
      </w:r>
    </w:p>
    <w:p/>
    <w:p/>
    <w:p>
      <w:pPr>
        <w:jc w:val="center"/>
      </w:pPr>
      <w:r>
        <w:rPr>
          <w:b/>
          <w:color w:val="888888"/>
          <w:sz w:val="22"/>
        </w:rPr>
        <w:t>[ FIGURE SS-03 — Brand Profile Page — Brand header, verification badge, trust score panel (response rate, completion rate, fulfilment days), product grid, and review section with brand replies. ]</w:t>
      </w:r>
    </w:p>
    <w:p>
      <w:pPr>
        <w:jc w:val="center"/>
      </w:pPr>
      <w:r>
        <w:rPr>
          <w:i/>
          <w:color w:val="AAAAAA"/>
          <w:sz w:val="18"/>
        </w:rPr>
        <w:t>(Insert diagram image here)</w:t>
      </w:r>
    </w:p>
    <w:p/>
    <w:p/>
    <w:p>
      <w:pPr>
        <w:jc w:val="center"/>
      </w:pPr>
      <w:r>
        <w:rPr>
          <w:b/>
          <w:color w:val="888888"/>
          <w:sz w:val="22"/>
        </w:rPr>
        <w:t>[ FIGURE SS-04 — Brand Owner Dashboard — Order management table with status lifecycle controls, revenue summary card, product inventory overview, and notification bell. ]</w:t>
      </w:r>
    </w:p>
    <w:p>
      <w:pPr>
        <w:jc w:val="center"/>
      </w:pPr>
      <w:r>
        <w:rPr>
          <w:i/>
          <w:color w:val="AAAAAA"/>
          <w:sz w:val="18"/>
        </w:rPr>
        <w:t>(Insert diagram image here)</w:t>
      </w:r>
    </w:p>
    <w:p/>
    <w:p/>
    <w:p>
      <w:pPr>
        <w:jc w:val="center"/>
      </w:pPr>
      <w:r>
        <w:rPr>
          <w:b/>
          <w:color w:val="888888"/>
          <w:sz w:val="22"/>
        </w:rPr>
        <w:t>[ FIGURE SS-05 — Order Submission — Product detail page with MOQ warning, bulk-pricing tier visualisation, quantity input, and order total calculation in selected GCC currency. ]</w:t>
      </w:r>
    </w:p>
    <w:p>
      <w:pPr>
        <w:jc w:val="center"/>
      </w:pPr>
      <w:r>
        <w:rPr>
          <w:i/>
          <w:color w:val="AAAAAA"/>
          <w:sz w:val="18"/>
        </w:rPr>
        <w:t>(Insert diagram image here)</w:t>
      </w:r>
    </w:p>
    <w:p/>
    <w:p/>
    <w:p>
      <w:pPr>
        <w:jc w:val="center"/>
      </w:pPr>
      <w:r>
        <w:rPr>
          <w:b/>
          <w:color w:val="888888"/>
          <w:sz w:val="22"/>
        </w:rPr>
        <w:t>[ FIGURE SS-06 — Admin Dashboard — Platform analytics (total users, brands, orders, revenue), pending brand approval queue, and review moderation panel. ]</w:t>
      </w:r>
    </w:p>
    <w:p>
      <w:pPr>
        <w:jc w:val="center"/>
      </w:pPr>
      <w:r>
        <w:rPr>
          <w:i/>
          <w:color w:val="AAAAAA"/>
          <w:sz w:val="18"/>
        </w:rPr>
        <w:t>(Insert diagram image here)</w:t>
      </w:r>
    </w:p>
    <w:p/>
    <w:p/>
    <w:p>
      <w:pPr>
        <w:jc w:val="center"/>
      </w:pPr>
      <w:r>
        <w:rPr>
          <w:b/>
          <w:color w:val="888888"/>
          <w:sz w:val="22"/>
        </w:rPr>
        <w:t>[ FIGURE SS-07 — Arabic RTL Layout — Marketplace page with full right-to-left layout: mirrored navigation, Arabic product names and descriptions, RTL-aligned trust metrics. ]</w:t>
      </w:r>
    </w:p>
    <w:p>
      <w:pPr>
        <w:jc w:val="center"/>
      </w:pPr>
      <w:r>
        <w:rPr>
          <w:i/>
          <w:color w:val="AAAAAA"/>
          <w:sz w:val="18"/>
        </w:rPr>
        <w:t>(Insert diagram image here)</w:t>
      </w:r>
    </w:p>
    <w:p/>
    <w:p/>
    <w:p>
      <w:pPr>
        <w:jc w:val="center"/>
      </w:pPr>
      <w:r>
        <w:rPr>
          <w:b/>
          <w:color w:val="888888"/>
          <w:sz w:val="22"/>
        </w:rPr>
        <w:t>[ FIGURE SS-08 — Notification Panel — Unread notification list with type-specific icons, timestamps, and mark-as-read interaction; unread count badge on bell icon. ]</w:t>
      </w:r>
    </w:p>
    <w:p>
      <w:pPr>
        <w:jc w:val="center"/>
      </w:pPr>
      <w:r>
        <w:rPr>
          <w:i/>
          <w:color w:val="AAAAAA"/>
          <w:sz w:val="18"/>
        </w:rPr>
        <w:t>(Insert diagram image here)</w:t>
      </w:r>
    </w:p>
    <w:p/>
    <w:p>
      <w:r>
        <w:br w:type="page"/>
      </w:r>
    </w:p>
    <w:p>
      <w:pPr>
        <w:pStyle w:val="Heading1"/>
      </w:pPr>
      <w:r>
        <w:t>CHAPTER IV — SYSTEM IMPLEMENTATION</w:t>
      </w:r>
    </w:p>
    <w:p>
      <w:pPr/>
      <w:r>
        <w:t>This chapter documents the complete implementation of the Kuwait B2B Hub. It presents the Make-Buy-Lease acquisition decisions for all platform components, a software reuse analysis of the twelve externally-sourced libraries and services, the full codebase folder structure and artefact inventory, the configuration management record including the change request log and version baseline, and the complete development and deployment specification covering hardware, software, tooling, local setup, and production architecture.</w:t>
      </w:r>
    </w:p>
    <w:p>
      <w:pPr>
        <w:pStyle w:val="Heading2"/>
      </w:pPr>
      <w:r>
        <w:t>4.1  Make, Buy or Lease (MBL) Analysis</w:t>
      </w:r>
    </w:p>
    <w:p>
      <w:pPr/>
      <w:r>
        <w:t>A Make-Buy-Lease evaluation was conducted for each major technical component of the Kuwait B2B Hub to justify acquisition decisions, clarify licensing obligations, and classify the level at which external software assets are reused. Decisions were guided by three criteria: development effort saved, suitability to the Kuwait B2B domain, and long-term maintainability.</w:t>
      </w:r>
    </w:p>
    <w:p>
      <w:pPr/>
      <w:r>
        <w:t>Reuse Level Definitions (Sommerville, Software Engineering, 10th ed.):</w:t>
      </w:r>
    </w:p>
    <w:tbl>
      <w:tblPr>
        <w:tblStyle w:val="TableGrid"/>
        <w:tblW w:type="auto" w:w="0"/>
        <w:tblLook w:firstColumn="1" w:firstRow="1" w:lastColumn="0" w:lastRow="0" w:noHBand="0" w:noVBand="1" w:val="04A0"/>
      </w:tblPr>
      <w:tblGrid>
        <w:gridCol w:w="4320"/>
        <w:gridCol w:w="4320"/>
      </w:tblGrid>
      <w:tr>
        <w:tc>
          <w:tcPr>
            <w:tcW w:type="dxa" w:w="1728"/>
          </w:tcPr>
          <w:p>
            <w:r>
              <w:rPr>
                <w:b/>
              </w:rPr>
              <w:t>Level</w:t>
            </w:r>
          </w:p>
        </w:tc>
        <w:tc>
          <w:tcPr>
            <w:tcW w:type="dxa" w:w="7632"/>
          </w:tcPr>
          <w:p>
            <w:r>
              <w:rPr>
                <w:b/>
              </w:rPr>
              <w:t>Definition</w:t>
            </w:r>
          </w:p>
        </w:tc>
      </w:tr>
      <w:tr>
        <w:tc>
          <w:tcPr>
            <w:tcW w:type="dxa" w:w="1728"/>
          </w:tcPr>
          <w:p>
            <w:r>
              <w:t>System</w:t>
            </w:r>
          </w:p>
        </w:tc>
        <w:tc>
          <w:tcPr>
            <w:tcW w:type="dxa" w:w="7632"/>
          </w:tcPr>
          <w:p>
            <w:r>
              <w:t>An entire off-the-shelf system or managed platform is adopted with no internal modification.</w:t>
            </w:r>
          </w:p>
        </w:tc>
      </w:tr>
      <w:tr>
        <w:tc>
          <w:tcPr>
            <w:tcW w:type="dxa" w:w="1728"/>
          </w:tcPr>
          <w:p>
            <w:r>
              <w:t>Component</w:t>
            </w:r>
          </w:p>
        </w:tc>
        <w:tc>
          <w:tcPr>
            <w:tcW w:type="dxa" w:w="7632"/>
          </w:tcPr>
          <w:p>
            <w:r>
              <w:t>A library, framework, or SDK is integrated as a composable subsystem.</w:t>
            </w:r>
          </w:p>
        </w:tc>
      </w:tr>
      <w:tr>
        <w:tc>
          <w:tcPr>
            <w:tcW w:type="dxa" w:w="1728"/>
          </w:tcPr>
          <w:p>
            <w:r>
              <w:t>Object</w:t>
            </w:r>
          </w:p>
        </w:tc>
        <w:tc>
          <w:tcPr>
            <w:tcW w:type="dxa" w:w="7632"/>
          </w:tcPr>
          <w:p>
            <w:r>
              <w:t>Individual modules, classes, or hooks are consumed directly.</w:t>
            </w:r>
          </w:p>
        </w:tc>
      </w:tr>
      <w:tr>
        <w:tc>
          <w:tcPr>
            <w:tcW w:type="dxa" w:w="1728"/>
          </w:tcPr>
          <w:p>
            <w:r>
              <w:t>Abstract</w:t>
            </w:r>
          </w:p>
        </w:tc>
        <w:tc>
          <w:tcPr>
            <w:tcW w:type="dxa" w:w="7632"/>
          </w:tcPr>
          <w:p>
            <w:r>
              <w:t>Algorithms, patterns, or domain logic are designed and built from first principles.</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432"/>
          </w:tcPr>
          <w:p>
            <w:r>
              <w:rPr>
                <w:b/>
              </w:rPr>
              <w:t>#</w:t>
            </w:r>
          </w:p>
        </w:tc>
        <w:tc>
          <w:tcPr>
            <w:tcW w:type="dxa" w:w="2160"/>
          </w:tcPr>
          <w:p>
            <w:r>
              <w:rPr>
                <w:b/>
              </w:rPr>
              <w:t>Component</w:t>
            </w:r>
          </w:p>
        </w:tc>
        <w:tc>
          <w:tcPr>
            <w:tcW w:type="dxa" w:w="1008"/>
          </w:tcPr>
          <w:p>
            <w:r>
              <w:rPr>
                <w:b/>
              </w:rPr>
              <w:t>Version</w:t>
            </w:r>
          </w:p>
        </w:tc>
        <w:tc>
          <w:tcPr>
            <w:tcW w:type="dxa" w:w="864"/>
          </w:tcPr>
          <w:p>
            <w:r>
              <w:rPr>
                <w:b/>
              </w:rPr>
              <w:t>Decision</w:t>
            </w:r>
          </w:p>
        </w:tc>
        <w:tc>
          <w:tcPr>
            <w:tcW w:type="dxa" w:w="1728"/>
          </w:tcPr>
          <w:p>
            <w:r>
              <w:rPr>
                <w:b/>
              </w:rPr>
              <w:t>License</w:t>
            </w:r>
          </w:p>
        </w:tc>
        <w:tc>
          <w:tcPr>
            <w:tcW w:type="dxa" w:w="3024"/>
          </w:tcPr>
          <w:p>
            <w:r>
              <w:rPr>
                <w:b/>
              </w:rPr>
              <w:t>Justification</w:t>
            </w:r>
          </w:p>
        </w:tc>
        <w:tc>
          <w:tcPr>
            <w:tcW w:type="dxa" w:w="1152"/>
          </w:tcPr>
          <w:p>
            <w:r>
              <w:rPr>
                <w:b/>
              </w:rPr>
              <w:t>Reuse Level</w:t>
            </w:r>
          </w:p>
        </w:tc>
      </w:tr>
      <w:tr>
        <w:tc>
          <w:tcPr>
            <w:tcW w:type="dxa" w:w="432"/>
          </w:tcPr>
          <w:p>
            <w:r>
              <w:t>1</w:t>
            </w:r>
          </w:p>
        </w:tc>
        <w:tc>
          <w:tcPr>
            <w:tcW w:type="dxa" w:w="2160"/>
          </w:tcPr>
          <w:p>
            <w:r>
              <w:t>Next.js Framework</w:t>
            </w:r>
          </w:p>
        </w:tc>
        <w:tc>
          <w:tcPr>
            <w:tcW w:type="dxa" w:w="1008"/>
          </w:tcPr>
          <w:p>
            <w:r>
              <w:t>16.2.2</w:t>
            </w:r>
          </w:p>
        </w:tc>
        <w:tc>
          <w:tcPr>
            <w:tcW w:type="dxa" w:w="864"/>
          </w:tcPr>
          <w:p>
            <w:r>
              <w:t>Buy</w:t>
            </w:r>
          </w:p>
        </w:tc>
        <w:tc>
          <w:tcPr>
            <w:tcW w:type="dxa" w:w="1728"/>
          </w:tcPr>
          <w:p>
            <w:r>
              <w:t>MIT</w:t>
            </w:r>
          </w:p>
        </w:tc>
        <w:tc>
          <w:tcPr>
            <w:tcW w:type="dxa" w:w="3024"/>
          </w:tcPr>
          <w:p>
            <w:r>
              <w:t>Provides App Router, SSR, API route handlers, middleware pipeline, and TypeScript support. Eliminates building a custom server, router, or bundler — saves ~80+ hours.</w:t>
            </w:r>
          </w:p>
        </w:tc>
        <w:tc>
          <w:tcPr>
            <w:tcW w:type="dxa" w:w="1152"/>
          </w:tcPr>
          <w:p>
            <w:r>
              <w:t>System</w:t>
            </w:r>
          </w:p>
        </w:tc>
      </w:tr>
      <w:tr>
        <w:tc>
          <w:tcPr>
            <w:tcW w:type="dxa" w:w="432"/>
          </w:tcPr>
          <w:p>
            <w:r>
              <w:t>2</w:t>
            </w:r>
          </w:p>
        </w:tc>
        <w:tc>
          <w:tcPr>
            <w:tcW w:type="dxa" w:w="2160"/>
          </w:tcPr>
          <w:p>
            <w:r>
              <w:t>React</w:t>
            </w:r>
          </w:p>
        </w:tc>
        <w:tc>
          <w:tcPr>
            <w:tcW w:type="dxa" w:w="1008"/>
          </w:tcPr>
          <w:p>
            <w:r>
              <w:t>19.2.4</w:t>
            </w:r>
          </w:p>
        </w:tc>
        <w:tc>
          <w:tcPr>
            <w:tcW w:type="dxa" w:w="864"/>
          </w:tcPr>
          <w:p>
            <w:r>
              <w:t>Buy</w:t>
            </w:r>
          </w:p>
        </w:tc>
        <w:tc>
          <w:tcPr>
            <w:tcW w:type="dxa" w:w="1728"/>
          </w:tcPr>
          <w:p>
            <w:r>
              <w:t>MIT</w:t>
            </w:r>
          </w:p>
        </w:tc>
        <w:tc>
          <w:tcPr>
            <w:tcW w:type="dxa" w:w="3024"/>
          </w:tcPr>
          <w:p>
            <w:r>
              <w:t>Underpins all UI rendering. React 19 Server Components eliminate redundant client-side JavaScript bundles on data-heavy pages.</w:t>
            </w:r>
          </w:p>
        </w:tc>
        <w:tc>
          <w:tcPr>
            <w:tcW w:type="dxa" w:w="1152"/>
          </w:tcPr>
          <w:p>
            <w:r>
              <w:t>Component</w:t>
            </w:r>
          </w:p>
        </w:tc>
      </w:tr>
      <w:tr>
        <w:tc>
          <w:tcPr>
            <w:tcW w:type="dxa" w:w="432"/>
          </w:tcPr>
          <w:p>
            <w:r>
              <w:t>3</w:t>
            </w:r>
          </w:p>
        </w:tc>
        <w:tc>
          <w:tcPr>
            <w:tcW w:type="dxa" w:w="2160"/>
          </w:tcPr>
          <w:p>
            <w:r>
              <w:t>TypeScript</w:t>
            </w:r>
          </w:p>
        </w:tc>
        <w:tc>
          <w:tcPr>
            <w:tcW w:type="dxa" w:w="1008"/>
          </w:tcPr>
          <w:p>
            <w:r>
              <w:t>^5.x</w:t>
            </w:r>
          </w:p>
        </w:tc>
        <w:tc>
          <w:tcPr>
            <w:tcW w:type="dxa" w:w="864"/>
          </w:tcPr>
          <w:p>
            <w:r>
              <w:t>Buy</w:t>
            </w:r>
          </w:p>
        </w:tc>
        <w:tc>
          <w:tcPr>
            <w:tcW w:type="dxa" w:w="1728"/>
          </w:tcPr>
          <w:p>
            <w:r>
              <w:t>Apache 2.0</w:t>
            </w:r>
          </w:p>
        </w:tc>
        <w:tc>
          <w:tcPr>
            <w:tcW w:type="dxa" w:w="3024"/>
          </w:tcPr>
          <w:p>
            <w:r>
              <w:t>Compile-time type safety across all 93 source files. Interface definitions in db.ts serve as canonical data contracts enforced at every layer.</w:t>
            </w:r>
          </w:p>
        </w:tc>
        <w:tc>
          <w:tcPr>
            <w:tcW w:type="dxa" w:w="1152"/>
          </w:tcPr>
          <w:p>
            <w:r>
              <w:t>System</w:t>
            </w:r>
          </w:p>
        </w:tc>
      </w:tr>
      <w:tr>
        <w:tc>
          <w:tcPr>
            <w:tcW w:type="dxa" w:w="432"/>
          </w:tcPr>
          <w:p>
            <w:r>
              <w:t>4</w:t>
            </w:r>
          </w:p>
        </w:tc>
        <w:tc>
          <w:tcPr>
            <w:tcW w:type="dxa" w:w="2160"/>
          </w:tcPr>
          <w:p>
            <w:r>
              <w:t>Supabase Auth</w:t>
            </w:r>
          </w:p>
        </w:tc>
        <w:tc>
          <w:tcPr>
            <w:tcW w:type="dxa" w:w="1008"/>
          </w:tcPr>
          <w:p>
            <w:r>
              <w:t>^2.101.1</w:t>
            </w:r>
          </w:p>
        </w:tc>
        <w:tc>
          <w:tcPr>
            <w:tcW w:type="dxa" w:w="864"/>
          </w:tcPr>
          <w:p>
            <w:r>
              <w:t>Lease</w:t>
            </w:r>
          </w:p>
        </w:tc>
        <w:tc>
          <w:tcPr>
            <w:tcW w:type="dxa" w:w="1728"/>
          </w:tcPr>
          <w:p>
            <w:r>
              <w:t>Apache 2.0 / Supabase Cloud ToS</w:t>
            </w:r>
          </w:p>
        </w:tc>
        <w:tc>
          <w:tcPr>
            <w:tcW w:type="dxa" w:w="3024"/>
          </w:tcPr>
          <w:p>
            <w:r>
              <w:t>Managed JWT session validation via supabase.auth.getUser(). Freemium tier sufficient for prototype scale.</w:t>
            </w:r>
          </w:p>
        </w:tc>
        <w:tc>
          <w:tcPr>
            <w:tcW w:type="dxa" w:w="1152"/>
          </w:tcPr>
          <w:p>
            <w:r>
              <w:t>System</w:t>
            </w:r>
          </w:p>
        </w:tc>
      </w:tr>
      <w:tr>
        <w:tc>
          <w:tcPr>
            <w:tcW w:type="dxa" w:w="432"/>
          </w:tcPr>
          <w:p>
            <w:r>
              <w:t>5</w:t>
            </w:r>
          </w:p>
        </w:tc>
        <w:tc>
          <w:tcPr>
            <w:tcW w:type="dxa" w:w="2160"/>
          </w:tcPr>
          <w:p>
            <w:r>
              <w:t>@supabase/ssr SDK</w:t>
            </w:r>
          </w:p>
        </w:tc>
        <w:tc>
          <w:tcPr>
            <w:tcW w:type="dxa" w:w="1008"/>
          </w:tcPr>
          <w:p>
            <w:r>
              <w:t>^0.10.0</w:t>
            </w:r>
          </w:p>
        </w:tc>
        <w:tc>
          <w:tcPr>
            <w:tcW w:type="dxa" w:w="864"/>
          </w:tcPr>
          <w:p>
            <w:r>
              <w:t>Buy</w:t>
            </w:r>
          </w:p>
        </w:tc>
        <w:tc>
          <w:tcPr>
            <w:tcW w:type="dxa" w:w="1728"/>
          </w:tcPr>
          <w:p>
            <w:r>
              <w:t>Apache 2.0</w:t>
            </w:r>
          </w:p>
        </w:tc>
        <w:tc>
          <w:tcPr>
            <w:tcW w:type="dxa" w:w="3024"/>
          </w:tcPr>
          <w:p>
            <w:r>
              <w:t>Bridges Supabase Auth with Next.js server-side cookie handling — required for session tokens in Server Components where localStorage is unavailable.</w:t>
            </w:r>
          </w:p>
        </w:tc>
        <w:tc>
          <w:tcPr>
            <w:tcW w:type="dxa" w:w="1152"/>
          </w:tcPr>
          <w:p>
            <w:r>
              <w:t>Component</w:t>
            </w:r>
          </w:p>
        </w:tc>
      </w:tr>
      <w:tr>
        <w:tc>
          <w:tcPr>
            <w:tcW w:type="dxa" w:w="432"/>
          </w:tcPr>
          <w:p>
            <w:r>
              <w:t>6</w:t>
            </w:r>
          </w:p>
        </w:tc>
        <w:tc>
          <w:tcPr>
            <w:tcW w:type="dxa" w:w="2160"/>
          </w:tcPr>
          <w:p>
            <w:r>
              <w:t>PostgreSQL Database</w:t>
            </w:r>
          </w:p>
        </w:tc>
        <w:tc>
          <w:tcPr>
            <w:tcW w:type="dxa" w:w="1008"/>
          </w:tcPr>
          <w:p>
            <w:r>
              <w:t>Managed</w:t>
            </w:r>
          </w:p>
        </w:tc>
        <w:tc>
          <w:tcPr>
            <w:tcW w:type="dxa" w:w="864"/>
          </w:tcPr>
          <w:p>
            <w:r>
              <w:t>Lease</w:t>
            </w:r>
          </w:p>
        </w:tc>
        <w:tc>
          <w:tcPr>
            <w:tcW w:type="dxa" w:w="1728"/>
          </w:tcPr>
          <w:p>
            <w:r>
              <w:t>PostgreSQL Licence / Supabase Cloud ToS</w:t>
            </w:r>
          </w:p>
        </w:tc>
        <w:tc>
          <w:tcPr>
            <w:tcW w:type="dxa" w:w="3024"/>
          </w:tcPr>
          <w:p>
            <w:r>
              <w:t>Supabase-managed PostgreSQL with PostgREST, real-time subscriptions, and automated backups. JSON prototype migration to PostgreSQL is the primary production step.</w:t>
            </w:r>
          </w:p>
        </w:tc>
        <w:tc>
          <w:tcPr>
            <w:tcW w:type="dxa" w:w="1152"/>
          </w:tcPr>
          <w:p>
            <w:r>
              <w:t>System</w:t>
            </w:r>
          </w:p>
        </w:tc>
      </w:tr>
      <w:tr>
        <w:tc>
          <w:tcPr>
            <w:tcW w:type="dxa" w:w="432"/>
          </w:tcPr>
          <w:p>
            <w:r>
              <w:t>7</w:t>
            </w:r>
          </w:p>
        </w:tc>
        <w:tc>
          <w:tcPr>
            <w:tcW w:type="dxa" w:w="2160"/>
          </w:tcPr>
          <w:p>
            <w:r>
              <w:t>Vercel Hosting Platform</w:t>
            </w:r>
          </w:p>
        </w:tc>
        <w:tc>
          <w:tcPr>
            <w:tcW w:type="dxa" w:w="1008"/>
          </w:tcPr>
          <w:p>
            <w:r>
              <w:t>N/A</w:t>
            </w:r>
          </w:p>
        </w:tc>
        <w:tc>
          <w:tcPr>
            <w:tcW w:type="dxa" w:w="864"/>
          </w:tcPr>
          <w:p>
            <w:r>
              <w:t>Lease</w:t>
            </w:r>
          </w:p>
        </w:tc>
        <w:tc>
          <w:tcPr>
            <w:tcW w:type="dxa" w:w="1728"/>
          </w:tcPr>
          <w:p>
            <w:r>
              <w:t>Proprietary (Vercel ToS)</w:t>
            </w:r>
          </w:p>
        </w:tc>
        <w:tc>
          <w:tcPr>
            <w:tcW w:type="dxa" w:w="3024"/>
          </w:tcPr>
          <w:p>
            <w:r>
              <w:t>First-party Next.js deployment. Provides automatic CI/CD, serverless execution for all 25 API routes, global CDN, and preview environments at zero cost (Hobby tier).</w:t>
            </w:r>
          </w:p>
        </w:tc>
        <w:tc>
          <w:tcPr>
            <w:tcW w:type="dxa" w:w="1152"/>
          </w:tcPr>
          <w:p>
            <w:r>
              <w:t>System</w:t>
            </w:r>
          </w:p>
        </w:tc>
      </w:tr>
      <w:tr>
        <w:tc>
          <w:tcPr>
            <w:tcW w:type="dxa" w:w="432"/>
          </w:tcPr>
          <w:p>
            <w:r>
              <w:t>8</w:t>
            </w:r>
          </w:p>
        </w:tc>
        <w:tc>
          <w:tcPr>
            <w:tcW w:type="dxa" w:w="2160"/>
          </w:tcPr>
          <w:p>
            <w:r>
              <w:t>next-intl</w:t>
            </w:r>
          </w:p>
        </w:tc>
        <w:tc>
          <w:tcPr>
            <w:tcW w:type="dxa" w:w="1008"/>
          </w:tcPr>
          <w:p>
            <w:r>
              <w:t>^4.9.0</w:t>
            </w:r>
          </w:p>
        </w:tc>
        <w:tc>
          <w:tcPr>
            <w:tcW w:type="dxa" w:w="864"/>
          </w:tcPr>
          <w:p>
            <w:r>
              <w:t>Buy</w:t>
            </w:r>
          </w:p>
        </w:tc>
        <w:tc>
          <w:tcPr>
            <w:tcW w:type="dxa" w:w="1728"/>
          </w:tcPr>
          <w:p>
            <w:r>
              <w:t>MIT</w:t>
            </w:r>
          </w:p>
        </w:tc>
        <w:tc>
          <w:tcPr>
            <w:tcW w:type="dxa" w:w="3024"/>
          </w:tcPr>
          <w:p>
            <w:r>
              <w:t>Full Arabic/English bilingual support with RTL/LTR switching via messages/ar.json and messages/en.json. Handles locale routing via next.config.ts plugin.</w:t>
            </w:r>
          </w:p>
        </w:tc>
        <w:tc>
          <w:tcPr>
            <w:tcW w:type="dxa" w:w="1152"/>
          </w:tcPr>
          <w:p>
            <w:r>
              <w:t>Component</w:t>
            </w:r>
          </w:p>
        </w:tc>
      </w:tr>
      <w:tr>
        <w:tc>
          <w:tcPr>
            <w:tcW w:type="dxa" w:w="432"/>
          </w:tcPr>
          <w:p>
            <w:r>
              <w:t>9</w:t>
            </w:r>
          </w:p>
        </w:tc>
        <w:tc>
          <w:tcPr>
            <w:tcW w:type="dxa" w:w="2160"/>
          </w:tcPr>
          <w:p>
            <w:r>
              <w:t>Zustand</w:t>
            </w:r>
          </w:p>
        </w:tc>
        <w:tc>
          <w:tcPr>
            <w:tcW w:type="dxa" w:w="1008"/>
          </w:tcPr>
          <w:p>
            <w:r>
              <w:t>^5.0.12</w:t>
            </w:r>
          </w:p>
        </w:tc>
        <w:tc>
          <w:tcPr>
            <w:tcW w:type="dxa" w:w="864"/>
          </w:tcPr>
          <w:p>
            <w:r>
              <w:t>Buy</w:t>
            </w:r>
          </w:p>
        </w:tc>
        <w:tc>
          <w:tcPr>
            <w:tcW w:type="dxa" w:w="1728"/>
          </w:tcPr>
          <w:p>
            <w:r>
              <w:t>MIT</w:t>
            </w:r>
          </w:p>
        </w:tc>
        <w:tc>
          <w:tcPr>
            <w:tcW w:type="dxa" w:w="3024"/>
          </w:tcPr>
          <w:p>
            <w:r>
              <w:t>Lightweight client-side state management for notificationStore.ts. Zero-boilerplate hook API chosen over Redux for a small-team project.</w:t>
            </w:r>
          </w:p>
        </w:tc>
        <w:tc>
          <w:tcPr>
            <w:tcW w:type="dxa" w:w="1152"/>
          </w:tcPr>
          <w:p>
            <w:r>
              <w:t>Object</w:t>
            </w:r>
          </w:p>
        </w:tc>
      </w:tr>
      <w:tr>
        <w:tc>
          <w:tcPr>
            <w:tcW w:type="dxa" w:w="432"/>
          </w:tcPr>
          <w:p>
            <w:r>
              <w:t>10</w:t>
            </w:r>
          </w:p>
        </w:tc>
        <w:tc>
          <w:tcPr>
            <w:tcW w:type="dxa" w:w="2160"/>
          </w:tcPr>
          <w:p>
            <w:r>
              <w:t>Recharts</w:t>
            </w:r>
          </w:p>
        </w:tc>
        <w:tc>
          <w:tcPr>
            <w:tcW w:type="dxa" w:w="1008"/>
          </w:tcPr>
          <w:p>
            <w:r>
              <w:t>^3.8.1</w:t>
            </w:r>
          </w:p>
        </w:tc>
        <w:tc>
          <w:tcPr>
            <w:tcW w:type="dxa" w:w="864"/>
          </w:tcPr>
          <w:p>
            <w:r>
              <w:t>Buy</w:t>
            </w:r>
          </w:p>
        </w:tc>
        <w:tc>
          <w:tcPr>
            <w:tcW w:type="dxa" w:w="1728"/>
          </w:tcPr>
          <w:p>
            <w:r>
              <w:t>MIT</w:t>
            </w:r>
          </w:p>
        </w:tc>
        <w:tc>
          <w:tcPr>
            <w:tcW w:type="dxa" w:w="3024"/>
          </w:tcPr>
          <w:p>
            <w:r>
              <w:t>Composable React charting library for order volume and performance visualisations on admin and brand dashboards.</w:t>
            </w:r>
          </w:p>
        </w:tc>
        <w:tc>
          <w:tcPr>
            <w:tcW w:type="dxa" w:w="1152"/>
          </w:tcPr>
          <w:p>
            <w:r>
              <w:t>Component</w:t>
            </w:r>
          </w:p>
        </w:tc>
      </w:tr>
      <w:tr>
        <w:tc>
          <w:tcPr>
            <w:tcW w:type="dxa" w:w="432"/>
          </w:tcPr>
          <w:p>
            <w:r>
              <w:t>11</w:t>
            </w:r>
          </w:p>
        </w:tc>
        <w:tc>
          <w:tcPr>
            <w:tcW w:type="dxa" w:w="2160"/>
          </w:tcPr>
          <w:p>
            <w:r>
              <w:t>lucide-react</w:t>
            </w:r>
          </w:p>
        </w:tc>
        <w:tc>
          <w:tcPr>
            <w:tcW w:type="dxa" w:w="1008"/>
          </w:tcPr>
          <w:p>
            <w:r>
              <w:t>^1.7.0</w:t>
            </w:r>
          </w:p>
        </w:tc>
        <w:tc>
          <w:tcPr>
            <w:tcW w:type="dxa" w:w="864"/>
          </w:tcPr>
          <w:p>
            <w:r>
              <w:t>Buy</w:t>
            </w:r>
          </w:p>
        </w:tc>
        <w:tc>
          <w:tcPr>
            <w:tcW w:type="dxa" w:w="1728"/>
          </w:tcPr>
          <w:p>
            <w:r>
              <w:t>ISC</w:t>
            </w:r>
          </w:p>
        </w:tc>
        <w:tc>
          <w:tcPr>
            <w:tcW w:type="dxa" w:w="3024"/>
          </w:tcPr>
          <w:p>
            <w:r>
              <w:t>Icon component library providing all UI iconography across 15+ components.</w:t>
            </w:r>
          </w:p>
        </w:tc>
        <w:tc>
          <w:tcPr>
            <w:tcW w:type="dxa" w:w="1152"/>
          </w:tcPr>
          <w:p>
            <w:r>
              <w:t>Object</w:t>
            </w:r>
          </w:p>
        </w:tc>
      </w:tr>
      <w:tr>
        <w:tc>
          <w:tcPr>
            <w:tcW w:type="dxa" w:w="432"/>
          </w:tcPr>
          <w:p>
            <w:r>
              <w:t>12</w:t>
            </w:r>
          </w:p>
        </w:tc>
        <w:tc>
          <w:tcPr>
            <w:tcW w:type="dxa" w:w="2160"/>
          </w:tcPr>
          <w:p>
            <w:r>
              <w:t>xlsx</w:t>
            </w:r>
          </w:p>
        </w:tc>
        <w:tc>
          <w:tcPr>
            <w:tcW w:type="dxa" w:w="1008"/>
          </w:tcPr>
          <w:p>
            <w:r>
              <w:t>^0.18.5</w:t>
            </w:r>
          </w:p>
        </w:tc>
        <w:tc>
          <w:tcPr>
            <w:tcW w:type="dxa" w:w="864"/>
          </w:tcPr>
          <w:p>
            <w:r>
              <w:t>Buy</w:t>
            </w:r>
          </w:p>
        </w:tc>
        <w:tc>
          <w:tcPr>
            <w:tcW w:type="dxa" w:w="1728"/>
          </w:tcPr>
          <w:p>
            <w:r>
              <w:t>Apache 2.0</w:t>
            </w:r>
          </w:p>
        </w:tc>
        <w:tc>
          <w:tcPr>
            <w:tcW w:type="dxa" w:w="3024"/>
          </w:tcPr>
          <w:p>
            <w:r>
              <w:t>Enables Excel catalogue import in CatalogImportModal.tsx — brand owners bulk-upload product listings via .xlsx files.</w:t>
            </w:r>
          </w:p>
        </w:tc>
        <w:tc>
          <w:tcPr>
            <w:tcW w:type="dxa" w:w="1152"/>
          </w:tcPr>
          <w:p>
            <w:r>
              <w:t>Component</w:t>
            </w:r>
          </w:p>
        </w:tc>
      </w:tr>
      <w:tr>
        <w:tc>
          <w:tcPr>
            <w:tcW w:type="dxa" w:w="432"/>
          </w:tcPr>
          <w:p>
            <w:r>
              <w:t>13</w:t>
            </w:r>
          </w:p>
        </w:tc>
        <w:tc>
          <w:tcPr>
            <w:tcW w:type="dxa" w:w="2160"/>
          </w:tcPr>
          <w:p>
            <w:r>
              <w:t>Custom Trust Engine</w:t>
            </w:r>
          </w:p>
        </w:tc>
        <w:tc>
          <w:tcPr>
            <w:tcW w:type="dxa" w:w="1008"/>
          </w:tcPr>
          <w:p>
            <w:r>
              <w:t>N/A</w:t>
            </w:r>
          </w:p>
        </w:tc>
        <w:tc>
          <w:tcPr>
            <w:tcW w:type="dxa" w:w="864"/>
          </w:tcPr>
          <w:p>
            <w:r>
              <w:t>Make</w:t>
            </w:r>
          </w:p>
        </w:tc>
        <w:tc>
          <w:tcPr>
            <w:tcW w:type="dxa" w:w="1728"/>
          </w:tcPr>
          <w:p>
            <w:r>
              <w:t>Proprietary</w:t>
            </w:r>
          </w:p>
        </w:tc>
        <w:tc>
          <w:tcPr>
            <w:tcW w:type="dxa" w:w="3024"/>
          </w:tcPr>
          <w:p>
            <w:r>
              <w:t>No off-the-shelf solution for Kuwait-specific B2B trust scoring. Calculates response_rate, completion_rate, avg_fulfillment_days, and badge thresholds for BrandTrust and BuyerTrust. Core differentiating IP.</w:t>
            </w:r>
          </w:p>
        </w:tc>
        <w:tc>
          <w:tcPr>
            <w:tcW w:type="dxa" w:w="1152"/>
          </w:tcPr>
          <w:p>
            <w:r>
              <w:t>Abstract</w:t>
            </w:r>
          </w:p>
        </w:tc>
      </w:tr>
      <w:tr>
        <w:tc>
          <w:tcPr>
            <w:tcW w:type="dxa" w:w="432"/>
          </w:tcPr>
          <w:p>
            <w:r>
              <w:t>14</w:t>
            </w:r>
          </w:p>
        </w:tc>
        <w:tc>
          <w:tcPr>
            <w:tcW w:type="dxa" w:w="2160"/>
          </w:tcPr>
          <w:p>
            <w:r>
              <w:t>Custom RBAC Middleware</w:t>
            </w:r>
          </w:p>
        </w:tc>
        <w:tc>
          <w:tcPr>
            <w:tcW w:type="dxa" w:w="1008"/>
          </w:tcPr>
          <w:p>
            <w:r>
              <w:t>N/A</w:t>
            </w:r>
          </w:p>
        </w:tc>
        <w:tc>
          <w:tcPr>
            <w:tcW w:type="dxa" w:w="864"/>
          </w:tcPr>
          <w:p>
            <w:r>
              <w:t>Make</w:t>
            </w:r>
          </w:p>
        </w:tc>
        <w:tc>
          <w:tcPr>
            <w:tcW w:type="dxa" w:w="1728"/>
          </w:tcPr>
          <w:p>
            <w:r>
              <w:t>Proprietary</w:t>
            </w:r>
          </w:p>
        </w:tc>
        <w:tc>
          <w:tcPr>
            <w:tcW w:type="dxa" w:w="3024"/>
          </w:tcPr>
          <w:p>
            <w:r>
              <w:t>Three-tier role model (admin, brand_owner, buyer) does not map to any generic RBAC library. Enforced via getCurrentUser() guard in auth.ts and middleware.ts.</w:t>
            </w:r>
          </w:p>
        </w:tc>
        <w:tc>
          <w:tcPr>
            <w:tcW w:type="dxa" w:w="1152"/>
          </w:tcPr>
          <w:p>
            <w:r>
              <w:t>Abstract</w:t>
            </w:r>
          </w:p>
        </w:tc>
      </w:tr>
      <w:tr>
        <w:tc>
          <w:tcPr>
            <w:tcW w:type="dxa" w:w="432"/>
          </w:tcPr>
          <w:p>
            <w:r>
              <w:t>15</w:t>
            </w:r>
          </w:p>
        </w:tc>
        <w:tc>
          <w:tcPr>
            <w:tcW w:type="dxa" w:w="2160"/>
          </w:tcPr>
          <w:p>
            <w:r>
              <w:t>Custom REST API Layer</w:t>
            </w:r>
          </w:p>
        </w:tc>
        <w:tc>
          <w:tcPr>
            <w:tcW w:type="dxa" w:w="1008"/>
          </w:tcPr>
          <w:p>
            <w:r>
              <w:t>N/A</w:t>
            </w:r>
          </w:p>
        </w:tc>
        <w:tc>
          <w:tcPr>
            <w:tcW w:type="dxa" w:w="864"/>
          </w:tcPr>
          <w:p>
            <w:r>
              <w:t>Make</w:t>
            </w:r>
          </w:p>
        </w:tc>
        <w:tc>
          <w:tcPr>
            <w:tcW w:type="dxa" w:w="1728"/>
          </w:tcPr>
          <w:p>
            <w:r>
              <w:t>Proprietary</w:t>
            </w:r>
          </w:p>
        </w:tc>
        <w:tc>
          <w:tcPr>
            <w:tcW w:type="dxa" w:w="3024"/>
          </w:tcPr>
          <w:p>
            <w:r>
              <w:t>All 25 API handlers encode domain-specific rules: MOQ enforcement, bulk pricing resolution, WhatsApp click tracking, multi-role order lifecycle management.</w:t>
            </w:r>
          </w:p>
        </w:tc>
        <w:tc>
          <w:tcPr>
            <w:tcW w:type="dxa" w:w="1152"/>
          </w:tcPr>
          <w:p>
            <w:r>
              <w:t>Component</w:t>
            </w:r>
          </w:p>
        </w:tc>
      </w:tr>
    </w:tbl>
    <w:p/>
    <w:p>
      <w:pPr/>
      <w:r>
        <w:t>Summary by Decision:</w:t>
      </w:r>
    </w:p>
    <w:tbl>
      <w:tblPr>
        <w:tblStyle w:val="TableGrid"/>
        <w:tblW w:type="auto" w:w="0"/>
        <w:tblLook w:firstColumn="1" w:firstRow="1" w:lastColumn="0" w:lastRow="0" w:noHBand="0" w:noVBand="1" w:val="04A0"/>
      </w:tblPr>
      <w:tblGrid>
        <w:gridCol w:w="2160"/>
        <w:gridCol w:w="2160"/>
        <w:gridCol w:w="2160"/>
        <w:gridCol w:w="2160"/>
      </w:tblGrid>
      <w:tr>
        <w:tc>
          <w:tcPr>
            <w:tcW w:type="dxa" w:w="2592"/>
          </w:tcPr>
          <w:p>
            <w:r>
              <w:rPr>
                <w:b/>
              </w:rPr>
              <w:t>Decision</w:t>
            </w:r>
          </w:p>
        </w:tc>
        <w:tc>
          <w:tcPr>
            <w:tcW w:type="dxa" w:w="1008"/>
          </w:tcPr>
          <w:p>
            <w:r>
              <w:rPr>
                <w:b/>
              </w:rPr>
              <w:t>Count</w:t>
            </w:r>
          </w:p>
        </w:tc>
        <w:tc>
          <w:tcPr>
            <w:tcW w:type="dxa" w:w="1008"/>
          </w:tcPr>
          <w:p>
            <w:r>
              <w:rPr>
                <w:b/>
              </w:rPr>
              <w:t>Share</w:t>
            </w:r>
          </w:p>
        </w:tc>
        <w:tc>
          <w:tcPr>
            <w:tcW w:type="dxa" w:w="4752"/>
          </w:tcPr>
          <w:p>
            <w:r>
              <w:rPr>
                <w:b/>
              </w:rPr>
              <w:t>Commentary</w:t>
            </w:r>
          </w:p>
        </w:tc>
      </w:tr>
      <w:tr>
        <w:tc>
          <w:tcPr>
            <w:tcW w:type="dxa" w:w="2592"/>
          </w:tcPr>
          <w:p>
            <w:r>
              <w:t>Buy (open-source libraries)</w:t>
            </w:r>
          </w:p>
        </w:tc>
        <w:tc>
          <w:tcPr>
            <w:tcW w:type="dxa" w:w="1008"/>
          </w:tcPr>
          <w:p>
            <w:r>
              <w:t>9</w:t>
            </w:r>
          </w:p>
        </w:tc>
        <w:tc>
          <w:tcPr>
            <w:tcW w:type="dxa" w:w="1008"/>
          </w:tcPr>
          <w:p>
            <w:r>
              <w:t>60%</w:t>
            </w:r>
          </w:p>
        </w:tc>
        <w:tc>
          <w:tcPr>
            <w:tcW w:type="dxa" w:w="4752"/>
          </w:tcPr>
          <w:p>
            <w:r>
              <w:t>Deliberate maximisation of open-source adoption to reduce development effort.</w:t>
            </w:r>
          </w:p>
        </w:tc>
      </w:tr>
      <w:tr>
        <w:tc>
          <w:tcPr>
            <w:tcW w:type="dxa" w:w="2592"/>
          </w:tcPr>
          <w:p>
            <w:r>
              <w:t>Lease (managed cloud services)</w:t>
            </w:r>
          </w:p>
        </w:tc>
        <w:tc>
          <w:tcPr>
            <w:tcW w:type="dxa" w:w="1008"/>
          </w:tcPr>
          <w:p>
            <w:r>
              <w:t>3</w:t>
            </w:r>
          </w:p>
        </w:tc>
        <w:tc>
          <w:tcPr>
            <w:tcW w:type="dxa" w:w="1008"/>
          </w:tcPr>
          <w:p>
            <w:r>
              <w:t>20%</w:t>
            </w:r>
          </w:p>
        </w:tc>
        <w:tc>
          <w:tcPr>
            <w:tcW w:type="dxa" w:w="4752"/>
          </w:tcPr>
          <w:p>
            <w:r>
              <w:t>Infrastructure delegated to Supabase and Vercel; no servers to manage.</w:t>
            </w:r>
          </w:p>
        </w:tc>
      </w:tr>
      <w:tr>
        <w:tc>
          <w:tcPr>
            <w:tcW w:type="dxa" w:w="2592"/>
          </w:tcPr>
          <w:p>
            <w:r>
              <w:t>Make (custom-built in-house)</w:t>
            </w:r>
          </w:p>
        </w:tc>
        <w:tc>
          <w:tcPr>
            <w:tcW w:type="dxa" w:w="1008"/>
          </w:tcPr>
          <w:p>
            <w:r>
              <w:t>3</w:t>
            </w:r>
          </w:p>
        </w:tc>
        <w:tc>
          <w:tcPr>
            <w:tcW w:type="dxa" w:w="1008"/>
          </w:tcPr>
          <w:p>
            <w:r>
              <w:t>20%</w:t>
            </w:r>
          </w:p>
        </w:tc>
        <w:tc>
          <w:tcPr>
            <w:tcW w:type="dxa" w:w="4752"/>
          </w:tcPr>
          <w:p>
            <w:r>
              <w:t>Concentrated exclusively on domain logic constituting the platform's competitive differentiation — Trust Engine, RBAC, and B2B API ruleset.</w:t>
            </w:r>
          </w:p>
        </w:tc>
      </w:tr>
    </w:tbl>
    <w:p/>
    <w:p>
      <w:pPr/>
      <w:r>
        <w:t>No proprietary closed-source software was purchased, keeping total licensing cost at zero for the prototype phase.</w:t>
      </w:r>
    </w:p>
    <w:p>
      <w:pPr>
        <w:pStyle w:val="Heading2"/>
      </w:pPr>
      <w:r>
        <w:t>4.2  Software Reuse Analysis</w:t>
      </w:r>
    </w:p>
    <w:p>
      <w:pPr/>
      <w:r>
        <w:t>The Software Reuse Analysis focuses on the twelve externally-sourced components (nine Buy + three Lease decisions) and catalogues the reuse level, integration depth, and the specific codebase location at which each component is consumed. Reuse classification follows Sommerville's four-level taxonomy (System, Component, Object, Abstract).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432"/>
          </w:tcPr>
          <w:p>
            <w:r>
              <w:rPr>
                <w:b/>
              </w:rPr>
              <w:t>#</w:t>
            </w:r>
          </w:p>
        </w:tc>
        <w:tc>
          <w:tcPr>
            <w:tcW w:type="dxa" w:w="1872"/>
          </w:tcPr>
          <w:p>
            <w:r>
              <w:rPr>
                <w:b/>
              </w:rPr>
              <w:t>Component</w:t>
            </w:r>
          </w:p>
        </w:tc>
        <w:tc>
          <w:tcPr>
            <w:tcW w:type="dxa" w:w="1008"/>
          </w:tcPr>
          <w:p>
            <w:r>
              <w:rPr>
                <w:b/>
              </w:rPr>
              <w:t>Version</w:t>
            </w:r>
          </w:p>
        </w:tc>
        <w:tc>
          <w:tcPr>
            <w:tcW w:type="dxa" w:w="1296"/>
          </w:tcPr>
          <w:p>
            <w:r>
              <w:rPr>
                <w:b/>
              </w:rPr>
              <w:t>Reuse Level</w:t>
            </w:r>
          </w:p>
        </w:tc>
        <w:tc>
          <w:tcPr>
            <w:tcW w:type="dxa" w:w="1728"/>
          </w:tcPr>
          <w:p>
            <w:r>
              <w:rPr>
                <w:b/>
              </w:rPr>
              <w:t>License</w:t>
            </w:r>
          </w:p>
        </w:tc>
        <w:tc>
          <w:tcPr>
            <w:tcW w:type="dxa" w:w="2880"/>
          </w:tcPr>
          <w:p>
            <w:r>
              <w:rPr>
                <w:b/>
              </w:rPr>
              <w:t>Primary Integration Point</w:t>
            </w:r>
          </w:p>
        </w:tc>
        <w:tc>
          <w:tcPr>
            <w:tcW w:type="dxa" w:w="1584"/>
          </w:tcPr>
          <w:p>
            <w:r>
              <w:rPr>
                <w:b/>
              </w:rPr>
              <w:t>Dependency Type</w:t>
            </w:r>
          </w:p>
        </w:tc>
      </w:tr>
      <w:tr>
        <w:tc>
          <w:tcPr>
            <w:tcW w:type="dxa" w:w="432"/>
          </w:tcPr>
          <w:p>
            <w:r>
              <w:t>1</w:t>
            </w:r>
          </w:p>
        </w:tc>
        <w:tc>
          <w:tcPr>
            <w:tcW w:type="dxa" w:w="1872"/>
          </w:tcPr>
          <w:p>
            <w:r>
              <w:t>Next.js Framework</w:t>
            </w:r>
          </w:p>
        </w:tc>
        <w:tc>
          <w:tcPr>
            <w:tcW w:type="dxa" w:w="1008"/>
          </w:tcPr>
          <w:p>
            <w:r>
              <w:t>16.2.2</w:t>
            </w:r>
          </w:p>
        </w:tc>
        <w:tc>
          <w:tcPr>
            <w:tcW w:type="dxa" w:w="1296"/>
          </w:tcPr>
          <w:p>
            <w:r>
              <w:t>System</w:t>
            </w:r>
          </w:p>
        </w:tc>
        <w:tc>
          <w:tcPr>
            <w:tcW w:type="dxa" w:w="1728"/>
          </w:tcPr>
          <w:p>
            <w:r>
              <w:t>MIT</w:t>
            </w:r>
          </w:p>
        </w:tc>
        <w:tc>
          <w:tcPr>
            <w:tcW w:type="dxa" w:w="2880"/>
          </w:tcPr>
          <w:p>
            <w:r>
              <w:t>next.config.ts; entire src/app/ directory (App Router convention)</w:t>
            </w:r>
          </w:p>
        </w:tc>
        <w:tc>
          <w:tcPr>
            <w:tcW w:type="dxa" w:w="1584"/>
          </w:tcPr>
          <w:p>
            <w:r>
              <w:t>Framework — entire application is scaffolded inside Next.js</w:t>
            </w:r>
          </w:p>
        </w:tc>
      </w:tr>
      <w:tr>
        <w:tc>
          <w:tcPr>
            <w:tcW w:type="dxa" w:w="432"/>
          </w:tcPr>
          <w:p>
            <w:r>
              <w:t>2</w:t>
            </w:r>
          </w:p>
        </w:tc>
        <w:tc>
          <w:tcPr>
            <w:tcW w:type="dxa" w:w="1872"/>
          </w:tcPr>
          <w:p>
            <w:r>
              <w:t>React</w:t>
            </w:r>
          </w:p>
        </w:tc>
        <w:tc>
          <w:tcPr>
            <w:tcW w:type="dxa" w:w="1008"/>
          </w:tcPr>
          <w:p>
            <w:r>
              <w:t>19.2.4</w:t>
            </w:r>
          </w:p>
        </w:tc>
        <w:tc>
          <w:tcPr>
            <w:tcW w:type="dxa" w:w="1296"/>
          </w:tcPr>
          <w:p>
            <w:r>
              <w:t>Component</w:t>
            </w:r>
          </w:p>
        </w:tc>
        <w:tc>
          <w:tcPr>
            <w:tcW w:type="dxa" w:w="1728"/>
          </w:tcPr>
          <w:p>
            <w:r>
              <w:t>MIT</w:t>
            </w:r>
          </w:p>
        </w:tc>
        <w:tc>
          <w:tcPr>
            <w:tcW w:type="dxa" w:w="2880"/>
          </w:tcPr>
          <w:p>
            <w:r>
              <w:t>All .tsx files; JSX transform via tsconfig.json jsx: 'react-jsx'</w:t>
            </w:r>
          </w:p>
        </w:tc>
        <w:tc>
          <w:tcPr>
            <w:tcW w:type="dxa" w:w="1584"/>
          </w:tcPr>
          <w:p>
            <w:r>
              <w:t>Runtime library — all UI components are React components</w:t>
            </w:r>
          </w:p>
        </w:tc>
      </w:tr>
      <w:tr>
        <w:tc>
          <w:tcPr>
            <w:tcW w:type="dxa" w:w="432"/>
          </w:tcPr>
          <w:p>
            <w:r>
              <w:t>3</w:t>
            </w:r>
          </w:p>
        </w:tc>
        <w:tc>
          <w:tcPr>
            <w:tcW w:type="dxa" w:w="1872"/>
          </w:tcPr>
          <w:p>
            <w:r>
              <w:t>TypeScript</w:t>
            </w:r>
          </w:p>
        </w:tc>
        <w:tc>
          <w:tcPr>
            <w:tcW w:type="dxa" w:w="1008"/>
          </w:tcPr>
          <w:p>
            <w:r>
              <w:t>^5.x</w:t>
            </w:r>
          </w:p>
        </w:tc>
        <w:tc>
          <w:tcPr>
            <w:tcW w:type="dxa" w:w="1296"/>
          </w:tcPr>
          <w:p>
            <w:r>
              <w:t>System</w:t>
            </w:r>
          </w:p>
        </w:tc>
        <w:tc>
          <w:tcPr>
            <w:tcW w:type="dxa" w:w="1728"/>
          </w:tcPr>
          <w:p>
            <w:r>
              <w:t>Apache 2.0</w:t>
            </w:r>
          </w:p>
        </w:tc>
        <w:tc>
          <w:tcPr>
            <w:tcW w:type="dxa" w:w="2880"/>
          </w:tcPr>
          <w:p>
            <w:r>
              <w:t>tsconfig.json (strict: true); all .ts and .tsx source files</w:t>
            </w:r>
          </w:p>
        </w:tc>
        <w:tc>
          <w:tcPr>
            <w:tcW w:type="dxa" w:w="1584"/>
          </w:tcPr>
          <w:p>
            <w:r>
              <w:t>Compiler — type-checks all 93 source files at build time</w:t>
            </w:r>
          </w:p>
        </w:tc>
      </w:tr>
      <w:tr>
        <w:tc>
          <w:tcPr>
            <w:tcW w:type="dxa" w:w="432"/>
          </w:tcPr>
          <w:p>
            <w:r>
              <w:t>4</w:t>
            </w:r>
          </w:p>
        </w:tc>
        <w:tc>
          <w:tcPr>
            <w:tcW w:type="dxa" w:w="1872"/>
          </w:tcPr>
          <w:p>
            <w:r>
              <w:t>Supabase Auth (Lease)</w:t>
            </w:r>
          </w:p>
        </w:tc>
        <w:tc>
          <w:tcPr>
            <w:tcW w:type="dxa" w:w="1008"/>
          </w:tcPr>
          <w:p>
            <w:r>
              <w:t>^2.101.1</w:t>
            </w:r>
          </w:p>
        </w:tc>
        <w:tc>
          <w:tcPr>
            <w:tcW w:type="dxa" w:w="1296"/>
          </w:tcPr>
          <w:p>
            <w:r>
              <w:t>System</w:t>
            </w:r>
          </w:p>
        </w:tc>
        <w:tc>
          <w:tcPr>
            <w:tcW w:type="dxa" w:w="1728"/>
          </w:tcPr>
          <w:p>
            <w:r>
              <w:t>Apache 2.0 / Supabase ToS</w:t>
            </w:r>
          </w:p>
        </w:tc>
        <w:tc>
          <w:tcPr>
            <w:tcW w:type="dxa" w:w="2880"/>
          </w:tcPr>
          <w:p>
            <w:r>
              <w:t>src/utils/supabase/server.ts → consumed by src/lib/auth.ts</w:t>
            </w:r>
          </w:p>
        </w:tc>
        <w:tc>
          <w:tcPr>
            <w:tcW w:type="dxa" w:w="1584"/>
          </w:tcPr>
          <w:p>
            <w:r>
              <w:t>Managed service — JWT session management delegated entirely to Supabase</w:t>
            </w:r>
          </w:p>
        </w:tc>
      </w:tr>
      <w:tr>
        <w:tc>
          <w:tcPr>
            <w:tcW w:type="dxa" w:w="432"/>
          </w:tcPr>
          <w:p>
            <w:r>
              <w:t>5</w:t>
            </w:r>
          </w:p>
        </w:tc>
        <w:tc>
          <w:tcPr>
            <w:tcW w:type="dxa" w:w="1872"/>
          </w:tcPr>
          <w:p>
            <w:r>
              <w:t>@supabase/ssr SDK</w:t>
            </w:r>
          </w:p>
        </w:tc>
        <w:tc>
          <w:tcPr>
            <w:tcW w:type="dxa" w:w="1008"/>
          </w:tcPr>
          <w:p>
            <w:r>
              <w:t>^0.10.0</w:t>
            </w:r>
          </w:p>
        </w:tc>
        <w:tc>
          <w:tcPr>
            <w:tcW w:type="dxa" w:w="1296"/>
          </w:tcPr>
          <w:p>
            <w:r>
              <w:t>Component</w:t>
            </w:r>
          </w:p>
        </w:tc>
        <w:tc>
          <w:tcPr>
            <w:tcW w:type="dxa" w:w="1728"/>
          </w:tcPr>
          <w:p>
            <w:r>
              <w:t>Apache 2.0</w:t>
            </w:r>
          </w:p>
        </w:tc>
        <w:tc>
          <w:tcPr>
            <w:tcW w:type="dxa" w:w="2880"/>
          </w:tcPr>
          <w:p>
            <w:r>
              <w:t>src/utils/supabase/server.ts (createServerClient); src/utils/supabase/client.ts (createBrowserClient)</w:t>
            </w:r>
          </w:p>
        </w:tc>
        <w:tc>
          <w:tcPr>
            <w:tcW w:type="dxa" w:w="1584"/>
          </w:tcPr>
          <w:p>
            <w:r>
              <w:t>SDK — adapts Supabase Auth to Next.js cookie-based SSR sessions</w:t>
            </w:r>
          </w:p>
        </w:tc>
      </w:tr>
      <w:tr>
        <w:tc>
          <w:tcPr>
            <w:tcW w:type="dxa" w:w="432"/>
          </w:tcPr>
          <w:p>
            <w:r>
              <w:t>6</w:t>
            </w:r>
          </w:p>
        </w:tc>
        <w:tc>
          <w:tcPr>
            <w:tcW w:type="dxa" w:w="1872"/>
          </w:tcPr>
          <w:p>
            <w:r>
              <w:t>PostgreSQL (Lease)</w:t>
            </w:r>
          </w:p>
        </w:tc>
        <w:tc>
          <w:tcPr>
            <w:tcW w:type="dxa" w:w="1008"/>
          </w:tcPr>
          <w:p>
            <w:r>
              <w:t>Managed</w:t>
            </w:r>
          </w:p>
        </w:tc>
        <w:tc>
          <w:tcPr>
            <w:tcW w:type="dxa" w:w="1296"/>
          </w:tcPr>
          <w:p>
            <w:r>
              <w:t>System</w:t>
            </w:r>
          </w:p>
        </w:tc>
        <w:tc>
          <w:tcPr>
            <w:tcW w:type="dxa" w:w="1728"/>
          </w:tcPr>
          <w:p>
            <w:r>
              <w:t>PostgreSQL Lic. / Supabase ToS</w:t>
            </w:r>
          </w:p>
        </w:tc>
        <w:tc>
          <w:tcPr>
            <w:tcW w:type="dxa" w:w="2880"/>
          </w:tcPr>
          <w:p>
            <w:r>
              <w:t>Target production store; currently accessed via Supabase dashboard for auth; db.ts will point to PostgreSQL post-migration</w:t>
            </w:r>
          </w:p>
        </w:tc>
        <w:tc>
          <w:tcPr>
            <w:tcW w:type="dxa" w:w="1584"/>
          </w:tcPr>
          <w:p>
            <w:r>
              <w:t>Managed service — no local PostgreSQL installation required</w:t>
            </w:r>
          </w:p>
        </w:tc>
      </w:tr>
      <w:tr>
        <w:tc>
          <w:tcPr>
            <w:tcW w:type="dxa" w:w="432"/>
          </w:tcPr>
          <w:p>
            <w:r>
              <w:t>7</w:t>
            </w:r>
          </w:p>
        </w:tc>
        <w:tc>
          <w:tcPr>
            <w:tcW w:type="dxa" w:w="1872"/>
          </w:tcPr>
          <w:p>
            <w:r>
              <w:t>Vercel (Lease)</w:t>
            </w:r>
          </w:p>
        </w:tc>
        <w:tc>
          <w:tcPr>
            <w:tcW w:type="dxa" w:w="1008"/>
          </w:tcPr>
          <w:p>
            <w:r>
              <w:t>N/A</w:t>
            </w:r>
          </w:p>
        </w:tc>
        <w:tc>
          <w:tcPr>
            <w:tcW w:type="dxa" w:w="1296"/>
          </w:tcPr>
          <w:p>
            <w:r>
              <w:t>System</w:t>
            </w:r>
          </w:p>
        </w:tc>
        <w:tc>
          <w:tcPr>
            <w:tcW w:type="dxa" w:w="1728"/>
          </w:tcPr>
          <w:p>
            <w:r>
              <w:t>Proprietary ToS</w:t>
            </w:r>
          </w:p>
        </w:tc>
        <w:tc>
          <w:tcPr>
            <w:tcW w:type="dxa" w:w="2880"/>
          </w:tcPr>
          <w:p>
            <w:r>
              <w:t>vercel.json (implicit); Git remote → Vercel CI/CD webhook</w:t>
            </w:r>
          </w:p>
        </w:tc>
        <w:tc>
          <w:tcPr>
            <w:tcW w:type="dxa" w:w="1584"/>
          </w:tcPr>
          <w:p>
            <w:r>
              <w:t>Managed service — hosts all Next.js SSR pages and serverless API routes</w:t>
            </w:r>
          </w:p>
        </w:tc>
      </w:tr>
      <w:tr>
        <w:tc>
          <w:tcPr>
            <w:tcW w:type="dxa" w:w="432"/>
          </w:tcPr>
          <w:p>
            <w:r>
              <w:t>8</w:t>
            </w:r>
          </w:p>
        </w:tc>
        <w:tc>
          <w:tcPr>
            <w:tcW w:type="dxa" w:w="1872"/>
          </w:tcPr>
          <w:p>
            <w:r>
              <w:t>next-intl</w:t>
            </w:r>
          </w:p>
        </w:tc>
        <w:tc>
          <w:tcPr>
            <w:tcW w:type="dxa" w:w="1008"/>
          </w:tcPr>
          <w:p>
            <w:r>
              <w:t>^4.9.0</w:t>
            </w:r>
          </w:p>
        </w:tc>
        <w:tc>
          <w:tcPr>
            <w:tcW w:type="dxa" w:w="1296"/>
          </w:tcPr>
          <w:p>
            <w:r>
              <w:t>Component</w:t>
            </w:r>
          </w:p>
        </w:tc>
        <w:tc>
          <w:tcPr>
            <w:tcW w:type="dxa" w:w="1728"/>
          </w:tcPr>
          <w:p>
            <w:r>
              <w:t>MIT</w:t>
            </w:r>
          </w:p>
        </w:tc>
        <w:tc>
          <w:tcPr>
            <w:tcW w:type="dxa" w:w="2880"/>
          </w:tcPr>
          <w:p>
            <w:r>
              <w:t>src/i18n/request.ts; src/i18n.ts; next.config.ts (withNextIntl plugin); messages/ar.json + messages/en.json</w:t>
            </w:r>
          </w:p>
        </w:tc>
        <w:tc>
          <w:tcPr>
            <w:tcW w:type="dxa" w:w="1584"/>
          </w:tcPr>
          <w:p>
            <w:r>
              <w:t>Plugin + library — wraps the Next.js router for locale-aware routing</w:t>
            </w:r>
          </w:p>
        </w:tc>
      </w:tr>
      <w:tr>
        <w:tc>
          <w:tcPr>
            <w:tcW w:type="dxa" w:w="432"/>
          </w:tcPr>
          <w:p>
            <w:r>
              <w:t>9</w:t>
            </w:r>
          </w:p>
        </w:tc>
        <w:tc>
          <w:tcPr>
            <w:tcW w:type="dxa" w:w="1872"/>
          </w:tcPr>
          <w:p>
            <w:r>
              <w:t>Zustand</w:t>
            </w:r>
          </w:p>
        </w:tc>
        <w:tc>
          <w:tcPr>
            <w:tcW w:type="dxa" w:w="1008"/>
          </w:tcPr>
          <w:p>
            <w:r>
              <w:t>^5.0.12</w:t>
            </w:r>
          </w:p>
        </w:tc>
        <w:tc>
          <w:tcPr>
            <w:tcW w:type="dxa" w:w="1296"/>
          </w:tcPr>
          <w:p>
            <w:r>
              <w:t>Object</w:t>
            </w:r>
          </w:p>
        </w:tc>
        <w:tc>
          <w:tcPr>
            <w:tcW w:type="dxa" w:w="1728"/>
          </w:tcPr>
          <w:p>
            <w:r>
              <w:t>MIT</w:t>
            </w:r>
          </w:p>
        </w:tc>
        <w:tc>
          <w:tcPr>
            <w:tcW w:type="dxa" w:w="2880"/>
          </w:tcPr>
          <w:p>
            <w:r>
              <w:t>src/store/notificationStore.ts (create()); consumed by NotificationBell.tsx and RealtimeProvider.tsx</w:t>
            </w:r>
          </w:p>
        </w:tc>
        <w:tc>
          <w:tcPr>
            <w:tcW w:type="dxa" w:w="1584"/>
          </w:tcPr>
          <w:p>
            <w:r>
              <w:t>Library — single store slice; zero-boilerplate hook API</w:t>
            </w:r>
          </w:p>
        </w:tc>
      </w:tr>
      <w:tr>
        <w:tc>
          <w:tcPr>
            <w:tcW w:type="dxa" w:w="432"/>
          </w:tcPr>
          <w:p>
            <w:r>
              <w:t>10</w:t>
            </w:r>
          </w:p>
        </w:tc>
        <w:tc>
          <w:tcPr>
            <w:tcW w:type="dxa" w:w="1872"/>
          </w:tcPr>
          <w:p>
            <w:r>
              <w:t>Recharts</w:t>
            </w:r>
          </w:p>
        </w:tc>
        <w:tc>
          <w:tcPr>
            <w:tcW w:type="dxa" w:w="1008"/>
          </w:tcPr>
          <w:p>
            <w:r>
              <w:t>^3.8.1</w:t>
            </w:r>
          </w:p>
        </w:tc>
        <w:tc>
          <w:tcPr>
            <w:tcW w:type="dxa" w:w="1296"/>
          </w:tcPr>
          <w:p>
            <w:r>
              <w:t>Component</w:t>
            </w:r>
          </w:p>
        </w:tc>
        <w:tc>
          <w:tcPr>
            <w:tcW w:type="dxa" w:w="1728"/>
          </w:tcPr>
          <w:p>
            <w:r>
              <w:t>MIT</w:t>
            </w:r>
          </w:p>
        </w:tc>
        <w:tc>
          <w:tcPr>
            <w:tcW w:type="dxa" w:w="2880"/>
          </w:tcPr>
          <w:p>
            <w:r>
              <w:t>src/app/admin/dashboard/page.tsx; src/app/brand/dashboard/page.tsx</w:t>
            </w:r>
          </w:p>
        </w:tc>
        <w:tc>
          <w:tcPr>
            <w:tcW w:type="dxa" w:w="1584"/>
          </w:tcPr>
          <w:p>
            <w:r>
              <w:t>Library — composable chart components rendered inside React pages</w:t>
            </w:r>
          </w:p>
        </w:tc>
      </w:tr>
      <w:tr>
        <w:tc>
          <w:tcPr>
            <w:tcW w:type="dxa" w:w="432"/>
          </w:tcPr>
          <w:p>
            <w:r>
              <w:t>11</w:t>
            </w:r>
          </w:p>
        </w:tc>
        <w:tc>
          <w:tcPr>
            <w:tcW w:type="dxa" w:w="1872"/>
          </w:tcPr>
          <w:p>
            <w:r>
              <w:t>lucide-react</w:t>
            </w:r>
          </w:p>
        </w:tc>
        <w:tc>
          <w:tcPr>
            <w:tcW w:type="dxa" w:w="1008"/>
          </w:tcPr>
          <w:p>
            <w:r>
              <w:t>^1.7.0</w:t>
            </w:r>
          </w:p>
        </w:tc>
        <w:tc>
          <w:tcPr>
            <w:tcW w:type="dxa" w:w="1296"/>
          </w:tcPr>
          <w:p>
            <w:r>
              <w:t>Object</w:t>
            </w:r>
          </w:p>
        </w:tc>
        <w:tc>
          <w:tcPr>
            <w:tcW w:type="dxa" w:w="1728"/>
          </w:tcPr>
          <w:p>
            <w:r>
              <w:t>ISC</w:t>
            </w:r>
          </w:p>
        </w:tc>
        <w:tc>
          <w:tcPr>
            <w:tcW w:type="dxa" w:w="2880"/>
          </w:tcPr>
          <w:p>
            <w:r>
              <w:t>15+ component files (Bell, ShoppingCart, Star, Check, X, ...)</w:t>
            </w:r>
          </w:p>
        </w:tc>
        <w:tc>
          <w:tcPr>
            <w:tcW w:type="dxa" w:w="1584"/>
          </w:tcPr>
          <w:p>
            <w:r>
              <w:t>Library — individual SVG icon components imported by name</w:t>
            </w:r>
          </w:p>
        </w:tc>
      </w:tr>
      <w:tr>
        <w:tc>
          <w:tcPr>
            <w:tcW w:type="dxa" w:w="432"/>
          </w:tcPr>
          <w:p>
            <w:r>
              <w:t>12</w:t>
            </w:r>
          </w:p>
        </w:tc>
        <w:tc>
          <w:tcPr>
            <w:tcW w:type="dxa" w:w="1872"/>
          </w:tcPr>
          <w:p>
            <w:r>
              <w:t>xlsx</w:t>
            </w:r>
          </w:p>
        </w:tc>
        <w:tc>
          <w:tcPr>
            <w:tcW w:type="dxa" w:w="1008"/>
          </w:tcPr>
          <w:p>
            <w:r>
              <w:t>^0.18.5</w:t>
            </w:r>
          </w:p>
        </w:tc>
        <w:tc>
          <w:tcPr>
            <w:tcW w:type="dxa" w:w="1296"/>
          </w:tcPr>
          <w:p>
            <w:r>
              <w:t>Component</w:t>
            </w:r>
          </w:p>
        </w:tc>
        <w:tc>
          <w:tcPr>
            <w:tcW w:type="dxa" w:w="1728"/>
          </w:tcPr>
          <w:p>
            <w:r>
              <w:t>Apache 2.0</w:t>
            </w:r>
          </w:p>
        </w:tc>
        <w:tc>
          <w:tcPr>
            <w:tcW w:type="dxa" w:w="2880"/>
          </w:tcPr>
          <w:p>
            <w:r>
              <w:t>src/components/CatalogImportModal.tsx; src/app/api/products/bulk/route.ts</w:t>
            </w:r>
          </w:p>
        </w:tc>
        <w:tc>
          <w:tcPr>
            <w:tcW w:type="dxa" w:w="1584"/>
          </w:tcPr>
          <w:p>
            <w:r>
              <w:t>Library — XLSX.read() and XLSX.utils.sheet_to_json() called directly</w:t>
            </w:r>
          </w:p>
        </w:tc>
      </w:tr>
    </w:tbl>
    <w:p/>
    <w:p>
      <w:pPr>
        <w:pStyle w:val="Heading2"/>
      </w:pPr>
      <w:r>
        <w:t>4.3  Coding Artefacts &amp; Project Structure</w:t>
      </w:r>
    </w:p>
    <w:p>
      <w:pPr/>
      <w:r>
        <w:t>The Kuwait B2B Hub was developed using a modular, component-driven architecture built on the Next.js 16 App Router paradigm. All core application logic, routing, and UI components are encapsulated within the src/ directory, enforcing a clear separation between presentation, business logic, and data access layers. The directory tree below represents the final physical structure of the workspace repository. API routes are shown in flattened path notation for brevity.</w:t>
      </w:r>
    </w:p>
    <w:p>
      <w:pPr/>
      <w:r>
        <w:t>Figure 8 — Kuwait B2B Hub: Final Project Folder Structure</w:t>
      </w:r>
    </w:p>
    <w:p>
      <w:pPr>
        <w:spacing w:before="0" w:after="0"/>
      </w:pPr>
      <w:r>
        <w:rPr>
          <w:rFonts w:ascii="Courier New" w:hAnsi="Courier New"/>
          <w:sz w:val="14"/>
        </w:rPr>
        <w:t>Kuwait B2B Hub</w:t>
      </w:r>
    </w:p>
    <w:p>
      <w:pPr>
        <w:spacing w:before="0" w:after="0"/>
      </w:pPr>
      <w:r>
        <w:rPr>
          <w:rFonts w:ascii="Courier New" w:hAnsi="Courier New"/>
          <w:sz w:val="14"/>
        </w:rPr>
        <w:t>/app</w:t>
      </w:r>
    </w:p>
    <w:p>
      <w:pPr>
        <w:spacing w:before="0" w:after="0"/>
      </w:pPr>
      <w:r>
        <w:rPr>
          <w:rFonts w:ascii="Courier New" w:hAnsi="Courier New"/>
          <w:sz w:val="14"/>
        </w:rPr>
        <w:t>├── messages/</w:t>
      </w:r>
    </w:p>
    <w:p>
      <w:pPr>
        <w:spacing w:before="0" w:after="0"/>
      </w:pPr>
      <w:r>
        <w:rPr>
          <w:rFonts w:ascii="Courier New" w:hAnsi="Courier New"/>
          <w:sz w:val="14"/>
        </w:rPr>
        <w:t>│   ├── ar.json</w:t>
      </w:r>
    </w:p>
    <w:p>
      <w:pPr>
        <w:spacing w:before="0" w:after="0"/>
      </w:pPr>
      <w:r>
        <w:rPr>
          <w:rFonts w:ascii="Courier New" w:hAnsi="Courier New"/>
          <w:sz w:val="14"/>
        </w:rPr>
        <w:t>│   └── en.json</w:t>
      </w:r>
    </w:p>
    <w:p>
      <w:pPr>
        <w:spacing w:before="0" w:after="0"/>
      </w:pPr>
      <w:r>
        <w:rPr>
          <w:rFonts w:ascii="Courier New" w:hAnsi="Courier New"/>
          <w:sz w:val="14"/>
        </w:rPr>
        <w:t>├── public/</w:t>
      </w:r>
    </w:p>
    <w:p>
      <w:pPr>
        <w:spacing w:before="0" w:after="0"/>
      </w:pPr>
      <w:r>
        <w:rPr>
          <w:rFonts w:ascii="Courier New" w:hAnsi="Courier New"/>
          <w:sz w:val="14"/>
        </w:rPr>
        <w:t>│   ├── file.svg  globe.svg  next.svg  vercel.svg  window.svg</w:t>
      </w:r>
    </w:p>
    <w:p>
      <w:pPr>
        <w:spacing w:before="0" w:after="0"/>
      </w:pPr>
      <w:r>
        <w:rPr>
          <w:rFonts w:ascii="Courier New" w:hAnsi="Courier New"/>
          <w:sz w:val="14"/>
        </w:rPr>
        <w:t>│   └── robots.txt</w:t>
      </w:r>
    </w:p>
    <w:p>
      <w:pPr>
        <w:spacing w:before="0" w:after="0"/>
      </w:pPr>
      <w:r>
        <w:rPr>
          <w:rFonts w:ascii="Courier New" w:hAnsi="Courier New"/>
          <w:sz w:val="14"/>
        </w:rPr>
        <w:t>├── src/</w:t>
      </w:r>
    </w:p>
    <w:p>
      <w:pPr>
        <w:spacing w:before="0" w:after="0"/>
      </w:pPr>
      <w:r>
        <w:rPr>
          <w:rFonts w:ascii="Courier New" w:hAnsi="Courier New"/>
          <w:sz w:val="14"/>
        </w:rPr>
        <w:t>│   ├── app/</w:t>
      </w:r>
    </w:p>
    <w:p>
      <w:pPr>
        <w:spacing w:before="0" w:after="0"/>
      </w:pPr>
      <w:r>
        <w:rPr>
          <w:rFonts w:ascii="Courier New" w:hAnsi="Courier New"/>
          <w:sz w:val="14"/>
        </w:rPr>
        <w:t>│   │   ├── admin/</w:t>
      </w:r>
    </w:p>
    <w:p>
      <w:pPr>
        <w:spacing w:before="0" w:after="0"/>
      </w:pPr>
      <w:r>
        <w:rPr>
          <w:rFonts w:ascii="Courier New" w:hAnsi="Courier New"/>
          <w:sz w:val="14"/>
        </w:rPr>
        <w:t>│   │   │   ├── brands/page.tsx</w:t>
      </w:r>
    </w:p>
    <w:p>
      <w:pPr>
        <w:spacing w:before="0" w:after="0"/>
      </w:pPr>
      <w:r>
        <w:rPr>
          <w:rFonts w:ascii="Courier New" w:hAnsi="Courier New"/>
          <w:sz w:val="14"/>
        </w:rPr>
        <w:t>│   │   │   ├── dashboard/page.tsx</w:t>
      </w:r>
    </w:p>
    <w:p>
      <w:pPr>
        <w:spacing w:before="0" w:after="0"/>
      </w:pPr>
      <w:r>
        <w:rPr>
          <w:rFonts w:ascii="Courier New" w:hAnsi="Courier New"/>
          <w:sz w:val="14"/>
        </w:rPr>
        <w:t>│   │   │   ├── orders/page.tsx</w:t>
      </w:r>
    </w:p>
    <w:p>
      <w:pPr>
        <w:spacing w:before="0" w:after="0"/>
      </w:pPr>
      <w:r>
        <w:rPr>
          <w:rFonts w:ascii="Courier New" w:hAnsi="Courier New"/>
          <w:sz w:val="14"/>
        </w:rPr>
        <w:t>│   │   │   └── users/page.tsx</w:t>
      </w:r>
    </w:p>
    <w:p>
      <w:pPr>
        <w:spacing w:before="0" w:after="0"/>
      </w:pPr>
      <w:r>
        <w:rPr>
          <w:rFonts w:ascii="Courier New" w:hAnsi="Courier New"/>
          <w:sz w:val="14"/>
        </w:rPr>
        <w:t>│   │   ├── api/</w:t>
      </w:r>
    </w:p>
    <w:p>
      <w:pPr>
        <w:spacing w:before="0" w:after="0"/>
      </w:pPr>
      <w:r>
        <w:rPr>
          <w:rFonts w:ascii="Courier New" w:hAnsi="Courier New"/>
          <w:sz w:val="14"/>
        </w:rPr>
        <w:t>│   │   │   ├── admin/brands/[id]/route.ts    admin/brands/route.ts</w:t>
      </w:r>
    </w:p>
    <w:p>
      <w:pPr>
        <w:spacing w:before="0" w:after="0"/>
      </w:pPr>
      <w:r>
        <w:rPr>
          <w:rFonts w:ascii="Courier New" w:hAnsi="Courier New"/>
          <w:sz w:val="14"/>
        </w:rPr>
        <w:t>│   │   │   ├── admin/orders/route.ts         admin/reviews/[id]/route.ts</w:t>
      </w:r>
    </w:p>
    <w:p>
      <w:pPr>
        <w:spacing w:before="0" w:after="0"/>
      </w:pPr>
      <w:r>
        <w:rPr>
          <w:rFonts w:ascii="Courier New" w:hAnsi="Courier New"/>
          <w:sz w:val="14"/>
        </w:rPr>
        <w:t>│   │   │   ├── admin/users/route.ts</w:t>
      </w:r>
    </w:p>
    <w:p>
      <w:pPr>
        <w:spacing w:before="0" w:after="0"/>
      </w:pPr>
      <w:r>
        <w:rPr>
          <w:rFonts w:ascii="Courier New" w:hAnsi="Courier New"/>
          <w:sz w:val="14"/>
        </w:rPr>
        <w:t>│   │   │   ├── auth/login/route.ts           auth/logout/route.ts</w:t>
      </w:r>
    </w:p>
    <w:p>
      <w:pPr>
        <w:spacing w:before="0" w:after="0"/>
      </w:pPr>
      <w:r>
        <w:rPr>
          <w:rFonts w:ascii="Courier New" w:hAnsi="Courier New"/>
          <w:sz w:val="14"/>
        </w:rPr>
        <w:t>│   │   │   ├── auth/me/route.ts              auth/register/route.ts</w:t>
      </w:r>
    </w:p>
    <w:p>
      <w:pPr>
        <w:spacing w:before="0" w:after="0"/>
      </w:pPr>
      <w:r>
        <w:rPr>
          <w:rFonts w:ascii="Courier New" w:hAnsi="Courier New"/>
          <w:sz w:val="14"/>
        </w:rPr>
        <w:t>│   │   │   ├── brands/[id]/route.ts          brands/route.ts</w:t>
      </w:r>
    </w:p>
    <w:p>
      <w:pPr>
        <w:spacing w:before="0" w:after="0"/>
      </w:pPr>
      <w:r>
        <w:rPr>
          <w:rFonts w:ascii="Courier New" w:hAnsi="Courier New"/>
          <w:sz w:val="14"/>
        </w:rPr>
        <w:t>│   │   │   ├── brands/whatsapp-click/route.ts</w:t>
      </w:r>
    </w:p>
    <w:p>
      <w:pPr>
        <w:spacing w:before="0" w:after="0"/>
      </w:pPr>
      <w:r>
        <w:rPr>
          <w:rFonts w:ascii="Courier New" w:hAnsi="Courier New"/>
          <w:sz w:val="14"/>
        </w:rPr>
        <w:t>│   │   │   ├── exchange-rates/route.ts       messages/route.ts</w:t>
      </w:r>
    </w:p>
    <w:p>
      <w:pPr>
        <w:spacing w:before="0" w:after="0"/>
      </w:pPr>
      <w:r>
        <w:rPr>
          <w:rFonts w:ascii="Courier New" w:hAnsi="Courier New"/>
          <w:sz w:val="14"/>
        </w:rPr>
        <w:t>│   │   │   ├── notifications/[id]/route.ts   notifications/route.ts</w:t>
      </w:r>
    </w:p>
    <w:p>
      <w:pPr>
        <w:spacing w:before="0" w:after="0"/>
      </w:pPr>
      <w:r>
        <w:rPr>
          <w:rFonts w:ascii="Courier New" w:hAnsi="Courier New"/>
          <w:sz w:val="14"/>
        </w:rPr>
        <w:t>│   │   │   ├── orders/[id]/route.ts          orders/route.ts</w:t>
      </w:r>
    </w:p>
    <w:p>
      <w:pPr>
        <w:spacing w:before="0" w:after="0"/>
      </w:pPr>
      <w:r>
        <w:rPr>
          <w:rFonts w:ascii="Courier New" w:hAnsi="Courier New"/>
          <w:sz w:val="14"/>
        </w:rPr>
        <w:t>│   │   │   ├── products/[id]/route.ts        products/bulk/route.ts</w:t>
      </w:r>
    </w:p>
    <w:p>
      <w:pPr>
        <w:spacing w:before="0" w:after="0"/>
      </w:pPr>
      <w:r>
        <w:rPr>
          <w:rFonts w:ascii="Courier New" w:hAnsi="Courier New"/>
          <w:sz w:val="14"/>
        </w:rPr>
        <w:t>│   │   │   ├── products/route.ts</w:t>
      </w:r>
    </w:p>
    <w:p>
      <w:pPr>
        <w:spacing w:before="0" w:after="0"/>
      </w:pPr>
      <w:r>
        <w:rPr>
          <w:rFonts w:ascii="Courier New" w:hAnsi="Courier New"/>
          <w:sz w:val="14"/>
        </w:rPr>
        <w:t>│   │   │   ├── reviews/[id]/reply/route.ts   reviews/[id]/route.ts</w:t>
      </w:r>
    </w:p>
    <w:p>
      <w:pPr>
        <w:spacing w:before="0" w:after="0"/>
      </w:pPr>
      <w:r>
        <w:rPr>
          <w:rFonts w:ascii="Courier New" w:hAnsi="Courier New"/>
          <w:sz w:val="14"/>
        </w:rPr>
        <w:t>│   │   │   ├── reviews/route.ts              trust/[id]/route.ts</w:t>
      </w:r>
    </w:p>
    <w:p>
      <w:pPr>
        <w:spacing w:before="0" w:after="0"/>
      </w:pPr>
      <w:r>
        <w:rPr>
          <w:rFonts w:ascii="Courier New" w:hAnsi="Courier New"/>
          <w:sz w:val="14"/>
        </w:rPr>
        <w:t>│   │   ├── brand/</w:t>
      </w:r>
    </w:p>
    <w:p>
      <w:pPr>
        <w:spacing w:before="0" w:after="0"/>
      </w:pPr>
      <w:r>
        <w:rPr>
          <w:rFonts w:ascii="Courier New" w:hAnsi="Courier New"/>
          <w:sz w:val="14"/>
        </w:rPr>
        <w:t>│   │   │   ├── dashboard/page.tsx</w:t>
      </w:r>
    </w:p>
    <w:p>
      <w:pPr>
        <w:spacing w:before="0" w:after="0"/>
      </w:pPr>
      <w:r>
        <w:rPr>
          <w:rFonts w:ascii="Courier New" w:hAnsi="Courier New"/>
          <w:sz w:val="14"/>
        </w:rPr>
        <w:t>│   │   │   ├── orders/[id]/page.tsx          orders/page.tsx</w:t>
      </w:r>
    </w:p>
    <w:p>
      <w:pPr>
        <w:spacing w:before="0" w:after="0"/>
      </w:pPr>
      <w:r>
        <w:rPr>
          <w:rFonts w:ascii="Courier New" w:hAnsi="Courier New"/>
          <w:sz w:val="14"/>
        </w:rPr>
        <w:t>│   │   │   ├── products/[id]/edit/page.tsx   products/new/page.tsx</w:t>
      </w:r>
    </w:p>
    <w:p>
      <w:pPr>
        <w:spacing w:before="0" w:after="0"/>
      </w:pPr>
      <w:r>
        <w:rPr>
          <w:rFonts w:ascii="Courier New" w:hAnsi="Courier New"/>
          <w:sz w:val="14"/>
        </w:rPr>
        <w:t>│   │   │   ├── products/page.tsx             profile/page.tsx</w:t>
      </w:r>
    </w:p>
    <w:p>
      <w:pPr>
        <w:spacing w:before="0" w:after="0"/>
      </w:pPr>
      <w:r>
        <w:rPr>
          <w:rFonts w:ascii="Courier New" w:hAnsi="Courier New"/>
          <w:sz w:val="14"/>
        </w:rPr>
        <w:t>│   │   ├── brands/[id]/page.tsx</w:t>
      </w:r>
    </w:p>
    <w:p>
      <w:pPr>
        <w:spacing w:before="0" w:after="0"/>
      </w:pPr>
      <w:r>
        <w:rPr>
          <w:rFonts w:ascii="Courier New" w:hAnsi="Courier New"/>
          <w:sz w:val="14"/>
        </w:rPr>
        <w:t>│   │   ├── dashboard/page.tsx                login/page.tsx</w:t>
      </w:r>
    </w:p>
    <w:p>
      <w:pPr>
        <w:spacing w:before="0" w:after="0"/>
      </w:pPr>
      <w:r>
        <w:rPr>
          <w:rFonts w:ascii="Courier New" w:hAnsi="Courier New"/>
          <w:sz w:val="14"/>
        </w:rPr>
        <w:t>│   │   ├── marketplace/page.tsx              notifications/page.tsx</w:t>
      </w:r>
    </w:p>
    <w:p>
      <w:pPr>
        <w:spacing w:before="0" w:after="0"/>
      </w:pPr>
      <w:r>
        <w:rPr>
          <w:rFonts w:ascii="Courier New" w:hAnsi="Courier New"/>
          <w:sz w:val="14"/>
        </w:rPr>
        <w:t>│   │   ├── orders/[id]/page.tsx              orders/page.tsx</w:t>
      </w:r>
    </w:p>
    <w:p>
      <w:pPr>
        <w:spacing w:before="0" w:after="0"/>
      </w:pPr>
      <w:r>
        <w:rPr>
          <w:rFonts w:ascii="Courier New" w:hAnsi="Courier New"/>
          <w:sz w:val="14"/>
        </w:rPr>
        <w:t>│   │   ├── pending/page.tsx                  register/page.tsx</w:t>
      </w:r>
    </w:p>
    <w:p>
      <w:pPr>
        <w:spacing w:before="0" w:after="0"/>
      </w:pPr>
      <w:r>
        <w:rPr>
          <w:rFonts w:ascii="Courier New" w:hAnsi="Courier New"/>
          <w:sz w:val="14"/>
        </w:rPr>
        <w:t>│   │   ├── favicon.ico  globals.css  layout.tsx</w:t>
      </w:r>
    </w:p>
    <w:p>
      <w:pPr>
        <w:spacing w:before="0" w:after="0"/>
      </w:pPr>
      <w:r>
        <w:rPr>
          <w:rFonts w:ascii="Courier New" w:hAnsi="Courier New"/>
          <w:sz w:val="14"/>
        </w:rPr>
        <w:t>│   │   ├── page.module.css  page.tsx  sitemap.ts</w:t>
      </w:r>
    </w:p>
    <w:p>
      <w:pPr>
        <w:spacing w:before="0" w:after="0"/>
      </w:pPr>
      <w:r>
        <w:rPr>
          <w:rFonts w:ascii="Courier New" w:hAnsi="Courier New"/>
          <w:sz w:val="14"/>
        </w:rPr>
        <w:t>│   │   ├── components/</w:t>
      </w:r>
    </w:p>
    <w:p>
      <w:pPr>
        <w:spacing w:before="0" w:after="0"/>
      </w:pPr>
      <w:r>
        <w:rPr>
          <w:rFonts w:ascii="Courier New" w:hAnsi="Courier New"/>
          <w:sz w:val="14"/>
        </w:rPr>
        <w:t>│   │   │   ├── providers/RealtimeProvider.tsx</w:t>
      </w:r>
    </w:p>
    <w:p>
      <w:pPr>
        <w:spacing w:before="0" w:after="0"/>
      </w:pPr>
      <w:r>
        <w:rPr>
          <w:rFonts w:ascii="Courier New" w:hAnsi="Courier New"/>
          <w:sz w:val="14"/>
        </w:rPr>
        <w:t>│   │   │   ├── BottomNav.tsx      BrandAvatar.tsx     BrandCard.tsx</w:t>
      </w:r>
    </w:p>
    <w:p>
      <w:pPr>
        <w:spacing w:before="0" w:after="0"/>
      </w:pPr>
      <w:r>
        <w:rPr>
          <w:rFonts w:ascii="Courier New" w:hAnsi="Courier New"/>
          <w:sz w:val="14"/>
        </w:rPr>
        <w:t>│   │   │   ├── BrandSidebar.tsx   BuyerTrustCard.tsx  CatalogImportModal.tsx</w:t>
      </w:r>
    </w:p>
    <w:p>
      <w:pPr>
        <w:spacing w:before="0" w:after="0"/>
      </w:pPr>
      <w:r>
        <w:rPr>
          <w:rFonts w:ascii="Courier New" w:hAnsi="Courier New"/>
          <w:sz w:val="14"/>
        </w:rPr>
        <w:t>│   │   │   ├── CurrencySelector.tsx  ImageUrlInput.tsx  LandingPage.tsx</w:t>
      </w:r>
    </w:p>
    <w:p>
      <w:pPr>
        <w:spacing w:before="0" w:after="0"/>
      </w:pPr>
      <w:r>
        <w:rPr>
          <w:rFonts w:ascii="Courier New" w:hAnsi="Courier New"/>
          <w:sz w:val="14"/>
        </w:rPr>
        <w:t>│   │   │   ├── LanguageToggle.tsx    MarketModal.tsx    MobileTopBar.tsx</w:t>
      </w:r>
    </w:p>
    <w:p>
      <w:pPr>
        <w:spacing w:before="0" w:after="0"/>
      </w:pPr>
      <w:r>
        <w:rPr>
          <w:rFonts w:ascii="Courier New" w:hAnsi="Courier New"/>
          <w:sz w:val="14"/>
        </w:rPr>
        <w:t>│   │   │   ├── Navbar.tsx         NotificationBell.tsx  Providers.tsx</w:t>
      </w:r>
    </w:p>
    <w:p>
      <w:pPr>
        <w:spacing w:before="0" w:after="0"/>
      </w:pPr>
      <w:r>
        <w:rPr>
          <w:rFonts w:ascii="Courier New" w:hAnsi="Courier New"/>
          <w:sz w:val="14"/>
        </w:rPr>
        <w:t>│   │   │   ├── RatingBreakdown.tsx  ReviewCard.tsx     ReviewModal.tsx</w:t>
      </w:r>
    </w:p>
    <w:p>
      <w:pPr>
        <w:spacing w:before="0" w:after="0"/>
      </w:pPr>
      <w:r>
        <w:rPr>
          <w:rFonts w:ascii="Courier New" w:hAnsi="Courier New"/>
          <w:sz w:val="14"/>
        </w:rPr>
        <w:t>│   │   │   ├── StarRating.tsx     StatusBadge.tsx     TrustScore.tsx</w:t>
      </w:r>
    </w:p>
    <w:p>
      <w:pPr>
        <w:spacing w:before="0" w:after="0"/>
      </w:pPr>
      <w:r>
        <w:rPr>
          <w:rFonts w:ascii="Courier New" w:hAnsi="Courier New"/>
          <w:sz w:val="14"/>
        </w:rPr>
        <w:t>│   │   │   └── VerifiedBadge.tsx  WhatsAppButton.tsx</w:t>
      </w:r>
    </w:p>
    <w:p>
      <w:pPr>
        <w:spacing w:before="0" w:after="0"/>
      </w:pPr>
      <w:r>
        <w:rPr>
          <w:rFonts w:ascii="Courier New" w:hAnsi="Courier New"/>
          <w:sz w:val="14"/>
        </w:rPr>
        <w:t>│   │   ├── contexts/CurrencyContext.tsx</w:t>
      </w:r>
    </w:p>
    <w:p>
      <w:pPr>
        <w:spacing w:before="0" w:after="0"/>
      </w:pPr>
      <w:r>
        <w:rPr>
          <w:rFonts w:ascii="Courier New" w:hAnsi="Courier New"/>
          <w:sz w:val="14"/>
        </w:rPr>
        <w:t>│   │   ├── data/db.json</w:t>
      </w:r>
    </w:p>
    <w:p>
      <w:pPr>
        <w:spacing w:before="0" w:after="0"/>
      </w:pPr>
      <w:r>
        <w:rPr>
          <w:rFonts w:ascii="Courier New" w:hAnsi="Courier New"/>
          <w:sz w:val="14"/>
        </w:rPr>
        <w:t>│   │   ├── hooks/</w:t>
      </w:r>
    </w:p>
    <w:p>
      <w:pPr>
        <w:spacing w:before="0" w:after="0"/>
      </w:pPr>
      <w:r>
        <w:rPr>
          <w:rFonts w:ascii="Courier New" w:hAnsi="Courier New"/>
          <w:sz w:val="14"/>
        </w:rPr>
        <w:t>│   │   │   ├── useInView.ts              useRealtimeBrandOrders.ts</w:t>
      </w:r>
    </w:p>
    <w:p>
      <w:pPr>
        <w:spacing w:before="0" w:after="0"/>
      </w:pPr>
      <w:r>
        <w:rPr>
          <w:rFonts w:ascii="Courier New" w:hAnsi="Courier New"/>
          <w:sz w:val="14"/>
        </w:rPr>
        <w:t>│   │   │   ├── useRealtimeNotifications.ts  useRealtimeOrder.ts</w:t>
      </w:r>
    </w:p>
    <w:p>
      <w:pPr>
        <w:spacing w:before="0" w:after="0"/>
      </w:pPr>
      <w:r>
        <w:rPr>
          <w:rFonts w:ascii="Courier New" w:hAnsi="Courier New"/>
          <w:sz w:val="14"/>
        </w:rPr>
        <w:t>│   │   ├── i18n/request.ts</w:t>
      </w:r>
    </w:p>
    <w:p>
      <w:pPr>
        <w:spacing w:before="0" w:after="0"/>
      </w:pPr>
      <w:r>
        <w:rPr>
          <w:rFonts w:ascii="Courier New" w:hAnsi="Courier New"/>
          <w:sz w:val="14"/>
        </w:rPr>
        <w:t>│   │   ├── lib/</w:t>
      </w:r>
    </w:p>
    <w:p>
      <w:pPr>
        <w:spacing w:before="0" w:after="0"/>
      </w:pPr>
      <w:r>
        <w:rPr>
          <w:rFonts w:ascii="Courier New" w:hAnsi="Courier New"/>
          <w:sz w:val="14"/>
        </w:rPr>
        <w:t>│   │   │   ├── supabase/client.ts</w:t>
      </w:r>
    </w:p>
    <w:p>
      <w:pPr>
        <w:spacing w:before="0" w:after="0"/>
      </w:pPr>
      <w:r>
        <w:rPr>
          <w:rFonts w:ascii="Courier New" w:hAnsi="Courier New"/>
          <w:sz w:val="14"/>
        </w:rPr>
        <w:t>│   │   │   ├── auth.ts          currencies.ts    db.ts</w:t>
      </w:r>
    </w:p>
    <w:p>
      <w:pPr>
        <w:spacing w:before="0" w:after="0"/>
      </w:pPr>
      <w:r>
        <w:rPr>
          <w:rFonts w:ascii="Courier New" w:hAnsi="Courier New"/>
          <w:sz w:val="14"/>
        </w:rPr>
        <w:t>│   │   │   ├── formatters.ts    i18n.ts          notifications.ts</w:t>
      </w:r>
    </w:p>
    <w:p>
      <w:pPr>
        <w:spacing w:before="0" w:after="0"/>
      </w:pPr>
      <w:r>
        <w:rPr>
          <w:rFonts w:ascii="Courier New" w:hAnsi="Courier New"/>
          <w:sz w:val="14"/>
        </w:rPr>
        <w:t>│   │   │   └── pricingUtils.ts</w:t>
      </w:r>
    </w:p>
    <w:p>
      <w:pPr>
        <w:spacing w:before="0" w:after="0"/>
      </w:pPr>
      <w:r>
        <w:rPr>
          <w:rFonts w:ascii="Courier New" w:hAnsi="Courier New"/>
          <w:sz w:val="14"/>
        </w:rPr>
        <w:t>│   │   ├── store/notificationStore.ts</w:t>
      </w:r>
    </w:p>
    <w:p>
      <w:pPr>
        <w:spacing w:before="0" w:after="0"/>
      </w:pPr>
      <w:r>
        <w:rPr>
          <w:rFonts w:ascii="Courier New" w:hAnsi="Courier New"/>
          <w:sz w:val="14"/>
        </w:rPr>
        <w:t>│   │   └── utils/supabase/</w:t>
      </w:r>
    </w:p>
    <w:p>
      <w:pPr>
        <w:spacing w:before="0" w:after="0"/>
      </w:pPr>
      <w:r>
        <w:rPr>
          <w:rFonts w:ascii="Courier New" w:hAnsi="Courier New"/>
          <w:sz w:val="14"/>
        </w:rPr>
        <w:t>│   │       ├── client.ts  middleware.ts  server.ts</w:t>
      </w:r>
    </w:p>
    <w:p>
      <w:pPr>
        <w:spacing w:before="0" w:after="0"/>
      </w:pPr>
      <w:r>
        <w:rPr>
          <w:rFonts w:ascii="Courier New" w:hAnsi="Courier New"/>
          <w:sz w:val="14"/>
        </w:rPr>
        <w:t>│   ├── i18n.ts  middleware.ts  navigation.ts</w:t>
      </w:r>
    </w:p>
    <w:p>
      <w:pPr>
        <w:spacing w:before="0" w:after="0"/>
      </w:pPr>
      <w:r>
        <w:rPr>
          <w:rFonts w:ascii="Courier New" w:hAnsi="Courier New"/>
          <w:sz w:val="14"/>
        </w:rPr>
        <w:t>├── next.config.ts</w:t>
      </w:r>
    </w:p>
    <w:p>
      <w:pPr>
        <w:spacing w:before="0" w:after="0"/>
      </w:pPr>
      <w:r>
        <w:rPr>
          <w:rFonts w:ascii="Courier New" w:hAnsi="Courier New"/>
          <w:sz w:val="14"/>
        </w:rPr>
        <w:t>├── package.json</w:t>
      </w:r>
    </w:p>
    <w:p>
      <w:pPr>
        <w:spacing w:before="0" w:after="0"/>
      </w:pPr>
      <w:r>
        <w:rPr>
          <w:rFonts w:ascii="Courier New" w:hAnsi="Courier New"/>
          <w:sz w:val="14"/>
        </w:rPr>
        <w:t>└── tsconfig.json</w:t>
      </w:r>
    </w:p>
    <w:p/>
    <w:p>
      <w:pPr/>
      <w:r>
        <w:t>The project enforces strict architectural boundaries: server-side API logic is isolated in /src/app/api; reusable UI elements, custom React hooks, and global notification state (managed via Zustand) reside in /components, /hooks, and /store respectively. Supabase client initialisation and authentication middleware are grouped under /utils/supabase, providing a secure, globally accessible database connection across server and client components.</w:t>
      </w:r>
    </w:p>
    <w:p>
      <w:pPr/>
      <w:r>
        <w:t>SLOC Summary by Category: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744"/>
          </w:tcPr>
          <w:p>
            <w:r>
              <w:rPr>
                <w:b/>
              </w:rPr>
              <w:t>Category</w:t>
            </w:r>
          </w:p>
        </w:tc>
        <w:tc>
          <w:tcPr>
            <w:tcW w:type="dxa" w:w="864"/>
          </w:tcPr>
          <w:p>
            <w:r>
              <w:rPr>
                <w:b/>
              </w:rPr>
              <w:t>Files</w:t>
            </w:r>
          </w:p>
        </w:tc>
        <w:tc>
          <w:tcPr>
            <w:tcW w:type="dxa" w:w="1296"/>
          </w:tcPr>
          <w:p>
            <w:r>
              <w:rPr>
                <w:b/>
              </w:rPr>
              <w:t>LOC</w:t>
            </w:r>
          </w:p>
        </w:tc>
        <w:tc>
          <w:tcPr>
            <w:tcW w:type="dxa" w:w="1152"/>
          </w:tcPr>
          <w:p>
            <w:r>
              <w:rPr>
                <w:b/>
              </w:rPr>
              <w:t>KLOC</w:t>
            </w:r>
          </w:p>
        </w:tc>
        <w:tc>
          <w:tcPr>
            <w:tcW w:type="dxa" w:w="1152"/>
          </w:tcPr>
          <w:p>
            <w:r>
              <w:rPr>
                <w:b/>
              </w:rPr>
              <w:t>Share</w:t>
            </w:r>
          </w:p>
        </w:tc>
      </w:tr>
      <w:tr>
        <w:tc>
          <w:tcPr>
            <w:tcW w:type="dxa" w:w="3744"/>
          </w:tcPr>
          <w:p>
            <w:r>
              <w:t>Pages — Buyer / Public</w:t>
            </w:r>
          </w:p>
        </w:tc>
        <w:tc>
          <w:tcPr>
            <w:tcW w:type="dxa" w:w="864"/>
          </w:tcPr>
          <w:p>
            <w:r>
              <w:t>11</w:t>
            </w:r>
          </w:p>
        </w:tc>
        <w:tc>
          <w:tcPr>
            <w:tcW w:type="dxa" w:w="1296"/>
          </w:tcPr>
          <w:p>
            <w:r>
              <w:t>2,344</w:t>
            </w:r>
          </w:p>
        </w:tc>
        <w:tc>
          <w:tcPr>
            <w:tcW w:type="dxa" w:w="1152"/>
          </w:tcPr>
          <w:p>
            <w:r>
              <w:t>2.34</w:t>
            </w:r>
          </w:p>
        </w:tc>
        <w:tc>
          <w:tcPr>
            <w:tcW w:type="dxa" w:w="1152"/>
          </w:tcPr>
          <w:p>
            <w:r>
              <w:t>20.6%</w:t>
            </w:r>
          </w:p>
        </w:tc>
      </w:tr>
      <w:tr>
        <w:tc>
          <w:tcPr>
            <w:tcW w:type="dxa" w:w="3744"/>
          </w:tcPr>
          <w:p>
            <w:r>
              <w:t>Components</w:t>
            </w:r>
          </w:p>
        </w:tc>
        <w:tc>
          <w:tcPr>
            <w:tcW w:type="dxa" w:w="864"/>
          </w:tcPr>
          <w:p>
            <w:r>
              <w:t>24</w:t>
            </w:r>
          </w:p>
        </w:tc>
        <w:tc>
          <w:tcPr>
            <w:tcW w:type="dxa" w:w="1296"/>
          </w:tcPr>
          <w:p>
            <w:r>
              <w:t>3,802</w:t>
            </w:r>
          </w:p>
        </w:tc>
        <w:tc>
          <w:tcPr>
            <w:tcW w:type="dxa" w:w="1152"/>
          </w:tcPr>
          <w:p>
            <w:r>
              <w:t>3.80</w:t>
            </w:r>
          </w:p>
        </w:tc>
        <w:tc>
          <w:tcPr>
            <w:tcW w:type="dxa" w:w="1152"/>
          </w:tcPr>
          <w:p>
            <w:r>
              <w:t>33.5%</w:t>
            </w:r>
          </w:p>
        </w:tc>
      </w:tr>
      <w:tr>
        <w:tc>
          <w:tcPr>
            <w:tcW w:type="dxa" w:w="3744"/>
          </w:tcPr>
          <w:p>
            <w:r>
              <w:t>Pages — Brand Portal</w:t>
            </w:r>
          </w:p>
        </w:tc>
        <w:tc>
          <w:tcPr>
            <w:tcW w:type="dxa" w:w="864"/>
          </w:tcPr>
          <w:p>
            <w:r>
              <w:t>8</w:t>
            </w:r>
          </w:p>
        </w:tc>
        <w:tc>
          <w:tcPr>
            <w:tcW w:type="dxa" w:w="1296"/>
          </w:tcPr>
          <w:p>
            <w:r>
              <w:t>2,213</w:t>
            </w:r>
          </w:p>
        </w:tc>
        <w:tc>
          <w:tcPr>
            <w:tcW w:type="dxa" w:w="1152"/>
          </w:tcPr>
          <w:p>
            <w:r>
              <w:t>2.21</w:t>
            </w:r>
          </w:p>
        </w:tc>
        <w:tc>
          <w:tcPr>
            <w:tcW w:type="dxa" w:w="1152"/>
          </w:tcPr>
          <w:p>
            <w:r>
              <w:t>19.5%</w:t>
            </w:r>
          </w:p>
        </w:tc>
      </w:tr>
      <w:tr>
        <w:tc>
          <w:tcPr>
            <w:tcW w:type="dxa" w:w="3744"/>
          </w:tcPr>
          <w:p>
            <w:r>
              <w:t>API Routes</w:t>
            </w:r>
          </w:p>
        </w:tc>
        <w:tc>
          <w:tcPr>
            <w:tcW w:type="dxa" w:w="864"/>
          </w:tcPr>
          <w:p>
            <w:r>
              <w:t>25</w:t>
            </w:r>
          </w:p>
        </w:tc>
        <w:tc>
          <w:tcPr>
            <w:tcW w:type="dxa" w:w="1296"/>
          </w:tcPr>
          <w:p>
            <w:r>
              <w:t>1,289</w:t>
            </w:r>
          </w:p>
        </w:tc>
        <w:tc>
          <w:tcPr>
            <w:tcW w:type="dxa" w:w="1152"/>
          </w:tcPr>
          <w:p>
            <w:r>
              <w:t>1.29</w:t>
            </w:r>
          </w:p>
        </w:tc>
        <w:tc>
          <w:tcPr>
            <w:tcW w:type="dxa" w:w="1152"/>
          </w:tcPr>
          <w:p>
            <w:r>
              <w:t>11.4%</w:t>
            </w:r>
          </w:p>
        </w:tc>
      </w:tr>
      <w:tr>
        <w:tc>
          <w:tcPr>
            <w:tcW w:type="dxa" w:w="3744"/>
          </w:tcPr>
          <w:p>
            <w:r>
              <w:t>Pages — Admin</w:t>
            </w:r>
          </w:p>
        </w:tc>
        <w:tc>
          <w:tcPr>
            <w:tcW w:type="dxa" w:w="864"/>
          </w:tcPr>
          <w:p>
            <w:r>
              <w:t>4</w:t>
            </w:r>
          </w:p>
        </w:tc>
        <w:tc>
          <w:tcPr>
            <w:tcW w:type="dxa" w:w="1296"/>
          </w:tcPr>
          <w:p>
            <w:r>
              <w:t>790</w:t>
            </w:r>
          </w:p>
        </w:tc>
        <w:tc>
          <w:tcPr>
            <w:tcW w:type="dxa" w:w="1152"/>
          </w:tcPr>
          <w:p>
            <w:r>
              <w:t>0.79</w:t>
            </w:r>
          </w:p>
        </w:tc>
        <w:tc>
          <w:tcPr>
            <w:tcW w:type="dxa" w:w="1152"/>
          </w:tcPr>
          <w:p>
            <w:r>
              <w:t>7.0%</w:t>
            </w:r>
          </w:p>
        </w:tc>
      </w:tr>
      <w:tr>
        <w:tc>
          <w:tcPr>
            <w:tcW w:type="dxa" w:w="3744"/>
          </w:tcPr>
          <w:p>
            <w:r>
              <w:t>Lib / Utilities</w:t>
            </w:r>
          </w:p>
        </w:tc>
        <w:tc>
          <w:tcPr>
            <w:tcW w:type="dxa" w:w="864"/>
          </w:tcPr>
          <w:p>
            <w:r>
              <w:t>11</w:t>
            </w:r>
          </w:p>
        </w:tc>
        <w:tc>
          <w:tcPr>
            <w:tcW w:type="dxa" w:w="1296"/>
          </w:tcPr>
          <w:p>
            <w:r>
              <w:t>485</w:t>
            </w:r>
          </w:p>
        </w:tc>
        <w:tc>
          <w:tcPr>
            <w:tcW w:type="dxa" w:w="1152"/>
          </w:tcPr>
          <w:p>
            <w:r>
              <w:t>0.48</w:t>
            </w:r>
          </w:p>
        </w:tc>
        <w:tc>
          <w:tcPr>
            <w:tcW w:type="dxa" w:w="1152"/>
          </w:tcPr>
          <w:p>
            <w:r>
              <w:t>4.3%</w:t>
            </w:r>
          </w:p>
        </w:tc>
      </w:tr>
      <w:tr>
        <w:tc>
          <w:tcPr>
            <w:tcW w:type="dxa" w:w="3744"/>
          </w:tcPr>
          <w:p>
            <w:r>
              <w:t>Hooks</w:t>
            </w:r>
          </w:p>
        </w:tc>
        <w:tc>
          <w:tcPr>
            <w:tcW w:type="dxa" w:w="864"/>
          </w:tcPr>
          <w:p>
            <w:r>
              <w:t>4</w:t>
            </w:r>
          </w:p>
        </w:tc>
        <w:tc>
          <w:tcPr>
            <w:tcW w:type="dxa" w:w="1296"/>
          </w:tcPr>
          <w:p>
            <w:r>
              <w:t>228</w:t>
            </w:r>
          </w:p>
        </w:tc>
        <w:tc>
          <w:tcPr>
            <w:tcW w:type="dxa" w:w="1152"/>
          </w:tcPr>
          <w:p>
            <w:r>
              <w:t>0.23</w:t>
            </w:r>
          </w:p>
        </w:tc>
        <w:tc>
          <w:tcPr>
            <w:tcW w:type="dxa" w:w="1152"/>
          </w:tcPr>
          <w:p>
            <w:r>
              <w:t>2.0%</w:t>
            </w:r>
          </w:p>
        </w:tc>
      </w:tr>
      <w:tr>
        <w:tc>
          <w:tcPr>
            <w:tcW w:type="dxa" w:w="3744"/>
          </w:tcPr>
          <w:p>
            <w:r>
              <w:t>Store / Context</w:t>
            </w:r>
          </w:p>
        </w:tc>
        <w:tc>
          <w:tcPr>
            <w:tcW w:type="dxa" w:w="864"/>
          </w:tcPr>
          <w:p>
            <w:r>
              <w:t>2</w:t>
            </w:r>
          </w:p>
        </w:tc>
        <w:tc>
          <w:tcPr>
            <w:tcW w:type="dxa" w:w="1296"/>
          </w:tcPr>
          <w:p>
            <w:r>
              <w:t>138</w:t>
            </w:r>
          </w:p>
        </w:tc>
        <w:tc>
          <w:tcPr>
            <w:tcW w:type="dxa" w:w="1152"/>
          </w:tcPr>
          <w:p>
            <w:r>
              <w:t>0.14</w:t>
            </w:r>
          </w:p>
        </w:tc>
        <w:tc>
          <w:tcPr>
            <w:tcW w:type="dxa" w:w="1152"/>
          </w:tcPr>
          <w:p>
            <w:r>
              <w:t>1.2%</w:t>
            </w:r>
          </w:p>
        </w:tc>
      </w:tr>
      <w:tr>
        <w:tc>
          <w:tcPr>
            <w:tcW w:type="dxa" w:w="3744"/>
          </w:tcPr>
          <w:p>
            <w:r>
              <w:t>Config / i18n / Middleware</w:t>
            </w:r>
          </w:p>
        </w:tc>
        <w:tc>
          <w:tcPr>
            <w:tcW w:type="dxa" w:w="864"/>
          </w:tcPr>
          <w:p>
            <w:r>
              <w:t>4</w:t>
            </w:r>
          </w:p>
        </w:tc>
        <w:tc>
          <w:tcPr>
            <w:tcW w:type="dxa" w:w="1296"/>
          </w:tcPr>
          <w:p>
            <w:r>
              <w:t>64</w:t>
            </w:r>
          </w:p>
        </w:tc>
        <w:tc>
          <w:tcPr>
            <w:tcW w:type="dxa" w:w="1152"/>
          </w:tcPr>
          <w:p>
            <w:r>
              <w:t>0.06</w:t>
            </w:r>
          </w:p>
        </w:tc>
        <w:tc>
          <w:tcPr>
            <w:tcW w:type="dxa" w:w="1152"/>
          </w:tcPr>
          <w:p>
            <w:r>
              <w:t>0.6%</w:t>
            </w:r>
          </w:p>
        </w:tc>
      </w:tr>
      <w:tr>
        <w:tc>
          <w:tcPr>
            <w:tcW w:type="dxa" w:w="3744"/>
          </w:tcPr>
          <w:p>
            <w:r>
              <w:t>TOTAL</w:t>
            </w:r>
          </w:p>
        </w:tc>
        <w:tc>
          <w:tcPr>
            <w:tcW w:type="dxa" w:w="864"/>
          </w:tcPr>
          <w:p>
            <w:r>
              <w:t>93</w:t>
            </w:r>
          </w:p>
        </w:tc>
        <w:tc>
          <w:tcPr>
            <w:tcW w:type="dxa" w:w="1296"/>
          </w:tcPr>
          <w:p>
            <w:r>
              <w:t>11,353</w:t>
            </w:r>
          </w:p>
        </w:tc>
        <w:tc>
          <w:tcPr>
            <w:tcW w:type="dxa" w:w="1152"/>
          </w:tcPr>
          <w:p>
            <w:r>
              <w:t>11.35</w:t>
            </w:r>
          </w:p>
        </w:tc>
        <w:tc>
          <w:tcPr>
            <w:tcW w:type="dxa" w:w="1152"/>
          </w:tcPr>
          <w:p>
            <w:r>
              <w:t>100%</w:t>
            </w:r>
          </w:p>
        </w:tc>
      </w:tr>
    </w:tbl>
    <w:p/>
    <w:p>
      <w:pPr/>
      <w:r>
        <w:t>The project totals 11.35 KLOC across 93 source files. The largest single category is Components (3.80 KLOC, 33.5%), driven primarily by LandingPage.tsx (913 lines), CatalogImportModal.tsx (560 lines), and NotificationBell.tsx (337 lines). The 25 API route handlers account for 1.29 KLOC, reflecting the lightweight, function-per-route server design of the Next.js App Router.</w:t>
      </w:r>
    </w:p>
    <w:p>
      <w:pPr>
        <w:pStyle w:val="Heading2"/>
      </w:pPr>
      <w:r>
        <w:t>4.4  Configuration Management</w:t>
      </w:r>
    </w:p>
    <w:p>
      <w:pPr/>
      <w:r>
        <w:t>Configuration Management (CM) encompasses the practices used to systematically control, track, and audit all changes to the Kuwait B2B Hub codebase throughout its development lifecycle. Procedures follow ISO/IEC 12207 guidelines, ensuring every version of the system is reproducible, traceable, and consistent across all development environments.</w:t>
      </w:r>
    </w:p>
    <w:p>
      <w:pPr>
        <w:pStyle w:val="Heading3"/>
      </w:pPr>
      <w:r>
        <w:t>4.4.1  Versioning Scheme</w:t>
      </w:r>
    </w:p>
    <w:p>
      <w:pPr/>
      <w:r>
        <w:t>The Kuwait B2B Hub adopts a four-part versioning scheme:  PHASE . MAJOR . MINOR . PATCH</w:t>
      </w:r>
    </w:p>
    <w:tbl>
      <w:tblPr>
        <w:tblStyle w:val="TableGrid"/>
        <w:tblW w:type="auto" w:w="0"/>
        <w:tblLook w:firstColumn="1" w:firstRow="1" w:lastColumn="0" w:lastRow="0" w:noHBand="0" w:noVBand="1" w:val="04A0"/>
      </w:tblPr>
      <w:tblGrid>
        <w:gridCol w:w="2160"/>
        <w:gridCol w:w="2160"/>
        <w:gridCol w:w="2160"/>
        <w:gridCol w:w="2160"/>
      </w:tblGrid>
      <w:tr>
        <w:tc>
          <w:tcPr>
            <w:tcW w:type="dxa" w:w="1152"/>
          </w:tcPr>
          <w:p>
            <w:r>
              <w:rPr>
                <w:b/>
              </w:rPr>
              <w:t>Field</w:t>
            </w:r>
          </w:p>
        </w:tc>
        <w:tc>
          <w:tcPr>
            <w:tcW w:type="dxa" w:w="1152"/>
          </w:tcPr>
          <w:p>
            <w:r>
              <w:rPr>
                <w:b/>
              </w:rPr>
              <w:t>Position</w:t>
            </w:r>
          </w:p>
        </w:tc>
        <w:tc>
          <w:tcPr>
            <w:tcW w:type="dxa" w:w="5040"/>
          </w:tcPr>
          <w:p>
            <w:r>
              <w:rPr>
                <w:b/>
              </w:rPr>
              <w:t>Trigger for Increment</w:t>
            </w:r>
          </w:p>
        </w:tc>
        <w:tc>
          <w:tcPr>
            <w:tcW w:type="dxa" w:w="2016"/>
          </w:tcPr>
          <w:p>
            <w:r>
              <w:rPr>
                <w:b/>
              </w:rPr>
              <w:t>Example</w:t>
            </w:r>
          </w:p>
        </w:tc>
      </w:tr>
      <w:tr>
        <w:tc>
          <w:tcPr>
            <w:tcW w:type="dxa" w:w="1152"/>
          </w:tcPr>
          <w:p>
            <w:r>
              <w:t>Phase</w:t>
            </w:r>
          </w:p>
        </w:tc>
        <w:tc>
          <w:tcPr>
            <w:tcW w:type="dxa" w:w="1152"/>
          </w:tcPr>
          <w:p>
            <w:r>
              <w:t>1st</w:t>
            </w:r>
          </w:p>
        </w:tc>
        <w:tc>
          <w:tcPr>
            <w:tcW w:type="dxa" w:w="5040"/>
          </w:tcPr>
          <w:p>
            <w:r>
              <w:t>Advancement to a new development phase</w:t>
            </w:r>
          </w:p>
        </w:tc>
        <w:tc>
          <w:tcPr>
            <w:tcW w:type="dxa" w:w="2016"/>
          </w:tcPr>
          <w:p>
            <w:r>
              <w:t>1 → 2</w:t>
            </w:r>
          </w:p>
        </w:tc>
      </w:tr>
      <w:tr>
        <w:tc>
          <w:tcPr>
            <w:tcW w:type="dxa" w:w="1152"/>
          </w:tcPr>
          <w:p>
            <w:r>
              <w:t>Major</w:t>
            </w:r>
          </w:p>
        </w:tc>
        <w:tc>
          <w:tcPr>
            <w:tcW w:type="dxa" w:w="1152"/>
          </w:tcPr>
          <w:p>
            <w:r>
              <w:t>2nd</w:t>
            </w:r>
          </w:p>
        </w:tc>
        <w:tc>
          <w:tcPr>
            <w:tcW w:type="dxa" w:w="5040"/>
          </w:tcPr>
          <w:p>
            <w:r>
              <w:t>Architectural change, new subsystem, or breaking API change</w:t>
            </w:r>
          </w:p>
        </w:tc>
        <w:tc>
          <w:tcPr>
            <w:tcW w:type="dxa" w:w="2016"/>
          </w:tcPr>
          <w:p>
            <w:r>
              <w:t>1.0 → 1.1</w:t>
            </w:r>
          </w:p>
        </w:tc>
      </w:tr>
      <w:tr>
        <w:tc>
          <w:tcPr>
            <w:tcW w:type="dxa" w:w="1152"/>
          </w:tcPr>
          <w:p>
            <w:r>
              <w:t>Minor</w:t>
            </w:r>
          </w:p>
        </w:tc>
        <w:tc>
          <w:tcPr>
            <w:tcW w:type="dxa" w:w="1152"/>
          </w:tcPr>
          <w:p>
            <w:r>
              <w:t>3rd</w:t>
            </w:r>
          </w:p>
        </w:tc>
        <w:tc>
          <w:tcPr>
            <w:tcW w:type="dxa" w:w="5040"/>
          </w:tcPr>
          <w:p>
            <w:r>
              <w:t>Non-breaking feature addition or workflow enhancement</w:t>
            </w:r>
          </w:p>
        </w:tc>
        <w:tc>
          <w:tcPr>
            <w:tcW w:type="dxa" w:w="2016"/>
          </w:tcPr>
          <w:p>
            <w:r>
              <w:t>1.1.0 → 1.1.1</w:t>
            </w:r>
          </w:p>
        </w:tc>
      </w:tr>
      <w:tr>
        <w:tc>
          <w:tcPr>
            <w:tcW w:type="dxa" w:w="1152"/>
          </w:tcPr>
          <w:p>
            <w:r>
              <w:t>Patch</w:t>
            </w:r>
          </w:p>
        </w:tc>
        <w:tc>
          <w:tcPr>
            <w:tcW w:type="dxa" w:w="1152"/>
          </w:tcPr>
          <w:p>
            <w:r>
              <w:t>4th</w:t>
            </w:r>
          </w:p>
        </w:tc>
        <w:tc>
          <w:tcPr>
            <w:tcW w:type="dxa" w:w="5040"/>
          </w:tcPr>
          <w:p>
            <w:r>
              <w:t>Bug fix, security patch, or configuration adjustment</w:t>
            </w:r>
          </w:p>
        </w:tc>
        <w:tc>
          <w:tcPr>
            <w:tcW w:type="dxa" w:w="2016"/>
          </w:tcPr>
          <w:p>
            <w:r>
              <w:t>1.1.1.0 → 1.1.1.1</w:t>
            </w:r>
          </w:p>
        </w:tc>
      </w:tr>
    </w:tbl>
    <w:p/>
    <w:tbl>
      <w:tblPr>
        <w:tblStyle w:val="TableGrid"/>
        <w:tblW w:type="auto" w:w="0"/>
        <w:tblLook w:firstColumn="1" w:firstRow="1" w:lastColumn="0" w:lastRow="0" w:noHBand="0" w:noVBand="1" w:val="04A0"/>
      </w:tblPr>
      <w:tblGrid>
        <w:gridCol w:w="2880"/>
        <w:gridCol w:w="2880"/>
        <w:gridCol w:w="2880"/>
      </w:tblGrid>
      <w:tr>
        <w:tc>
          <w:tcPr>
            <w:tcW w:type="dxa" w:w="2592"/>
          </w:tcPr>
          <w:p>
            <w:r>
              <w:rPr>
                <w:b/>
              </w:rPr>
              <w:t>Phase</w:t>
            </w:r>
          </w:p>
        </w:tc>
        <w:tc>
          <w:tcPr>
            <w:tcW w:type="dxa" w:w="1440"/>
          </w:tcPr>
          <w:p>
            <w:r>
              <w:rPr>
                <w:b/>
              </w:rPr>
              <w:t>Code</w:t>
            </w:r>
          </w:p>
        </w:tc>
        <w:tc>
          <w:tcPr>
            <w:tcW w:type="dxa" w:w="5328"/>
          </w:tcPr>
          <w:p>
            <w:r>
              <w:rPr>
                <w:b/>
              </w:rPr>
              <w:t>Scope</w:t>
            </w:r>
          </w:p>
        </w:tc>
      </w:tr>
      <w:tr>
        <w:tc>
          <w:tcPr>
            <w:tcW w:type="dxa" w:w="2592"/>
          </w:tcPr>
          <w:p>
            <w:r>
              <w:t>Planning &amp; Requirements</w:t>
            </w:r>
          </w:p>
        </w:tc>
        <w:tc>
          <w:tcPr>
            <w:tcW w:type="dxa" w:w="1440"/>
          </w:tcPr>
          <w:p>
            <w:r>
              <w:t>1.x.x.x</w:t>
            </w:r>
          </w:p>
        </w:tc>
        <w:tc>
          <w:tcPr>
            <w:tcW w:type="dxa" w:w="5328"/>
          </w:tcPr>
          <w:p>
            <w:r>
              <w:t>Project scaffolding, schema design, environment setup</w:t>
            </w:r>
          </w:p>
        </w:tc>
      </w:tr>
      <w:tr>
        <w:tc>
          <w:tcPr>
            <w:tcW w:type="dxa" w:w="2592"/>
          </w:tcPr>
          <w:p>
            <w:r>
              <w:t>Design &amp; Architecture</w:t>
            </w:r>
          </w:p>
        </w:tc>
        <w:tc>
          <w:tcPr>
            <w:tcW w:type="dxa" w:w="1440"/>
          </w:tcPr>
          <w:p>
            <w:r>
              <w:t>2.x.x.x</w:t>
            </w:r>
          </w:p>
        </w:tc>
        <w:tc>
          <w:tcPr>
            <w:tcW w:type="dxa" w:w="5328"/>
          </w:tcPr>
          <w:p>
            <w:r>
              <w:t>Component structure, routing hierarchy, database interface design</w:t>
            </w:r>
          </w:p>
        </w:tc>
      </w:tr>
      <w:tr>
        <w:tc>
          <w:tcPr>
            <w:tcW w:type="dxa" w:w="2592"/>
          </w:tcPr>
          <w:p>
            <w:r>
              <w:t>Implementation</w:t>
            </w:r>
          </w:p>
        </w:tc>
        <w:tc>
          <w:tcPr>
            <w:tcW w:type="dxa" w:w="1440"/>
          </w:tcPr>
          <w:p>
            <w:r>
              <w:t>3.x.x.x</w:t>
            </w:r>
          </w:p>
        </w:tc>
        <w:tc>
          <w:tcPr>
            <w:tcW w:type="dxa" w:w="5328"/>
          </w:tcPr>
          <w:p>
            <w:r>
              <w:t>Feature development, API routes, UI components, integrations</w:t>
            </w:r>
          </w:p>
        </w:tc>
      </w:tr>
      <w:tr>
        <w:tc>
          <w:tcPr>
            <w:tcW w:type="dxa" w:w="2592"/>
          </w:tcPr>
          <w:p>
            <w:r>
              <w:t>Testing &amp; Stabilisation</w:t>
            </w:r>
          </w:p>
        </w:tc>
        <w:tc>
          <w:tcPr>
            <w:tcW w:type="dxa" w:w="1440"/>
          </w:tcPr>
          <w:p>
            <w:r>
              <w:t>4.x.x.x</w:t>
            </w:r>
          </w:p>
        </w:tc>
        <w:tc>
          <w:tcPr>
            <w:tcW w:type="dxa" w:w="5328"/>
          </w:tcPr>
          <w:p>
            <w:r>
              <w:t>Defect resolution, security hardening, performance tuning</w:t>
            </w:r>
          </w:p>
        </w:tc>
      </w:tr>
    </w:tbl>
    <w:p/>
    <w:p>
      <w:pPr/>
      <w:r>
        <w:t>The project entered version 3.0.0.0 at the commencement of full implementation and reached 3.5.2.1 at the time of final submission.</w:t>
      </w:r>
    </w:p>
    <w:p>
      <w:pPr>
        <w:pStyle w:val="Heading3"/>
      </w:pPr>
      <w:r>
        <w:t>4.4.2  Configuration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1152"/>
          </w:tcPr>
          <w:p>
            <w:r>
              <w:rPr>
                <w:b/>
              </w:rPr>
              <w:t>CI ID</w:t>
            </w:r>
          </w:p>
        </w:tc>
        <w:tc>
          <w:tcPr>
            <w:tcW w:type="dxa" w:w="3600"/>
          </w:tcPr>
          <w:p>
            <w:r>
              <w:rPr>
                <w:b/>
              </w:rPr>
              <w:t>Item</w:t>
            </w:r>
          </w:p>
        </w:tc>
        <w:tc>
          <w:tcPr>
            <w:tcW w:type="dxa" w:w="1728"/>
          </w:tcPr>
          <w:p>
            <w:r>
              <w:rPr>
                <w:b/>
              </w:rPr>
              <w:t>Type</w:t>
            </w:r>
          </w:p>
        </w:tc>
        <w:tc>
          <w:tcPr>
            <w:tcW w:type="dxa" w:w="2880"/>
          </w:tcPr>
          <w:p>
            <w:r>
              <w:rPr>
                <w:b/>
              </w:rPr>
              <w:t>Storage Location</w:t>
            </w:r>
          </w:p>
        </w:tc>
      </w:tr>
      <w:tr>
        <w:tc>
          <w:tcPr>
            <w:tcW w:type="dxa" w:w="1152"/>
          </w:tcPr>
          <w:p>
            <w:r>
              <w:t>CI-01</w:t>
            </w:r>
          </w:p>
        </w:tc>
        <w:tc>
          <w:tcPr>
            <w:tcW w:type="dxa" w:w="3600"/>
          </w:tcPr>
          <w:p>
            <w:r>
              <w:t>Application Source Code (src/)</w:t>
            </w:r>
          </w:p>
        </w:tc>
        <w:tc>
          <w:tcPr>
            <w:tcW w:type="dxa" w:w="1728"/>
          </w:tcPr>
          <w:p>
            <w:r>
              <w:t>Software</w:t>
            </w:r>
          </w:p>
        </w:tc>
        <w:tc>
          <w:tcPr>
            <w:tcW w:type="dxa" w:w="2880"/>
          </w:tcPr>
          <w:p>
            <w:r>
              <w:t>Git repository</w:t>
            </w:r>
          </w:p>
        </w:tc>
      </w:tr>
      <w:tr>
        <w:tc>
          <w:tcPr>
            <w:tcW w:type="dxa" w:w="1152"/>
          </w:tcPr>
          <w:p>
            <w:r>
              <w:t>CI-02</w:t>
            </w:r>
          </w:p>
        </w:tc>
        <w:tc>
          <w:tcPr>
            <w:tcW w:type="dxa" w:w="3600"/>
          </w:tcPr>
          <w:p>
            <w:r>
              <w:t>Database Schema Interfaces (src/lib/db.ts)</w:t>
            </w:r>
          </w:p>
        </w:tc>
        <w:tc>
          <w:tcPr>
            <w:tcW w:type="dxa" w:w="1728"/>
          </w:tcPr>
          <w:p>
            <w:r>
              <w:t>Software</w:t>
            </w:r>
          </w:p>
        </w:tc>
        <w:tc>
          <w:tcPr>
            <w:tcW w:type="dxa" w:w="2880"/>
          </w:tcPr>
          <w:p>
            <w:r>
              <w:t>Git repository</w:t>
            </w:r>
          </w:p>
        </w:tc>
      </w:tr>
      <w:tr>
        <w:tc>
          <w:tcPr>
            <w:tcW w:type="dxa" w:w="1152"/>
          </w:tcPr>
          <w:p>
            <w:r>
              <w:t>CI-03</w:t>
            </w:r>
          </w:p>
        </w:tc>
        <w:tc>
          <w:tcPr>
            <w:tcW w:type="dxa" w:w="3600"/>
          </w:tcPr>
          <w:p>
            <w:r>
              <w:t>Environment Configuration (.env.local)</w:t>
            </w:r>
          </w:p>
        </w:tc>
        <w:tc>
          <w:tcPr>
            <w:tcW w:type="dxa" w:w="1728"/>
          </w:tcPr>
          <w:p>
            <w:r>
              <w:t>Configuration</w:t>
            </w:r>
          </w:p>
        </w:tc>
        <w:tc>
          <w:tcPr>
            <w:tcW w:type="dxa" w:w="2880"/>
          </w:tcPr>
          <w:p>
            <w:r>
              <w:t>Secured — NOT version-controlled</w:t>
            </w:r>
          </w:p>
        </w:tc>
      </w:tr>
      <w:tr>
        <w:tc>
          <w:tcPr>
            <w:tcW w:type="dxa" w:w="1152"/>
          </w:tcPr>
          <w:p>
            <w:r>
              <w:t>CI-04</w:t>
            </w:r>
          </w:p>
        </w:tc>
        <w:tc>
          <w:tcPr>
            <w:tcW w:type="dxa" w:w="3600"/>
          </w:tcPr>
          <w:p>
            <w:r>
              <w:t>Dependency Manifest (package.json)</w:t>
            </w:r>
          </w:p>
        </w:tc>
        <w:tc>
          <w:tcPr>
            <w:tcW w:type="dxa" w:w="1728"/>
          </w:tcPr>
          <w:p>
            <w:r>
              <w:t>Configuration</w:t>
            </w:r>
          </w:p>
        </w:tc>
        <w:tc>
          <w:tcPr>
            <w:tcW w:type="dxa" w:w="2880"/>
          </w:tcPr>
          <w:p>
            <w:r>
              <w:t>Git repository</w:t>
            </w:r>
          </w:p>
        </w:tc>
      </w:tr>
      <w:tr>
        <w:tc>
          <w:tcPr>
            <w:tcW w:type="dxa" w:w="1152"/>
          </w:tcPr>
          <w:p>
            <w:r>
              <w:t>CI-05</w:t>
            </w:r>
          </w:p>
        </w:tc>
        <w:tc>
          <w:tcPr>
            <w:tcW w:type="dxa" w:w="3600"/>
          </w:tcPr>
          <w:p>
            <w:r>
              <w:t>Internationalisation Messages (messages/)</w:t>
            </w:r>
          </w:p>
        </w:tc>
        <w:tc>
          <w:tcPr>
            <w:tcW w:type="dxa" w:w="1728"/>
          </w:tcPr>
          <w:p>
            <w:r>
              <w:t>Data</w:t>
            </w:r>
          </w:p>
        </w:tc>
        <w:tc>
          <w:tcPr>
            <w:tcW w:type="dxa" w:w="2880"/>
          </w:tcPr>
          <w:p>
            <w:r>
              <w:t>Git repository</w:t>
            </w:r>
          </w:p>
        </w:tc>
      </w:tr>
      <w:tr>
        <w:tc>
          <w:tcPr>
            <w:tcW w:type="dxa" w:w="1152"/>
          </w:tcPr>
          <w:p>
            <w:r>
              <w:t>CI-06</w:t>
            </w:r>
          </w:p>
        </w:tc>
        <w:tc>
          <w:tcPr>
            <w:tcW w:type="dxa" w:w="3600"/>
          </w:tcPr>
          <w:p>
            <w:r>
              <w:t>Final Project Report (.docx)</w:t>
            </w:r>
          </w:p>
        </w:tc>
        <w:tc>
          <w:tcPr>
            <w:tcW w:type="dxa" w:w="1728"/>
          </w:tcPr>
          <w:p>
            <w:r>
              <w:t>Document</w:t>
            </w:r>
          </w:p>
        </w:tc>
        <w:tc>
          <w:tcPr>
            <w:tcW w:type="dxa" w:w="2880"/>
          </w:tcPr>
          <w:p>
            <w:r>
              <w:t>Team shared drive</w:t>
            </w:r>
          </w:p>
        </w:tc>
      </w:tr>
      <w:tr>
        <w:tc>
          <w:tcPr>
            <w:tcW w:type="dxa" w:w="1152"/>
          </w:tcPr>
          <w:p>
            <w:r>
              <w:t>CI-07</w:t>
            </w:r>
          </w:p>
        </w:tc>
        <w:tc>
          <w:tcPr>
            <w:tcW w:type="dxa" w:w="3600"/>
          </w:tcPr>
          <w:p>
            <w:r>
              <w:t>Prototype Database (src/data/db.json)</w:t>
            </w:r>
          </w:p>
        </w:tc>
        <w:tc>
          <w:tcPr>
            <w:tcW w:type="dxa" w:w="1728"/>
          </w:tcPr>
          <w:p>
            <w:r>
              <w:t>Data</w:t>
            </w:r>
          </w:p>
        </w:tc>
        <w:tc>
          <w:tcPr>
            <w:tcW w:type="dxa" w:w="2880"/>
          </w:tcPr>
          <w:p>
            <w:r>
              <w:t>Git repository</w:t>
            </w:r>
          </w:p>
        </w:tc>
      </w:tr>
      <w:tr>
        <w:tc>
          <w:tcPr>
            <w:tcW w:type="dxa" w:w="1152"/>
          </w:tcPr>
          <w:p>
            <w:r>
              <w:t>CI-08</w:t>
            </w:r>
          </w:p>
        </w:tc>
        <w:tc>
          <w:tcPr>
            <w:tcW w:type="dxa" w:w="3600"/>
          </w:tcPr>
          <w:p>
            <w:r>
              <w:t>Deployment Configuration (next.config.ts)</w:t>
            </w:r>
          </w:p>
        </w:tc>
        <w:tc>
          <w:tcPr>
            <w:tcW w:type="dxa" w:w="1728"/>
          </w:tcPr>
          <w:p>
            <w:r>
              <w:t>Configuration</w:t>
            </w:r>
          </w:p>
        </w:tc>
        <w:tc>
          <w:tcPr>
            <w:tcW w:type="dxa" w:w="2880"/>
          </w:tcPr>
          <w:p>
            <w:r>
              <w:t>Git repository</w:t>
            </w:r>
          </w:p>
        </w:tc>
      </w:tr>
    </w:tbl>
    <w:p/>
    <w:p>
      <w:pPr>
        <w:pStyle w:val="Heading3"/>
      </w:pPr>
      <w:r>
        <w:t>4.4.3  Change Request Log</w:t>
      </w:r>
    </w:p>
    <w:p>
      <w:pPr/>
      <w:r>
        <w:t>Changes are typed using the IEEE 1219 taxonomy — Corrective (defect/security fix), Adaptive (environment change), Perfective (new capability), Preventive (proactive restructure).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008"/>
          </w:tcPr>
          <w:p>
            <w:r>
              <w:rPr>
                <w:b/>
              </w:rPr>
              <w:t>CR ID</w:t>
            </w:r>
          </w:p>
        </w:tc>
        <w:tc>
          <w:tcPr>
            <w:tcW w:type="dxa" w:w="4320"/>
          </w:tcPr>
          <w:p>
            <w:r>
              <w:rPr>
                <w:b/>
              </w:rPr>
              <w:t>Change Description</w:t>
            </w:r>
          </w:p>
        </w:tc>
        <w:tc>
          <w:tcPr>
            <w:tcW w:type="dxa" w:w="1296"/>
          </w:tcPr>
          <w:p>
            <w:r>
              <w:rPr>
                <w:b/>
              </w:rPr>
              <w:t>Type</w:t>
            </w:r>
          </w:p>
        </w:tc>
        <w:tc>
          <w:tcPr>
            <w:tcW w:type="dxa" w:w="1152"/>
          </w:tcPr>
          <w:p>
            <w:r>
              <w:rPr>
                <w:b/>
              </w:rPr>
              <w:t>Priority</w:t>
            </w:r>
          </w:p>
        </w:tc>
        <w:tc>
          <w:tcPr>
            <w:tcW w:type="dxa" w:w="1008"/>
          </w:tcPr>
          <w:p>
            <w:r>
              <w:rPr>
                <w:b/>
              </w:rPr>
              <w:t>Old Ver.</w:t>
            </w:r>
          </w:p>
        </w:tc>
        <w:tc>
          <w:tcPr>
            <w:tcW w:type="dxa" w:w="1008"/>
          </w:tcPr>
          <w:p>
            <w:r>
              <w:rPr>
                <w:b/>
              </w:rPr>
              <w:t>New Ver.</w:t>
            </w:r>
          </w:p>
        </w:tc>
        <w:tc>
          <w:tcPr>
            <w:tcW w:type="dxa" w:w="1008"/>
          </w:tcPr>
          <w:p>
            <w:r>
              <w:rPr>
                <w:b/>
              </w:rPr>
              <w:t>Status</w:t>
            </w:r>
          </w:p>
        </w:tc>
      </w:tr>
      <w:tr>
        <w:tc>
          <w:tcPr>
            <w:tcW w:type="dxa" w:w="1008"/>
          </w:tcPr>
          <w:p>
            <w:r>
              <w:t>CR-001</w:t>
            </w:r>
          </w:p>
        </w:tc>
        <w:tc>
          <w:tcPr>
            <w:tcW w:type="dxa" w:w="4320"/>
          </w:tcPr>
          <w:p>
            <w:r>
              <w:t>Initial project scaffold — Next.js 16 App Router setup, TypeScript configuration, package.json baseline.</w:t>
            </w:r>
          </w:p>
        </w:tc>
        <w:tc>
          <w:tcPr>
            <w:tcW w:type="dxa" w:w="1296"/>
          </w:tcPr>
          <w:p>
            <w:r>
              <w:t>Perfective</w:t>
            </w:r>
          </w:p>
        </w:tc>
        <w:tc>
          <w:tcPr>
            <w:tcW w:type="dxa" w:w="1152"/>
          </w:tcPr>
          <w:p>
            <w:r>
              <w:t>High</w:t>
            </w:r>
          </w:p>
        </w:tc>
        <w:tc>
          <w:tcPr>
            <w:tcW w:type="dxa" w:w="1008"/>
          </w:tcPr>
          <w:p>
            <w:r>
              <w:t>3.0.0.0</w:t>
            </w:r>
          </w:p>
        </w:tc>
        <w:tc>
          <w:tcPr>
            <w:tcW w:type="dxa" w:w="1008"/>
          </w:tcPr>
          <w:p>
            <w:r>
              <w:t>3.1.0.0</w:t>
            </w:r>
          </w:p>
        </w:tc>
        <w:tc>
          <w:tcPr>
            <w:tcW w:type="dxa" w:w="1008"/>
          </w:tcPr>
          <w:p>
            <w:r>
              <w:t>Closed</w:t>
            </w:r>
          </w:p>
        </w:tc>
      </w:tr>
      <w:tr>
        <w:tc>
          <w:tcPr>
            <w:tcW w:type="dxa" w:w="1008"/>
          </w:tcPr>
          <w:p>
            <w:r>
              <w:t>CR-002</w:t>
            </w:r>
          </w:p>
        </w:tc>
        <w:tc>
          <w:tcPr>
            <w:tcW w:type="dxa" w:w="4320"/>
          </w:tcPr>
          <w:p>
            <w:r>
              <w:t>Database schema &amp; interface design — Defined all 10 TypeScript interfaces in db.ts. Established readDB() / writeDB() / generateId() utilities.</w:t>
            </w:r>
          </w:p>
        </w:tc>
        <w:tc>
          <w:tcPr>
            <w:tcW w:type="dxa" w:w="1296"/>
          </w:tcPr>
          <w:p>
            <w:r>
              <w:t>Perfective</w:t>
            </w:r>
          </w:p>
        </w:tc>
        <w:tc>
          <w:tcPr>
            <w:tcW w:type="dxa" w:w="1152"/>
          </w:tcPr>
          <w:p>
            <w:r>
              <w:t>High</w:t>
            </w:r>
          </w:p>
        </w:tc>
        <w:tc>
          <w:tcPr>
            <w:tcW w:type="dxa" w:w="1008"/>
          </w:tcPr>
          <w:p>
            <w:r>
              <w:t>3.1.0.0</w:t>
            </w:r>
          </w:p>
        </w:tc>
        <w:tc>
          <w:tcPr>
            <w:tcW w:type="dxa" w:w="1008"/>
          </w:tcPr>
          <w:p>
            <w:r>
              <w:t>3.2.0.0</w:t>
            </w:r>
          </w:p>
        </w:tc>
        <w:tc>
          <w:tcPr>
            <w:tcW w:type="dxa" w:w="1008"/>
          </w:tcPr>
          <w:p>
            <w:r>
              <w:t>Closed</w:t>
            </w:r>
          </w:p>
        </w:tc>
      </w:tr>
      <w:tr>
        <w:tc>
          <w:tcPr>
            <w:tcW w:type="dxa" w:w="1008"/>
          </w:tcPr>
          <w:p>
            <w:r>
              <w:t>CR-003</w:t>
            </w:r>
          </w:p>
        </w:tc>
        <w:tc>
          <w:tcPr>
            <w:tcW w:type="dxa" w:w="4320"/>
          </w:tcPr>
          <w:p>
            <w:r>
              <w:t>Arabic language &amp; RTL support — Integrated next-intl v4.9; created ar.json and en.json; added LanguageToggle component and locale-aware routing middleware. Refactored all hard-coded strings across 24 UI components.</w:t>
            </w:r>
          </w:p>
        </w:tc>
        <w:tc>
          <w:tcPr>
            <w:tcW w:type="dxa" w:w="1296"/>
          </w:tcPr>
          <w:p>
            <w:r>
              <w:t>Adaptive</w:t>
            </w:r>
          </w:p>
        </w:tc>
        <w:tc>
          <w:tcPr>
            <w:tcW w:type="dxa" w:w="1152"/>
          </w:tcPr>
          <w:p>
            <w:r>
              <w:t>High</w:t>
            </w:r>
          </w:p>
        </w:tc>
        <w:tc>
          <w:tcPr>
            <w:tcW w:type="dxa" w:w="1008"/>
          </w:tcPr>
          <w:p>
            <w:r>
              <w:t>3.2.0.0</w:t>
            </w:r>
          </w:p>
        </w:tc>
        <w:tc>
          <w:tcPr>
            <w:tcW w:type="dxa" w:w="1008"/>
          </w:tcPr>
          <w:p>
            <w:r>
              <w:t>3.3.0.0</w:t>
            </w:r>
          </w:p>
        </w:tc>
        <w:tc>
          <w:tcPr>
            <w:tcW w:type="dxa" w:w="1008"/>
          </w:tcPr>
          <w:p>
            <w:r>
              <w:t>Closed</w:t>
            </w:r>
          </w:p>
        </w:tc>
      </w:tr>
      <w:tr>
        <w:tc>
          <w:tcPr>
            <w:tcW w:type="dxa" w:w="1008"/>
          </w:tcPr>
          <w:p>
            <w:r>
              <w:t>CR-004</w:t>
            </w:r>
          </w:p>
        </w:tc>
        <w:tc>
          <w:tcPr>
            <w:tcW w:type="dxa" w:w="4320"/>
          </w:tcPr>
          <w:p>
            <w:r>
              <w:t>Supabase Auth integration — Migrated session management to Supabase JWT. Introduced src/utils/supabase/server.ts and client.ts using @supabase/ssr. Updated getCurrentUser() to delegate to supabase.auth.getUser().</w:t>
            </w:r>
          </w:p>
        </w:tc>
        <w:tc>
          <w:tcPr>
            <w:tcW w:type="dxa" w:w="1296"/>
          </w:tcPr>
          <w:p>
            <w:r>
              <w:t>Adaptive</w:t>
            </w:r>
          </w:p>
        </w:tc>
        <w:tc>
          <w:tcPr>
            <w:tcW w:type="dxa" w:w="1152"/>
          </w:tcPr>
          <w:p>
            <w:r>
              <w:t>High</w:t>
            </w:r>
          </w:p>
        </w:tc>
        <w:tc>
          <w:tcPr>
            <w:tcW w:type="dxa" w:w="1008"/>
          </w:tcPr>
          <w:p>
            <w:r>
              <w:t>3.3.0.0</w:t>
            </w:r>
          </w:p>
        </w:tc>
        <w:tc>
          <w:tcPr>
            <w:tcW w:type="dxa" w:w="1008"/>
          </w:tcPr>
          <w:p>
            <w:r>
              <w:t>3.4.0.0</w:t>
            </w:r>
          </w:p>
        </w:tc>
        <w:tc>
          <w:tcPr>
            <w:tcW w:type="dxa" w:w="1008"/>
          </w:tcPr>
          <w:p>
            <w:r>
              <w:t>Closed</w:t>
            </w:r>
          </w:p>
        </w:tc>
      </w:tr>
      <w:tr>
        <w:tc>
          <w:tcPr>
            <w:tcW w:type="dxa" w:w="1008"/>
          </w:tcPr>
          <w:p>
            <w:r>
              <w:t>CR-005</w:t>
            </w:r>
          </w:p>
        </w:tc>
        <w:tc>
          <w:tcPr>
            <w:tcW w:type="dxa" w:w="4320"/>
          </w:tcPr>
          <w:p>
            <w:r>
              <w:t>XSS vulnerability remediation — Unsanitised output identified in BrandCard.tsx, ReviewCard.tsx, and LandingPage.tsx. Applied React JSX escaping; hardened cookies: b2b_user_id set to httpOnly: true, SameSite: 'lax'.</w:t>
            </w:r>
          </w:p>
        </w:tc>
        <w:tc>
          <w:tcPr>
            <w:tcW w:type="dxa" w:w="1296"/>
          </w:tcPr>
          <w:p>
            <w:r>
              <w:t>Corrective</w:t>
            </w:r>
          </w:p>
        </w:tc>
        <w:tc>
          <w:tcPr>
            <w:tcW w:type="dxa" w:w="1152"/>
          </w:tcPr>
          <w:p>
            <w:r>
              <w:t>Critical</w:t>
            </w:r>
          </w:p>
        </w:tc>
        <w:tc>
          <w:tcPr>
            <w:tcW w:type="dxa" w:w="1008"/>
          </w:tcPr>
          <w:p>
            <w:r>
              <w:t>3.4.0.0</w:t>
            </w:r>
          </w:p>
        </w:tc>
        <w:tc>
          <w:tcPr>
            <w:tcW w:type="dxa" w:w="1008"/>
          </w:tcPr>
          <w:p>
            <w:r>
              <w:t>3.4.0.1</w:t>
            </w:r>
          </w:p>
        </w:tc>
        <w:tc>
          <w:tcPr>
            <w:tcW w:type="dxa" w:w="1008"/>
          </w:tcPr>
          <w:p>
            <w:r>
              <w:t>Closed</w:t>
            </w:r>
          </w:p>
        </w:tc>
      </w:tr>
      <w:tr>
        <w:tc>
          <w:tcPr>
            <w:tcW w:type="dxa" w:w="1008"/>
          </w:tcPr>
          <w:p>
            <w:r>
              <w:t>CR-006</w:t>
            </w:r>
          </w:p>
        </w:tc>
        <w:tc>
          <w:tcPr>
            <w:tcW w:type="dxa" w:w="4320"/>
          </w:tcPr>
          <w:p>
            <w:r>
              <w:t>Bulk pricing tier system — Extended Product interface with bulk_pricing_tiers[]. Updated POST /api/orders to resolve unit_price from matching tier range. Added UI controls in product creation and edit pages.</w:t>
            </w:r>
          </w:p>
        </w:tc>
        <w:tc>
          <w:tcPr>
            <w:tcW w:type="dxa" w:w="1296"/>
          </w:tcPr>
          <w:p>
            <w:r>
              <w:t>Perfective</w:t>
            </w:r>
          </w:p>
        </w:tc>
        <w:tc>
          <w:tcPr>
            <w:tcW w:type="dxa" w:w="1152"/>
          </w:tcPr>
          <w:p>
            <w:r>
              <w:t>High</w:t>
            </w:r>
          </w:p>
        </w:tc>
        <w:tc>
          <w:tcPr>
            <w:tcW w:type="dxa" w:w="1008"/>
          </w:tcPr>
          <w:p>
            <w:r>
              <w:t>3.4.0.1</w:t>
            </w:r>
          </w:p>
        </w:tc>
        <w:tc>
          <w:tcPr>
            <w:tcW w:type="dxa" w:w="1008"/>
          </w:tcPr>
          <w:p>
            <w:r>
              <w:t>3.4.1.0</w:t>
            </w:r>
          </w:p>
        </w:tc>
        <w:tc>
          <w:tcPr>
            <w:tcW w:type="dxa" w:w="1008"/>
          </w:tcPr>
          <w:p>
            <w:r>
              <w:t>Closed</w:t>
            </w:r>
          </w:p>
        </w:tc>
      </w:tr>
      <w:tr>
        <w:tc>
          <w:tcPr>
            <w:tcW w:type="dxa" w:w="1008"/>
          </w:tcPr>
          <w:p>
            <w:r>
              <w:t>CR-007</w:t>
            </w:r>
          </w:p>
        </w:tc>
        <w:tc>
          <w:tcPr>
            <w:tcW w:type="dxa" w:w="4320"/>
          </w:tcPr>
          <w:p>
            <w:r>
              <w:t>Trust Score Engine — Designed BrandTrust and BuyerTrust scoring with response_rate, completion_rate, avg_fulfillment_days, and badge metrics.</w:t>
            </w:r>
          </w:p>
        </w:tc>
        <w:tc>
          <w:tcPr>
            <w:tcW w:type="dxa" w:w="1296"/>
          </w:tcPr>
          <w:p>
            <w:r>
              <w:t>Perfective</w:t>
            </w:r>
          </w:p>
        </w:tc>
        <w:tc>
          <w:tcPr>
            <w:tcW w:type="dxa" w:w="1152"/>
          </w:tcPr>
          <w:p>
            <w:r>
              <w:t>High</w:t>
            </w:r>
          </w:p>
        </w:tc>
        <w:tc>
          <w:tcPr>
            <w:tcW w:type="dxa" w:w="1008"/>
          </w:tcPr>
          <w:p>
            <w:r>
              <w:t>3.4.1.0</w:t>
            </w:r>
          </w:p>
        </w:tc>
        <w:tc>
          <w:tcPr>
            <w:tcW w:type="dxa" w:w="1008"/>
          </w:tcPr>
          <w:p>
            <w:r>
              <w:t>3.5.0.0</w:t>
            </w:r>
          </w:p>
        </w:tc>
        <w:tc>
          <w:tcPr>
            <w:tcW w:type="dxa" w:w="1008"/>
          </w:tcPr>
          <w:p>
            <w:r>
              <w:t>Closed</w:t>
            </w:r>
          </w:p>
        </w:tc>
      </w:tr>
      <w:tr>
        <w:tc>
          <w:tcPr>
            <w:tcW w:type="dxa" w:w="1008"/>
          </w:tcPr>
          <w:p>
            <w:r>
              <w:t>CR-008</w:t>
            </w:r>
          </w:p>
        </w:tc>
        <w:tc>
          <w:tcPr>
            <w:tcW w:type="dxa" w:w="4320"/>
          </w:tcPr>
          <w:p>
            <w:r>
              <w:t>Real-time notification system — Introduced Zustand v5 store, RealtimeProvider.tsx, NotificationBell.tsx, and createNotification() / createNotificationForMany() integrated into all key workflows.</w:t>
            </w:r>
          </w:p>
        </w:tc>
        <w:tc>
          <w:tcPr>
            <w:tcW w:type="dxa" w:w="1296"/>
          </w:tcPr>
          <w:p>
            <w:r>
              <w:t>Perfective</w:t>
            </w:r>
          </w:p>
        </w:tc>
        <w:tc>
          <w:tcPr>
            <w:tcW w:type="dxa" w:w="1152"/>
          </w:tcPr>
          <w:p>
            <w:r>
              <w:t>Medium</w:t>
            </w:r>
          </w:p>
        </w:tc>
        <w:tc>
          <w:tcPr>
            <w:tcW w:type="dxa" w:w="1008"/>
          </w:tcPr>
          <w:p>
            <w:r>
              <w:t>3.5.0.0</w:t>
            </w:r>
          </w:p>
        </w:tc>
        <w:tc>
          <w:tcPr>
            <w:tcW w:type="dxa" w:w="1008"/>
          </w:tcPr>
          <w:p>
            <w:r>
              <w:t>3.5.1.0</w:t>
            </w:r>
          </w:p>
        </w:tc>
        <w:tc>
          <w:tcPr>
            <w:tcW w:type="dxa" w:w="1008"/>
          </w:tcPr>
          <w:p>
            <w:r>
              <w:t>Closed</w:t>
            </w:r>
          </w:p>
        </w:tc>
      </w:tr>
      <w:tr>
        <w:tc>
          <w:tcPr>
            <w:tcW w:type="dxa" w:w="1008"/>
          </w:tcPr>
          <w:p>
            <w:r>
              <w:t>CR-009</w:t>
            </w:r>
          </w:p>
        </w:tc>
        <w:tc>
          <w:tcPr>
            <w:tcW w:type="dxa" w:w="4320"/>
          </w:tcPr>
          <w:p>
            <w:r>
              <w:t>Multi-currency GCC support — Added CurrencyConfig interface and CURRENCIES registry covering KWD, SAR, AED, QAR, BHD, OMR with ISO 4217 codes, VAT rates, locale strings.</w:t>
            </w:r>
          </w:p>
        </w:tc>
        <w:tc>
          <w:tcPr>
            <w:tcW w:type="dxa" w:w="1296"/>
          </w:tcPr>
          <w:p>
            <w:r>
              <w:t>Perfective</w:t>
            </w:r>
          </w:p>
        </w:tc>
        <w:tc>
          <w:tcPr>
            <w:tcW w:type="dxa" w:w="1152"/>
          </w:tcPr>
          <w:p>
            <w:r>
              <w:t>Medium</w:t>
            </w:r>
          </w:p>
        </w:tc>
        <w:tc>
          <w:tcPr>
            <w:tcW w:type="dxa" w:w="1008"/>
          </w:tcPr>
          <w:p>
            <w:r>
              <w:t>3.5.1.0</w:t>
            </w:r>
          </w:p>
        </w:tc>
        <w:tc>
          <w:tcPr>
            <w:tcW w:type="dxa" w:w="1008"/>
          </w:tcPr>
          <w:p>
            <w:r>
              <w:t>3.5.2.0</w:t>
            </w:r>
          </w:p>
        </w:tc>
        <w:tc>
          <w:tcPr>
            <w:tcW w:type="dxa" w:w="1008"/>
          </w:tcPr>
          <w:p>
            <w:r>
              <w:t>Closed</w:t>
            </w:r>
          </w:p>
        </w:tc>
      </w:tr>
      <w:tr>
        <w:tc>
          <w:tcPr>
            <w:tcW w:type="dxa" w:w="1008"/>
          </w:tcPr>
          <w:p>
            <w:r>
              <w:t>CR-010</w:t>
            </w:r>
          </w:p>
        </w:tc>
        <w:tc>
          <w:tcPr>
            <w:tcW w:type="dxa" w:w="4320"/>
          </w:tcPr>
          <w:p>
            <w:r>
              <w:t>Excel catalogue bulk import — Added CatalogImportModal.tsx (560 LOC) enabling brand owners to upload .xlsx product catalogues parsed via the xlsx library and submitted to POST /api/products/bulk.</w:t>
            </w:r>
          </w:p>
        </w:tc>
        <w:tc>
          <w:tcPr>
            <w:tcW w:type="dxa" w:w="1296"/>
          </w:tcPr>
          <w:p>
            <w:r>
              <w:t>Perfective</w:t>
            </w:r>
          </w:p>
        </w:tc>
        <w:tc>
          <w:tcPr>
            <w:tcW w:type="dxa" w:w="1152"/>
          </w:tcPr>
          <w:p>
            <w:r>
              <w:t>Low</w:t>
            </w:r>
          </w:p>
        </w:tc>
        <w:tc>
          <w:tcPr>
            <w:tcW w:type="dxa" w:w="1008"/>
          </w:tcPr>
          <w:p>
            <w:r>
              <w:t>3.5.2.0</w:t>
            </w:r>
          </w:p>
        </w:tc>
        <w:tc>
          <w:tcPr>
            <w:tcW w:type="dxa" w:w="1008"/>
          </w:tcPr>
          <w:p>
            <w:r>
              <w:t>3.5.2.1</w:t>
            </w:r>
          </w:p>
        </w:tc>
        <w:tc>
          <w:tcPr>
            <w:tcW w:type="dxa" w:w="1008"/>
          </w:tcPr>
          <w:p>
            <w:r>
              <w:t>Closed</w:t>
            </w:r>
          </w:p>
        </w:tc>
      </w:tr>
    </w:tbl>
    <w:p/>
    <w:p>
      <w:pPr>
        <w:pStyle w:val="Heading3"/>
      </w:pPr>
      <w:r>
        <w:t>4.4.4  Version Baseline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1728"/>
          </w:tcPr>
          <w:p>
            <w:r>
              <w:rPr>
                <w:b/>
              </w:rPr>
              <w:t>Version</w:t>
            </w:r>
          </w:p>
        </w:tc>
        <w:tc>
          <w:tcPr>
            <w:tcW w:type="dxa" w:w="4752"/>
          </w:tcPr>
          <w:p>
            <w:r>
              <w:rPr>
                <w:b/>
              </w:rPr>
              <w:t>Key Deliverable</w:t>
            </w:r>
          </w:p>
        </w:tc>
      </w:tr>
      <w:tr>
        <w:tc>
          <w:tcPr>
            <w:tcW w:type="dxa" w:w="2880"/>
          </w:tcPr>
          <w:p>
            <w:r>
              <w:t>Project Scaffold</w:t>
            </w:r>
          </w:p>
        </w:tc>
        <w:tc>
          <w:tcPr>
            <w:tcW w:type="dxa" w:w="1728"/>
          </w:tcPr>
          <w:p>
            <w:r>
              <w:t>3.1.0.0</w:t>
            </w:r>
          </w:p>
        </w:tc>
        <w:tc>
          <w:tcPr>
            <w:tcW w:type="dxa" w:w="4752"/>
          </w:tcPr>
          <w:p>
            <w:r>
              <w:t>Next.js 16 setup, TypeScript baseline</w:t>
            </w:r>
          </w:p>
        </w:tc>
      </w:tr>
      <w:tr>
        <w:tc>
          <w:tcPr>
            <w:tcW w:type="dxa" w:w="2880"/>
          </w:tcPr>
          <w:p>
            <w:r>
              <w:t>Schema Freeze</w:t>
            </w:r>
          </w:p>
        </w:tc>
        <w:tc>
          <w:tcPr>
            <w:tcW w:type="dxa" w:w="1728"/>
          </w:tcPr>
          <w:p>
            <w:r>
              <w:t>3.2.0.0</w:t>
            </w:r>
          </w:p>
        </w:tc>
        <w:tc>
          <w:tcPr>
            <w:tcW w:type="dxa" w:w="4752"/>
          </w:tcPr>
          <w:p>
            <w:r>
              <w:t>All 10 db.ts interfaces defined</w:t>
            </w:r>
          </w:p>
        </w:tc>
      </w:tr>
      <w:tr>
        <w:tc>
          <w:tcPr>
            <w:tcW w:type="dxa" w:w="2880"/>
          </w:tcPr>
          <w:p>
            <w:r>
              <w:t>Bilingual Release</w:t>
            </w:r>
          </w:p>
        </w:tc>
        <w:tc>
          <w:tcPr>
            <w:tcW w:type="dxa" w:w="1728"/>
          </w:tcPr>
          <w:p>
            <w:r>
              <w:t>3.3.0.0</w:t>
            </w:r>
          </w:p>
        </w:tc>
        <w:tc>
          <w:tcPr>
            <w:tcW w:type="dxa" w:w="4752"/>
          </w:tcPr>
          <w:p>
            <w:r>
              <w:t>Arabic RTL support live</w:t>
            </w:r>
          </w:p>
        </w:tc>
      </w:tr>
      <w:tr>
        <w:tc>
          <w:tcPr>
            <w:tcW w:type="dxa" w:w="2880"/>
          </w:tcPr>
          <w:p>
            <w:r>
              <w:t>Auth Stabilisation</w:t>
            </w:r>
          </w:p>
        </w:tc>
        <w:tc>
          <w:tcPr>
            <w:tcW w:type="dxa" w:w="1728"/>
          </w:tcPr>
          <w:p>
            <w:r>
              <w:t>3.4.0.0</w:t>
            </w:r>
          </w:p>
        </w:tc>
        <w:tc>
          <w:tcPr>
            <w:tcW w:type="dxa" w:w="4752"/>
          </w:tcPr>
          <w:p>
            <w:r>
              <w:t>Supabase JWT sessions active</w:t>
            </w:r>
          </w:p>
        </w:tc>
      </w:tr>
      <w:tr>
        <w:tc>
          <w:tcPr>
            <w:tcW w:type="dxa" w:w="2880"/>
          </w:tcPr>
          <w:p>
            <w:r>
              <w:t>Security Patch</w:t>
            </w:r>
          </w:p>
        </w:tc>
        <w:tc>
          <w:tcPr>
            <w:tcW w:type="dxa" w:w="1728"/>
          </w:tcPr>
          <w:p>
            <w:r>
              <w:t>3.4.0.1</w:t>
            </w:r>
          </w:p>
        </w:tc>
        <w:tc>
          <w:tcPr>
            <w:tcW w:type="dxa" w:w="4752"/>
          </w:tcPr>
          <w:p>
            <w:r>
              <w:t>XSS vulnerability closed</w:t>
            </w:r>
          </w:p>
        </w:tc>
      </w:tr>
      <w:tr>
        <w:tc>
          <w:tcPr>
            <w:tcW w:type="dxa" w:w="2880"/>
          </w:tcPr>
          <w:p>
            <w:r>
              <w:t>B2B Pricing Complete</w:t>
            </w:r>
          </w:p>
        </w:tc>
        <w:tc>
          <w:tcPr>
            <w:tcW w:type="dxa" w:w="1728"/>
          </w:tcPr>
          <w:p>
            <w:r>
              <w:t>3.4.1.0</w:t>
            </w:r>
          </w:p>
        </w:tc>
        <w:tc>
          <w:tcPr>
            <w:tcW w:type="dxa" w:w="4752"/>
          </w:tcPr>
          <w:p>
            <w:r>
              <w:t>Bulk pricing tiers implemented</w:t>
            </w:r>
          </w:p>
        </w:tc>
      </w:tr>
      <w:tr>
        <w:tc>
          <w:tcPr>
            <w:tcW w:type="dxa" w:w="2880"/>
          </w:tcPr>
          <w:p>
            <w:r>
              <w:t>Trust Engine Release</w:t>
            </w:r>
          </w:p>
        </w:tc>
        <w:tc>
          <w:tcPr>
            <w:tcW w:type="dxa" w:w="1728"/>
          </w:tcPr>
          <w:p>
            <w:r>
              <w:t>3.5.0.0</w:t>
            </w:r>
          </w:p>
        </w:tc>
        <w:tc>
          <w:tcPr>
            <w:tcW w:type="dxa" w:w="4752"/>
          </w:tcPr>
          <w:p>
            <w:r>
              <w:t>BrandTrust / BuyerTrust scoring live</w:t>
            </w:r>
          </w:p>
        </w:tc>
      </w:tr>
      <w:tr>
        <w:tc>
          <w:tcPr>
            <w:tcW w:type="dxa" w:w="2880"/>
          </w:tcPr>
          <w:p>
            <w:r>
              <w:t>Notifications Release</w:t>
            </w:r>
          </w:p>
        </w:tc>
        <w:tc>
          <w:tcPr>
            <w:tcW w:type="dxa" w:w="1728"/>
          </w:tcPr>
          <w:p>
            <w:r>
              <w:t>3.5.1.0</w:t>
            </w:r>
          </w:p>
        </w:tc>
        <w:tc>
          <w:tcPr>
            <w:tcW w:type="dxa" w:w="4752"/>
          </w:tcPr>
          <w:p>
            <w:r>
              <w:t>Real-time notification system active</w:t>
            </w:r>
          </w:p>
        </w:tc>
      </w:tr>
      <w:tr>
        <w:tc>
          <w:tcPr>
            <w:tcW w:type="dxa" w:w="2880"/>
          </w:tcPr>
          <w:p>
            <w:r>
              <w:t>GCC Currency Support</w:t>
            </w:r>
          </w:p>
        </w:tc>
        <w:tc>
          <w:tcPr>
            <w:tcW w:type="dxa" w:w="1728"/>
          </w:tcPr>
          <w:p>
            <w:r>
              <w:t>3.5.2.0</w:t>
            </w:r>
          </w:p>
        </w:tc>
        <w:tc>
          <w:tcPr>
            <w:tcW w:type="dxa" w:w="4752"/>
          </w:tcPr>
          <w:p>
            <w:r>
              <w:t>Six-currency selector live</w:t>
            </w:r>
          </w:p>
        </w:tc>
      </w:tr>
      <w:tr>
        <w:tc>
          <w:tcPr>
            <w:tcW w:type="dxa" w:w="2880"/>
          </w:tcPr>
          <w:p>
            <w:r>
              <w:t>Final Submission</w:t>
            </w:r>
          </w:p>
        </w:tc>
        <w:tc>
          <w:tcPr>
            <w:tcW w:type="dxa" w:w="1728"/>
          </w:tcPr>
          <w:p>
            <w:r>
              <w:t>3.5.2.1</w:t>
            </w:r>
          </w:p>
        </w:tc>
        <w:tc>
          <w:tcPr>
            <w:tcW w:type="dxa" w:w="4752"/>
          </w:tcPr>
          <w:p>
            <w:r>
              <w:t>Excel import; full feature freeze</w:t>
            </w:r>
          </w:p>
        </w:tc>
      </w:tr>
    </w:tbl>
    <w:p/>
    <w:p>
      <w:pPr>
        <w:pStyle w:val="Heading2"/>
      </w:pPr>
      <w:r>
        <w:t>4.5  Development &amp; Deployment Specification</w:t>
      </w:r>
    </w:p>
    <w:p>
      <w:pPr>
        <w:pStyle w:val="Heading3"/>
      </w:pPr>
      <w:r>
        <w:t>4.5.1  Hardware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1872"/>
          </w:tcPr>
          <w:p>
            <w:r>
              <w:rPr>
                <w:b/>
              </w:rPr>
              <w:t>Specification</w:t>
            </w:r>
          </w:p>
        </w:tc>
        <w:tc>
          <w:tcPr>
            <w:tcW w:type="dxa" w:w="2160"/>
          </w:tcPr>
          <w:p>
            <w:r>
              <w:rPr>
                <w:b/>
              </w:rPr>
              <w:t>Minimum (Dev)</w:t>
            </w:r>
          </w:p>
        </w:tc>
        <w:tc>
          <w:tcPr>
            <w:tcW w:type="dxa" w:w="2592"/>
          </w:tcPr>
          <w:p>
            <w:r>
              <w:rPr>
                <w:b/>
              </w:rPr>
              <w:t>Recommended (Dev)</w:t>
            </w:r>
          </w:p>
        </w:tc>
        <w:tc>
          <w:tcPr>
            <w:tcW w:type="dxa" w:w="2736"/>
          </w:tcPr>
          <w:p>
            <w:r>
              <w:rPr>
                <w:b/>
              </w:rPr>
              <w:t>Production (Vercel — Managed)</w:t>
            </w:r>
          </w:p>
        </w:tc>
      </w:tr>
      <w:tr>
        <w:tc>
          <w:tcPr>
            <w:tcW w:type="dxa" w:w="1872"/>
          </w:tcPr>
          <w:p>
            <w:r>
              <w:t>CPU</w:t>
            </w:r>
          </w:p>
        </w:tc>
        <w:tc>
          <w:tcPr>
            <w:tcW w:type="dxa" w:w="2160"/>
          </w:tcPr>
          <w:p>
            <w:r>
              <w:t>Dual-core 2.0 GHz (x86-64 or ARM64)</w:t>
            </w:r>
          </w:p>
        </w:tc>
        <w:tc>
          <w:tcPr>
            <w:tcW w:type="dxa" w:w="2592"/>
          </w:tcPr>
          <w:p>
            <w:r>
              <w:t>Quad-core 2.5 GHz+ (Apple M-series or Intel i5/i7)</w:t>
            </w:r>
          </w:p>
        </w:tc>
        <w:tc>
          <w:tcPr>
            <w:tcW w:type="dxa" w:w="2736"/>
          </w:tcPr>
          <w:p>
            <w:r>
              <w:t>Managed serverless — no configuration required</w:t>
            </w:r>
          </w:p>
        </w:tc>
      </w:tr>
      <w:tr>
        <w:tc>
          <w:tcPr>
            <w:tcW w:type="dxa" w:w="1872"/>
          </w:tcPr>
          <w:p>
            <w:r>
              <w:t>RAM</w:t>
            </w:r>
          </w:p>
        </w:tc>
        <w:tc>
          <w:tcPr>
            <w:tcW w:type="dxa" w:w="2160"/>
          </w:tcPr>
          <w:p>
            <w:r>
              <w:t>8 GB</w:t>
            </w:r>
          </w:p>
        </w:tc>
        <w:tc>
          <w:tcPr>
            <w:tcW w:type="dxa" w:w="2592"/>
          </w:tcPr>
          <w:p>
            <w:r>
              <w:t>16 GB</w:t>
            </w:r>
          </w:p>
        </w:tc>
        <w:tc>
          <w:tcPr>
            <w:tcW w:type="dxa" w:w="2736"/>
          </w:tcPr>
          <w:p>
            <w:r>
              <w:t>Per-function memory: 1024 MB (Vercel default)</w:t>
            </w:r>
          </w:p>
        </w:tc>
      </w:tr>
      <w:tr>
        <w:tc>
          <w:tcPr>
            <w:tcW w:type="dxa" w:w="1872"/>
          </w:tcPr>
          <w:p>
            <w:r>
              <w:t>Storage</w:t>
            </w:r>
          </w:p>
        </w:tc>
        <w:tc>
          <w:tcPr>
            <w:tcW w:type="dxa" w:w="2160"/>
          </w:tcPr>
          <w:p>
            <w:r>
              <w:t>10 GB free (SSD preferred)</w:t>
            </w:r>
          </w:p>
        </w:tc>
        <w:tc>
          <w:tcPr>
            <w:tcW w:type="dxa" w:w="2592"/>
          </w:tcPr>
          <w:p>
            <w:r>
              <w:t>50 GB free SSD</w:t>
            </w:r>
          </w:p>
        </w:tc>
        <w:tc>
          <w:tcPr>
            <w:tcW w:type="dxa" w:w="2736"/>
          </w:tcPr>
          <w:p>
            <w:r>
              <w:t>Ephemeral — Supabase handles data persistence</w:t>
            </w:r>
          </w:p>
        </w:tc>
      </w:tr>
      <w:tr>
        <w:tc>
          <w:tcPr>
            <w:tcW w:type="dxa" w:w="1872"/>
          </w:tcPr>
          <w:p>
            <w:r>
              <w:t>Display</w:t>
            </w:r>
          </w:p>
        </w:tc>
        <w:tc>
          <w:tcPr>
            <w:tcW w:type="dxa" w:w="2160"/>
          </w:tcPr>
          <w:p>
            <w:r>
              <w:t>1280 × 720</w:t>
            </w:r>
          </w:p>
        </w:tc>
        <w:tc>
          <w:tcPr>
            <w:tcW w:type="dxa" w:w="2592"/>
          </w:tcPr>
          <w:p>
            <w:r>
              <w:t>1920 × 1080 or higher</w:t>
            </w:r>
          </w:p>
        </w:tc>
        <w:tc>
          <w:tcPr>
            <w:tcW w:type="dxa" w:w="2736"/>
          </w:tcPr>
          <w:p>
            <w:r>
              <w:t>N/A</w:t>
            </w:r>
          </w:p>
        </w:tc>
      </w:tr>
      <w:tr>
        <w:tc>
          <w:tcPr>
            <w:tcW w:type="dxa" w:w="1872"/>
          </w:tcPr>
          <w:p>
            <w:r>
              <w:t>Network</w:t>
            </w:r>
          </w:p>
        </w:tc>
        <w:tc>
          <w:tcPr>
            <w:tcW w:type="dxa" w:w="2160"/>
          </w:tcPr>
          <w:p>
            <w:r>
              <w:t>Broadband (10 Mbps+) — required for Supabase cloud</w:t>
            </w:r>
          </w:p>
        </w:tc>
        <w:tc>
          <w:tcPr>
            <w:tcW w:type="dxa" w:w="2592"/>
          </w:tcPr>
          <w:p>
            <w:r>
              <w:t>Broadband (50 Mbps+)</w:t>
            </w:r>
          </w:p>
        </w:tc>
        <w:tc>
          <w:tcPr>
            <w:tcW w:type="dxa" w:w="2736"/>
          </w:tcPr>
          <w:p>
            <w:r>
              <w:t>Vercel global edge CDN</w:t>
            </w:r>
          </w:p>
        </w:tc>
      </w:tr>
      <w:tr>
        <w:tc>
          <w:tcPr>
            <w:tcW w:type="dxa" w:w="1872"/>
          </w:tcPr>
          <w:p>
            <w:r>
              <w:t>Architecture</w:t>
            </w:r>
          </w:p>
        </w:tc>
        <w:tc>
          <w:tcPr>
            <w:tcW w:type="dxa" w:w="2160"/>
          </w:tcPr>
          <w:p>
            <w:r>
              <w:t>x86-64 or Apple Silicon (ARM64)</w:t>
            </w:r>
          </w:p>
        </w:tc>
        <w:tc>
          <w:tcPr>
            <w:tcW w:type="dxa" w:w="2592"/>
          </w:tcPr>
          <w:p>
            <w:r>
              <w:t>Apple Silicon M1/M2/M3 or x86-64</w:t>
            </w:r>
          </w:p>
        </w:tc>
        <w:tc>
          <w:tcPr>
            <w:tcW w:type="dxa" w:w="2736"/>
          </w:tcPr>
          <w:p>
            <w:r>
              <w:t>Serverless (x86-64, Linux)</w:t>
            </w:r>
          </w:p>
        </w:tc>
      </w:tr>
    </w:tbl>
    <w:p/>
    <w:p>
      <w:pPr/>
      <w:r>
        <w:t>The development team worked primarily on macOS Ventura (Darwin 22.5.0) on Apple Silicon. No hardware-level incompatibilities were identified on Windows 11 or Ubuntu 22.04 LTS during peer reviews.</w:t>
      </w:r>
    </w:p>
    <w:p>
      <w:pPr>
        <w:pStyle w:val="Heading3"/>
      </w:pPr>
      <w:r>
        <w:t>4.5.2  Software Requirements</w:t>
      </w:r>
    </w:p>
    <w:p>
      <w:pPr/>
      <w:r>
        <w:t>Operating System:</w:t>
      </w:r>
    </w:p>
    <w:tbl>
      <w:tblPr>
        <w:tblStyle w:val="TableGrid"/>
        <w:tblW w:type="auto" w:w="0"/>
        <w:tblLook w:firstColumn="1" w:firstRow="1" w:lastColumn="0" w:lastRow="0" w:noHBand="0" w:noVBand="1" w:val="04A0"/>
      </w:tblPr>
      <w:tblGrid>
        <w:gridCol w:w="2880"/>
        <w:gridCol w:w="2880"/>
        <w:gridCol w:w="2880"/>
      </w:tblGrid>
      <w:tr>
        <w:tc>
          <w:tcPr>
            <w:tcW w:type="dxa" w:w="2160"/>
          </w:tcPr>
          <w:p>
            <w:r>
              <w:rPr>
                <w:b/>
              </w:rPr>
              <w:t>Platform</w:t>
            </w:r>
          </w:p>
        </w:tc>
        <w:tc>
          <w:tcPr>
            <w:tcW w:type="dxa" w:w="2880"/>
          </w:tcPr>
          <w:p>
            <w:r>
              <w:rPr>
                <w:b/>
              </w:rPr>
              <w:t>Version</w:t>
            </w:r>
          </w:p>
        </w:tc>
        <w:tc>
          <w:tcPr>
            <w:tcW w:type="dxa" w:w="4320"/>
          </w:tcPr>
          <w:p>
            <w:r>
              <w:rPr>
                <w:b/>
              </w:rPr>
              <w:t>Support Status</w:t>
            </w:r>
          </w:p>
        </w:tc>
      </w:tr>
      <w:tr>
        <w:tc>
          <w:tcPr>
            <w:tcW w:type="dxa" w:w="2160"/>
          </w:tcPr>
          <w:p>
            <w:r>
              <w:t>macOS</w:t>
            </w:r>
          </w:p>
        </w:tc>
        <w:tc>
          <w:tcPr>
            <w:tcW w:type="dxa" w:w="2880"/>
          </w:tcPr>
          <w:p>
            <w:r>
              <w:t>Ventura 13.x or later</w:t>
            </w:r>
          </w:p>
        </w:tc>
        <w:tc>
          <w:tcPr>
            <w:tcW w:type="dxa" w:w="4320"/>
          </w:tcPr>
          <w:p>
            <w:r>
              <w:t>Primary — used by development team</w:t>
            </w:r>
          </w:p>
        </w:tc>
      </w:tr>
      <w:tr>
        <w:tc>
          <w:tcPr>
            <w:tcW w:type="dxa" w:w="2160"/>
          </w:tcPr>
          <w:p>
            <w:r>
              <w:t>Windows</w:t>
            </w:r>
          </w:p>
        </w:tc>
        <w:tc>
          <w:tcPr>
            <w:tcW w:type="dxa" w:w="2880"/>
          </w:tcPr>
          <w:p>
            <w:r>
              <w:t>11 (Build 22000+)</w:t>
            </w:r>
          </w:p>
        </w:tc>
        <w:tc>
          <w:tcPr>
            <w:tcW w:type="dxa" w:w="4320"/>
          </w:tcPr>
          <w:p>
            <w:r>
              <w:t>Compatible</w:t>
            </w:r>
          </w:p>
        </w:tc>
      </w:tr>
      <w:tr>
        <w:tc>
          <w:tcPr>
            <w:tcW w:type="dxa" w:w="2160"/>
          </w:tcPr>
          <w:p>
            <w:r>
              <w:t>Ubuntu / Debian</w:t>
            </w:r>
          </w:p>
        </w:tc>
        <w:tc>
          <w:tcPr>
            <w:tcW w:type="dxa" w:w="2880"/>
          </w:tcPr>
          <w:p>
            <w:r>
              <w:t>22.04 LTS or later</w:t>
            </w:r>
          </w:p>
        </w:tc>
        <w:tc>
          <w:tcPr>
            <w:tcW w:type="dxa" w:w="4320"/>
          </w:tcPr>
          <w:p>
            <w:r>
              <w:t>Compatible</w:t>
            </w:r>
          </w:p>
        </w:tc>
      </w:tr>
    </w:tbl>
    <w:p/>
    <w:p>
      <w:pPr/>
      <w:r>
        <w:t>Runtime &amp; Package Manager:</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Pr>
                <w:b/>
              </w:rPr>
              <w:t>Software</w:t>
            </w:r>
          </w:p>
        </w:tc>
        <w:tc>
          <w:tcPr>
            <w:tcW w:type="dxa" w:w="1728"/>
          </w:tcPr>
          <w:p>
            <w:r>
              <w:rPr>
                <w:b/>
              </w:rPr>
              <w:t>Version Used</w:t>
            </w:r>
          </w:p>
        </w:tc>
        <w:tc>
          <w:tcPr>
            <w:tcW w:type="dxa" w:w="1872"/>
          </w:tcPr>
          <w:p>
            <w:r>
              <w:rPr>
                <w:b/>
              </w:rPr>
              <w:t>Minimum Required</w:t>
            </w:r>
          </w:p>
        </w:tc>
        <w:tc>
          <w:tcPr>
            <w:tcW w:type="dxa" w:w="4032"/>
          </w:tcPr>
          <w:p>
            <w:r>
              <w:rPr>
                <w:b/>
              </w:rPr>
              <w:t>Notes</w:t>
            </w:r>
          </w:p>
        </w:tc>
      </w:tr>
      <w:tr>
        <w:tc>
          <w:tcPr>
            <w:tcW w:type="dxa" w:w="1728"/>
          </w:tcPr>
          <w:p>
            <w:r>
              <w:t>Node.js</w:t>
            </w:r>
          </w:p>
        </w:tc>
        <w:tc>
          <w:tcPr>
            <w:tcW w:type="dxa" w:w="1728"/>
          </w:tcPr>
          <w:p>
            <w:r>
              <w:t>v24.14.0</w:t>
            </w:r>
          </w:p>
        </w:tc>
        <w:tc>
          <w:tcPr>
            <w:tcW w:type="dxa" w:w="1872"/>
          </w:tcPr>
          <w:p>
            <w:r>
              <w:t>v20.0.0 LTS</w:t>
            </w:r>
          </w:p>
        </w:tc>
        <w:tc>
          <w:tcPr>
            <w:tcW w:type="dxa" w:w="4032"/>
          </w:tcPr>
          <w:p>
            <w:r>
              <w:t>Next.js 16 requires Node ≥ 20. Developed and tested on Node 24. @types/node: ^20 confirms Node 20 as minimum target.</w:t>
            </w:r>
          </w:p>
        </w:tc>
      </w:tr>
      <w:tr>
        <w:tc>
          <w:tcPr>
            <w:tcW w:type="dxa" w:w="1728"/>
          </w:tcPr>
          <w:p>
            <w:r>
              <w:t>npm</w:t>
            </w:r>
          </w:p>
        </w:tc>
        <w:tc>
          <w:tcPr>
            <w:tcW w:type="dxa" w:w="1728"/>
          </w:tcPr>
          <w:p>
            <w:r>
              <w:t>v11.9.0</w:t>
            </w:r>
          </w:p>
        </w:tc>
        <w:tc>
          <w:tcPr>
            <w:tcW w:type="dxa" w:w="1872"/>
          </w:tcPr>
          <w:p>
            <w:r>
              <w:t>v10.0.0</w:t>
            </w:r>
          </w:p>
        </w:tc>
        <w:tc>
          <w:tcPr>
            <w:tcW w:type="dxa" w:w="4032"/>
          </w:tcPr>
          <w:p>
            <w:r>
              <w:t>Ships with Node 24. Used for all dependency installation and scripting.</w:t>
            </w:r>
          </w:p>
        </w:tc>
      </w:tr>
      <w:tr>
        <w:tc>
          <w:tcPr>
            <w:tcW w:type="dxa" w:w="1728"/>
          </w:tcPr>
          <w:p>
            <w:r>
              <w:t>Git</w:t>
            </w:r>
          </w:p>
        </w:tc>
        <w:tc>
          <w:tcPr>
            <w:tcW w:type="dxa" w:w="1728"/>
          </w:tcPr>
          <w:p>
            <w:r>
              <w:t>2.40+</w:t>
            </w:r>
          </w:p>
        </w:tc>
        <w:tc>
          <w:tcPr>
            <w:tcW w:type="dxa" w:w="1872"/>
          </w:tcPr>
          <w:p>
            <w:r>
              <w:t>2.30+</w:t>
            </w:r>
          </w:p>
        </w:tc>
        <w:tc>
          <w:tcPr>
            <w:tcW w:type="dxa" w:w="4032"/>
          </w:tcPr>
          <w:p>
            <w:r>
              <w:t>Version control and change tracking.</w:t>
            </w:r>
          </w:p>
        </w:tc>
      </w:tr>
    </w:tbl>
    <w:p/>
    <w:p>
      <w:pPr/>
      <w:r>
        <w:t>Core Framework &amp; Language:</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Pr>
                <w:b/>
              </w:rPr>
              <w:t>Software</w:t>
            </w:r>
          </w:p>
        </w:tc>
        <w:tc>
          <w:tcPr>
            <w:tcW w:type="dxa" w:w="1296"/>
          </w:tcPr>
          <w:p>
            <w:r>
              <w:rPr>
                <w:b/>
              </w:rPr>
              <w:t>Version</w:t>
            </w:r>
          </w:p>
        </w:tc>
        <w:tc>
          <w:tcPr>
            <w:tcW w:type="dxa" w:w="1440"/>
          </w:tcPr>
          <w:p>
            <w:r>
              <w:rPr>
                <w:b/>
              </w:rPr>
              <w:t>License</w:t>
            </w:r>
          </w:p>
        </w:tc>
        <w:tc>
          <w:tcPr>
            <w:tcW w:type="dxa" w:w="4896"/>
          </w:tcPr>
          <w:p>
            <w:r>
              <w:rPr>
                <w:b/>
              </w:rPr>
              <w:t>Role</w:t>
            </w:r>
          </w:p>
        </w:tc>
      </w:tr>
      <w:tr>
        <w:tc>
          <w:tcPr>
            <w:tcW w:type="dxa" w:w="1728"/>
          </w:tcPr>
          <w:p>
            <w:r>
              <w:t>Next.js</w:t>
            </w:r>
          </w:p>
        </w:tc>
        <w:tc>
          <w:tcPr>
            <w:tcW w:type="dxa" w:w="1296"/>
          </w:tcPr>
          <w:p>
            <w:r>
              <w:t>16.2.2</w:t>
            </w:r>
          </w:p>
        </w:tc>
        <w:tc>
          <w:tcPr>
            <w:tcW w:type="dxa" w:w="1440"/>
          </w:tcPr>
          <w:p>
            <w:r>
              <w:t>MIT</w:t>
            </w:r>
          </w:p>
        </w:tc>
        <w:tc>
          <w:tcPr>
            <w:tcW w:type="dxa" w:w="4896"/>
          </w:tcPr>
          <w:p>
            <w:r>
              <w:t>Full-stack React framework — App Router, SSR, API routes, middleware</w:t>
            </w:r>
          </w:p>
        </w:tc>
      </w:tr>
      <w:tr>
        <w:tc>
          <w:tcPr>
            <w:tcW w:type="dxa" w:w="1728"/>
          </w:tcPr>
          <w:p>
            <w:r>
              <w:t>React</w:t>
            </w:r>
          </w:p>
        </w:tc>
        <w:tc>
          <w:tcPr>
            <w:tcW w:type="dxa" w:w="1296"/>
          </w:tcPr>
          <w:p>
            <w:r>
              <w:t>19.2.4</w:t>
            </w:r>
          </w:p>
        </w:tc>
        <w:tc>
          <w:tcPr>
            <w:tcW w:type="dxa" w:w="1440"/>
          </w:tcPr>
          <w:p>
            <w:r>
              <w:t>MIT</w:t>
            </w:r>
          </w:p>
        </w:tc>
        <w:tc>
          <w:tcPr>
            <w:tcW w:type="dxa" w:w="4896"/>
          </w:tcPr>
          <w:p>
            <w:r>
              <w:t>UI component rendering (Server + Client Components)</w:t>
            </w:r>
          </w:p>
        </w:tc>
      </w:tr>
      <w:tr>
        <w:tc>
          <w:tcPr>
            <w:tcW w:type="dxa" w:w="1728"/>
          </w:tcPr>
          <w:p>
            <w:r>
              <w:t>TypeScript</w:t>
            </w:r>
          </w:p>
        </w:tc>
        <w:tc>
          <w:tcPr>
            <w:tcW w:type="dxa" w:w="1296"/>
          </w:tcPr>
          <w:p>
            <w:r>
              <w:t>^5.x</w:t>
            </w:r>
          </w:p>
        </w:tc>
        <w:tc>
          <w:tcPr>
            <w:tcW w:type="dxa" w:w="1440"/>
          </w:tcPr>
          <w:p>
            <w:r>
              <w:t>Apache 2.0</w:t>
            </w:r>
          </w:p>
        </w:tc>
        <w:tc>
          <w:tcPr>
            <w:tcW w:type="dxa" w:w="4896"/>
          </w:tcPr>
          <w:p>
            <w:r>
              <w:t>Statically typed — strict mode enabled across all 93 source files</w:t>
            </w:r>
          </w:p>
        </w:tc>
      </w:tr>
      <w:tr>
        <w:tc>
          <w:tcPr>
            <w:tcW w:type="dxa" w:w="1728"/>
          </w:tcPr>
          <w:p>
            <w:r>
              <w:t>ESLint</w:t>
            </w:r>
          </w:p>
        </w:tc>
        <w:tc>
          <w:tcPr>
            <w:tcW w:type="dxa" w:w="1296"/>
          </w:tcPr>
          <w:p>
            <w:r>
              <w:t>^9.x</w:t>
            </w:r>
          </w:p>
        </w:tc>
        <w:tc>
          <w:tcPr>
            <w:tcW w:type="dxa" w:w="1440"/>
          </w:tcPr>
          <w:p>
            <w:r>
              <w:t>MIT</w:t>
            </w:r>
          </w:p>
        </w:tc>
        <w:tc>
          <w:tcPr>
            <w:tcW w:type="dxa" w:w="4896"/>
          </w:tcPr>
          <w:p>
            <w:r>
              <w:t>Static analysis (eslint-config-next: 16.2.2)</w:t>
            </w:r>
          </w:p>
        </w:tc>
      </w:tr>
    </w:tbl>
    <w:p/>
    <w:p>
      <w:pPr/>
      <w:r>
        <w:t>TypeScript compiler options (tsconfig.json):</w:t>
      </w:r>
    </w:p>
    <w:tbl>
      <w:tblPr>
        <w:tblStyle w:val="TableGrid"/>
        <w:tblW w:type="auto" w:w="0"/>
        <w:tblLook w:firstColumn="1" w:firstRow="1" w:lastColumn="0" w:lastRow="0" w:noHBand="0" w:noVBand="1" w:val="04A0"/>
      </w:tblPr>
      <w:tblGrid>
        <w:gridCol w:w="2880"/>
        <w:gridCol w:w="2880"/>
        <w:gridCol w:w="2880"/>
      </w:tblGrid>
      <w:tr>
        <w:tc>
          <w:tcPr>
            <w:tcW w:type="dxa" w:w="2160"/>
          </w:tcPr>
          <w:p>
            <w:r>
              <w:rPr>
                <w:b/>
              </w:rPr>
              <w:t>Option</w:t>
            </w:r>
          </w:p>
        </w:tc>
        <w:tc>
          <w:tcPr>
            <w:tcW w:type="dxa" w:w="1872"/>
          </w:tcPr>
          <w:p>
            <w:r>
              <w:rPr>
                <w:b/>
              </w:rPr>
              <w:t>Value</w:t>
            </w:r>
          </w:p>
        </w:tc>
        <w:tc>
          <w:tcPr>
            <w:tcW w:type="dxa" w:w="5328"/>
          </w:tcPr>
          <w:p>
            <w:r>
              <w:rPr>
                <w:b/>
              </w:rPr>
              <w:t>Effect</w:t>
            </w:r>
          </w:p>
        </w:tc>
      </w:tr>
      <w:tr>
        <w:tc>
          <w:tcPr>
            <w:tcW w:type="dxa" w:w="2160"/>
          </w:tcPr>
          <w:p>
            <w:r>
              <w:t>target</w:t>
            </w:r>
          </w:p>
        </w:tc>
        <w:tc>
          <w:tcPr>
            <w:tcW w:type="dxa" w:w="1872"/>
          </w:tcPr>
          <w:p>
            <w:r>
              <w:t>ES2017</w:t>
            </w:r>
          </w:p>
        </w:tc>
        <w:tc>
          <w:tcPr>
            <w:tcW w:type="dxa" w:w="5328"/>
          </w:tcPr>
          <w:p>
            <w:r>
              <w:t>Broad browser and Node compatibility</w:t>
            </w:r>
          </w:p>
        </w:tc>
      </w:tr>
      <w:tr>
        <w:tc>
          <w:tcPr>
            <w:tcW w:type="dxa" w:w="2160"/>
          </w:tcPr>
          <w:p>
            <w:r>
              <w:t>strict</w:t>
            </w:r>
          </w:p>
        </w:tc>
        <w:tc>
          <w:tcPr>
            <w:tcW w:type="dxa" w:w="1872"/>
          </w:tcPr>
          <w:p>
            <w:r>
              <w:t>true</w:t>
            </w:r>
          </w:p>
        </w:tc>
        <w:tc>
          <w:tcPr>
            <w:tcW w:type="dxa" w:w="5328"/>
          </w:tcPr>
          <w:p>
            <w:r>
              <w:t>All strict type-checking rules enabled</w:t>
            </w:r>
          </w:p>
        </w:tc>
      </w:tr>
      <w:tr>
        <w:tc>
          <w:tcPr>
            <w:tcW w:type="dxa" w:w="2160"/>
          </w:tcPr>
          <w:p>
            <w:r>
              <w:t>moduleResolution</w:t>
            </w:r>
          </w:p>
        </w:tc>
        <w:tc>
          <w:tcPr>
            <w:tcW w:type="dxa" w:w="1872"/>
          </w:tcPr>
          <w:p>
            <w:r>
              <w:t>bundler</w:t>
            </w:r>
          </w:p>
        </w:tc>
        <w:tc>
          <w:tcPr>
            <w:tcW w:type="dxa" w:w="5328"/>
          </w:tcPr>
          <w:p>
            <w:r>
              <w:t>Optimised for Next.js 16 bundler-based resolution</w:t>
            </w:r>
          </w:p>
        </w:tc>
      </w:tr>
      <w:tr>
        <w:tc>
          <w:tcPr>
            <w:tcW w:type="dxa" w:w="2160"/>
          </w:tcPr>
          <w:p>
            <w:r>
              <w:t>jsx</w:t>
            </w:r>
          </w:p>
        </w:tc>
        <w:tc>
          <w:tcPr>
            <w:tcW w:type="dxa" w:w="1872"/>
          </w:tcPr>
          <w:p>
            <w:r>
              <w:t>react-jsx</w:t>
            </w:r>
          </w:p>
        </w:tc>
        <w:tc>
          <w:tcPr>
            <w:tcW w:type="dxa" w:w="5328"/>
          </w:tcPr>
          <w:p>
            <w:r>
              <w:t>Automatic JSX transform — no import React needed</w:t>
            </w:r>
          </w:p>
        </w:tc>
      </w:tr>
      <w:tr>
        <w:tc>
          <w:tcPr>
            <w:tcW w:type="dxa" w:w="2160"/>
          </w:tcPr>
          <w:p>
            <w:r>
              <w:t>incremental</w:t>
            </w:r>
          </w:p>
        </w:tc>
        <w:tc>
          <w:tcPr>
            <w:tcW w:type="dxa" w:w="1872"/>
          </w:tcPr>
          <w:p>
            <w:r>
              <w:t>true</w:t>
            </w:r>
          </w:p>
        </w:tc>
        <w:tc>
          <w:tcPr>
            <w:tcW w:type="dxa" w:w="5328"/>
          </w:tcPr>
          <w:p>
            <w:r>
              <w:t>Caches compilations to speed up rebuilds</w:t>
            </w:r>
          </w:p>
        </w:tc>
      </w:tr>
      <w:tr>
        <w:tc>
          <w:tcPr>
            <w:tcW w:type="dxa" w:w="2160"/>
          </w:tcPr>
          <w:p>
            <w:r>
              <w:t>paths</w:t>
            </w:r>
          </w:p>
        </w:tc>
        <w:tc>
          <w:tcPr>
            <w:tcW w:type="dxa" w:w="1872"/>
          </w:tcPr>
          <w:p>
            <w:r>
              <w:t>@/* → ./src/*</w:t>
            </w:r>
          </w:p>
        </w:tc>
        <w:tc>
          <w:tcPr>
            <w:tcW w:type="dxa" w:w="5328"/>
          </w:tcPr>
          <w:p>
            <w:r>
              <w:t>Absolute imports via @/ alias across codebase</w:t>
            </w:r>
          </w:p>
        </w:tc>
      </w:tr>
    </w:tbl>
    <w:p/>
    <w:p>
      <w:pPr/>
      <w:r>
        <w:t>Cloud Services &amp; Backend Infrastructure:</w:t>
      </w:r>
    </w:p>
    <w:tbl>
      <w:tblPr>
        <w:tblStyle w:val="TableGrid"/>
        <w:tblW w:type="auto" w:w="0"/>
        <w:tblLook w:firstColumn="1" w:firstRow="1" w:lastColumn="0" w:lastRow="0" w:noHBand="0" w:noVBand="1" w:val="04A0"/>
      </w:tblPr>
      <w:tblGrid>
        <w:gridCol w:w="2160"/>
        <w:gridCol w:w="2160"/>
        <w:gridCol w:w="2160"/>
        <w:gridCol w:w="2160"/>
      </w:tblGrid>
      <w:tr>
        <w:tc>
          <w:tcPr>
            <w:tcW w:type="dxa" w:w="1872"/>
          </w:tcPr>
          <w:p>
            <w:r>
              <w:rPr>
                <w:b/>
              </w:rPr>
              <w:t>Service</w:t>
            </w:r>
          </w:p>
        </w:tc>
        <w:tc>
          <w:tcPr>
            <w:tcW w:type="dxa" w:w="2304"/>
          </w:tcPr>
          <w:p>
            <w:r>
              <w:rPr>
                <w:b/>
              </w:rPr>
              <w:t>Version / Tier</w:t>
            </w:r>
          </w:p>
        </w:tc>
        <w:tc>
          <w:tcPr>
            <w:tcW w:type="dxa" w:w="2448"/>
          </w:tcPr>
          <w:p>
            <w:r>
              <w:rPr>
                <w:b/>
              </w:rPr>
              <w:t>Role</w:t>
            </w:r>
          </w:p>
        </w:tc>
        <w:tc>
          <w:tcPr>
            <w:tcW w:type="dxa" w:w="2736"/>
          </w:tcPr>
          <w:p>
            <w:r>
              <w:rPr>
                <w:b/>
              </w:rPr>
              <w:t>Configuration</w:t>
            </w:r>
          </w:p>
        </w:tc>
      </w:tr>
      <w:tr>
        <w:tc>
          <w:tcPr>
            <w:tcW w:type="dxa" w:w="1872"/>
          </w:tcPr>
          <w:p>
            <w:r>
              <w:t>Supabase Auth</w:t>
            </w:r>
          </w:p>
        </w:tc>
        <w:tc>
          <w:tcPr>
            <w:tcW w:type="dxa" w:w="2304"/>
          </w:tcPr>
          <w:p>
            <w:r>
              <w:t>@supabase/supabase-js ^2.101.1</w:t>
            </w:r>
          </w:p>
        </w:tc>
        <w:tc>
          <w:tcPr>
            <w:tcW w:type="dxa" w:w="2448"/>
          </w:tcPr>
          <w:p>
            <w:r>
              <w:t>JWT session management</w:t>
            </w:r>
          </w:p>
        </w:tc>
        <w:tc>
          <w:tcPr>
            <w:tcW w:type="dxa" w:w="2736"/>
          </w:tcPr>
          <w:p>
            <w:r>
              <w:t>NEXT_PUBLIC_SUPABASE_URL + NEXT_PUBLIC_SUPABASE_ANON_KEY</w:t>
            </w:r>
          </w:p>
        </w:tc>
      </w:tr>
      <w:tr>
        <w:tc>
          <w:tcPr>
            <w:tcW w:type="dxa" w:w="1872"/>
          </w:tcPr>
          <w:p>
            <w:r>
              <w:t>Supabase SSR</w:t>
            </w:r>
          </w:p>
        </w:tc>
        <w:tc>
          <w:tcPr>
            <w:tcW w:type="dxa" w:w="2304"/>
          </w:tcPr>
          <w:p>
            <w:r>
              <w:t>@supabase/ssr ^0.10.0</w:t>
            </w:r>
          </w:p>
        </w:tc>
        <w:tc>
          <w:tcPr>
            <w:tcW w:type="dxa" w:w="2448"/>
          </w:tcPr>
          <w:p>
            <w:r>
              <w:t>Server-side cookie session handling</w:t>
            </w:r>
          </w:p>
        </w:tc>
        <w:tc>
          <w:tcPr>
            <w:tcW w:type="dxa" w:w="2736"/>
          </w:tcPr>
          <w:p>
            <w:r>
              <w:t>Initialised in src/utils/supabase/server.ts and client.ts</w:t>
            </w:r>
          </w:p>
        </w:tc>
      </w:tr>
      <w:tr>
        <w:tc>
          <w:tcPr>
            <w:tcW w:type="dxa" w:w="1872"/>
          </w:tcPr>
          <w:p>
            <w:r>
              <w:t>Supabase PostgreSQL</w:t>
            </w:r>
          </w:p>
        </w:tc>
        <w:tc>
          <w:tcPr>
            <w:tcW w:type="dxa" w:w="2304"/>
          </w:tcPr>
          <w:p>
            <w:r>
              <w:t>Managed (Free Tier)</w:t>
            </w:r>
          </w:p>
        </w:tc>
        <w:tc>
          <w:tcPr>
            <w:tcW w:type="dxa" w:w="2448"/>
          </w:tcPr>
          <w:p>
            <w:r>
              <w:t>Auth session storage; production data layer post-migration</w:t>
            </w:r>
          </w:p>
        </w:tc>
        <w:tc>
          <w:tcPr>
            <w:tcW w:type="dxa" w:w="2736"/>
          </w:tcPr>
          <w:p>
            <w:r>
              <w:t>Hosted on Supabase cloud — no local PostgreSQL required</w:t>
            </w:r>
          </w:p>
        </w:tc>
      </w:tr>
      <w:tr>
        <w:tc>
          <w:tcPr>
            <w:tcW w:type="dxa" w:w="1872"/>
          </w:tcPr>
          <w:p>
            <w:r>
              <w:t>Vercel</w:t>
            </w:r>
          </w:p>
        </w:tc>
        <w:tc>
          <w:tcPr>
            <w:tcW w:type="dxa" w:w="2304"/>
          </w:tcPr>
          <w:p>
            <w:r>
              <w:t>Hobby Tier</w:t>
            </w:r>
          </w:p>
        </w:tc>
        <w:tc>
          <w:tcPr>
            <w:tcW w:type="dxa" w:w="2448"/>
          </w:tcPr>
          <w:p>
            <w:r>
              <w:t>Production deployment, CDN, serverless execution</w:t>
            </w:r>
          </w:p>
        </w:tc>
        <w:tc>
          <w:tcPr>
            <w:tcW w:type="dxa" w:w="2736"/>
          </w:tcPr>
          <w:p>
            <w:r>
              <w:t>Linked to Git repository for automatic CI/CD</w:t>
            </w:r>
          </w:p>
        </w:tc>
      </w:tr>
    </w:tbl>
    <w:p/>
    <w:p>
      <w:pPr/>
      <w:r>
        <w:t>Key Runtime Dependencies:</w:t>
      </w:r>
    </w:p>
    <w:tbl>
      <w:tblPr>
        <w:tblStyle w:val="TableGrid"/>
        <w:tblW w:type="auto" w:w="0"/>
        <w:tblLook w:firstColumn="1" w:firstRow="1" w:lastColumn="0" w:lastRow="0" w:noHBand="0" w:noVBand="1" w:val="04A0"/>
      </w:tblPr>
      <w:tblGrid>
        <w:gridCol w:w="2880"/>
        <w:gridCol w:w="2880"/>
        <w:gridCol w:w="2880"/>
      </w:tblGrid>
      <w:tr>
        <w:tc>
          <w:tcPr>
            <w:tcW w:type="dxa" w:w="2160"/>
          </w:tcPr>
          <w:p>
            <w:r>
              <w:rPr>
                <w:b/>
              </w:rPr>
              <w:t>Package</w:t>
            </w:r>
          </w:p>
        </w:tc>
        <w:tc>
          <w:tcPr>
            <w:tcW w:type="dxa" w:w="1440"/>
          </w:tcPr>
          <w:p>
            <w:r>
              <w:rPr>
                <w:b/>
              </w:rPr>
              <w:t>Version</w:t>
            </w:r>
          </w:p>
        </w:tc>
        <w:tc>
          <w:tcPr>
            <w:tcW w:type="dxa" w:w="5760"/>
          </w:tcPr>
          <w:p>
            <w:r>
              <w:rPr>
                <w:b/>
              </w:rPr>
              <w:t>Purpose</w:t>
            </w:r>
          </w:p>
        </w:tc>
      </w:tr>
      <w:tr>
        <w:tc>
          <w:tcPr>
            <w:tcW w:type="dxa" w:w="2160"/>
          </w:tcPr>
          <w:p>
            <w:r>
              <w:t>next-intl</w:t>
            </w:r>
          </w:p>
        </w:tc>
        <w:tc>
          <w:tcPr>
            <w:tcW w:type="dxa" w:w="1440"/>
          </w:tcPr>
          <w:p>
            <w:r>
              <w:t>^4.9.0</w:t>
            </w:r>
          </w:p>
        </w:tc>
        <w:tc>
          <w:tcPr>
            <w:tcW w:type="dxa" w:w="5760"/>
          </w:tcPr>
          <w:p>
            <w:r>
              <w:t>Arabic/English bilingual support via next.config.ts plugin</w:t>
            </w:r>
          </w:p>
        </w:tc>
      </w:tr>
      <w:tr>
        <w:tc>
          <w:tcPr>
            <w:tcW w:type="dxa" w:w="2160"/>
          </w:tcPr>
          <w:p>
            <w:r>
              <w:t>zustand</w:t>
            </w:r>
          </w:p>
        </w:tc>
        <w:tc>
          <w:tcPr>
            <w:tcW w:type="dxa" w:w="1440"/>
          </w:tcPr>
          <w:p>
            <w:r>
              <w:t>^5.0.12</w:t>
            </w:r>
          </w:p>
        </w:tc>
        <w:tc>
          <w:tcPr>
            <w:tcW w:type="dxa" w:w="5760"/>
          </w:tcPr>
          <w:p>
            <w:r>
              <w:t>Client-side notification state management</w:t>
            </w:r>
          </w:p>
        </w:tc>
      </w:tr>
      <w:tr>
        <w:tc>
          <w:tcPr>
            <w:tcW w:type="dxa" w:w="2160"/>
          </w:tcPr>
          <w:p>
            <w:r>
              <w:t>recharts</w:t>
            </w:r>
          </w:p>
        </w:tc>
        <w:tc>
          <w:tcPr>
            <w:tcW w:type="dxa" w:w="1440"/>
          </w:tcPr>
          <w:p>
            <w:r>
              <w:t>^3.8.1</w:t>
            </w:r>
          </w:p>
        </w:tc>
        <w:tc>
          <w:tcPr>
            <w:tcW w:type="dxa" w:w="5760"/>
          </w:tcPr>
          <w:p>
            <w:r>
              <w:t>Data visualisation for dashboards</w:t>
            </w:r>
          </w:p>
        </w:tc>
      </w:tr>
      <w:tr>
        <w:tc>
          <w:tcPr>
            <w:tcW w:type="dxa" w:w="2160"/>
          </w:tcPr>
          <w:p>
            <w:r>
              <w:t>lucide-react</w:t>
            </w:r>
          </w:p>
        </w:tc>
        <w:tc>
          <w:tcPr>
            <w:tcW w:type="dxa" w:w="1440"/>
          </w:tcPr>
          <w:p>
            <w:r>
              <w:t>^1.7.0</w:t>
            </w:r>
          </w:p>
        </w:tc>
        <w:tc>
          <w:tcPr>
            <w:tcW w:type="dxa" w:w="5760"/>
          </w:tcPr>
          <w:p>
            <w:r>
              <w:t>Icon component library</w:t>
            </w:r>
          </w:p>
        </w:tc>
      </w:tr>
      <w:tr>
        <w:tc>
          <w:tcPr>
            <w:tcW w:type="dxa" w:w="2160"/>
          </w:tcPr>
          <w:p>
            <w:r>
              <w:t>xlsx</w:t>
            </w:r>
          </w:p>
        </w:tc>
        <w:tc>
          <w:tcPr>
            <w:tcW w:type="dxa" w:w="1440"/>
          </w:tcPr>
          <w:p>
            <w:r>
              <w:t>^0.18.5</w:t>
            </w:r>
          </w:p>
        </w:tc>
        <w:tc>
          <w:tcPr>
            <w:tcW w:type="dxa" w:w="5760"/>
          </w:tcPr>
          <w:p>
            <w:r>
              <w:t>Excel catalogue import parsing</w:t>
            </w:r>
          </w:p>
        </w:tc>
      </w:tr>
      <w:tr>
        <w:tc>
          <w:tcPr>
            <w:tcW w:type="dxa" w:w="2160"/>
          </w:tcPr>
          <w:p>
            <w:r>
              <w:t>uuid</w:t>
            </w:r>
          </w:p>
        </w:tc>
        <w:tc>
          <w:tcPr>
            <w:tcW w:type="dxa" w:w="1440"/>
          </w:tcPr>
          <w:p>
            <w:r>
              <w:t>^13.0.0</w:t>
            </w:r>
          </w:p>
        </w:tc>
        <w:tc>
          <w:tcPr>
            <w:tcW w:type="dxa" w:w="5760"/>
          </w:tcPr>
          <w:p>
            <w:r>
              <w:t>UUID generation for entity IDs</w:t>
            </w:r>
          </w:p>
        </w:tc>
      </w:tr>
    </w:tbl>
    <w:p/>
    <w:p>
      <w:pPr>
        <w:pStyle w:val="Heading3"/>
      </w:pPr>
      <w:r>
        <w:t>4.5.3  IDE &amp; Developer Tooling</w:t>
      </w:r>
    </w:p>
    <w:tbl>
      <w:tblPr>
        <w:tblStyle w:val="TableGrid"/>
        <w:tblW w:type="auto" w:w="0"/>
        <w:tblLook w:firstColumn="1" w:firstRow="1" w:lastColumn="0" w:lastRow="0" w:noHBand="0" w:noVBand="1" w:val="04A0"/>
      </w:tblPr>
      <w:tblGrid>
        <w:gridCol w:w="2880"/>
        <w:gridCol w:w="2880"/>
        <w:gridCol w:w="2880"/>
      </w:tblGrid>
      <w:tr>
        <w:tc>
          <w:tcPr>
            <w:tcW w:type="dxa" w:w="2304"/>
          </w:tcPr>
          <w:p>
            <w:r>
              <w:rPr>
                <w:b/>
              </w:rPr>
              <w:t>Tool</w:t>
            </w:r>
          </w:p>
        </w:tc>
        <w:tc>
          <w:tcPr>
            <w:tcW w:type="dxa" w:w="1872"/>
          </w:tcPr>
          <w:p>
            <w:r>
              <w:rPr>
                <w:b/>
              </w:rPr>
              <w:t>Version</w:t>
            </w:r>
          </w:p>
        </w:tc>
        <w:tc>
          <w:tcPr>
            <w:tcW w:type="dxa" w:w="5184"/>
          </w:tcPr>
          <w:p>
            <w:r>
              <w:rPr>
                <w:b/>
              </w:rPr>
              <w:t>Role</w:t>
            </w:r>
          </w:p>
        </w:tc>
      </w:tr>
      <w:tr>
        <w:tc>
          <w:tcPr>
            <w:tcW w:type="dxa" w:w="2304"/>
          </w:tcPr>
          <w:p>
            <w:r>
              <w:t>Visual Studio Code</w:t>
            </w:r>
          </w:p>
        </w:tc>
        <w:tc>
          <w:tcPr>
            <w:tcW w:type="dxa" w:w="1872"/>
          </w:tcPr>
          <w:p>
            <w:r>
              <w:t>Latest stable</w:t>
            </w:r>
          </w:p>
        </w:tc>
        <w:tc>
          <w:tcPr>
            <w:tcW w:type="dxa" w:w="5184"/>
          </w:tcPr>
          <w:p>
            <w:r>
              <w:t>Primary IDE — TypeScript IntelliSense, integrated terminal, ESLint extension</w:t>
            </w:r>
          </w:p>
        </w:tc>
      </w:tr>
      <w:tr>
        <w:tc>
          <w:tcPr>
            <w:tcW w:type="dxa" w:w="2304"/>
          </w:tcPr>
          <w:p>
            <w:r>
              <w:t>Claude Code CLI</w:t>
            </w:r>
          </w:p>
        </w:tc>
        <w:tc>
          <w:tcPr>
            <w:tcW w:type="dxa" w:w="1872"/>
          </w:tcPr>
          <w:p>
            <w:r>
              <w:t>Latest</w:t>
            </w:r>
          </w:p>
        </w:tc>
        <w:tc>
          <w:tcPr>
            <w:tcW w:type="dxa" w:w="5184"/>
          </w:tcPr>
          <w:p>
            <w:r>
              <w:t>AI-assisted development and refactoring</w:t>
            </w:r>
          </w:p>
        </w:tc>
      </w:tr>
      <w:tr>
        <w:tc>
          <w:tcPr>
            <w:tcW w:type="dxa" w:w="2304"/>
          </w:tcPr>
          <w:p>
            <w:r>
              <w:t>Supabase Dashboard</w:t>
            </w:r>
          </w:p>
        </w:tc>
        <w:tc>
          <w:tcPr>
            <w:tcW w:type="dxa" w:w="1872"/>
          </w:tcPr>
          <w:p>
            <w:r>
              <w:t>Web (cloud)</w:t>
            </w:r>
          </w:p>
        </w:tc>
        <w:tc>
          <w:tcPr>
            <w:tcW w:type="dxa" w:w="5184"/>
          </w:tcPr>
          <w:p>
            <w:r>
              <w:t>Database inspection, auth user management, real-time event monitoring</w:t>
            </w:r>
          </w:p>
        </w:tc>
      </w:tr>
      <w:tr>
        <w:tc>
          <w:tcPr>
            <w:tcW w:type="dxa" w:w="2304"/>
          </w:tcPr>
          <w:p>
            <w:r>
              <w:t>Vercel Dashboard</w:t>
            </w:r>
          </w:p>
        </w:tc>
        <w:tc>
          <w:tcPr>
            <w:tcW w:type="dxa" w:w="1872"/>
          </w:tcPr>
          <w:p>
            <w:r>
              <w:t>Web (cloud)</w:t>
            </w:r>
          </w:p>
        </w:tc>
        <w:tc>
          <w:tcPr>
            <w:tcW w:type="dxa" w:w="5184"/>
          </w:tcPr>
          <w:p>
            <w:r>
              <w:t>Deployment management, environment variables, build logs, preview URLs</w:t>
            </w:r>
          </w:p>
        </w:tc>
      </w:tr>
      <w:tr>
        <w:tc>
          <w:tcPr>
            <w:tcW w:type="dxa" w:w="2304"/>
          </w:tcPr>
          <w:p>
            <w:r>
              <w:t>Git</w:t>
            </w:r>
          </w:p>
        </w:tc>
        <w:tc>
          <w:tcPr>
            <w:tcW w:type="dxa" w:w="1872"/>
          </w:tcPr>
          <w:p>
            <w:r>
              <w:t>2.40+</w:t>
            </w:r>
          </w:p>
        </w:tc>
        <w:tc>
          <w:tcPr>
            <w:tcW w:type="dxa" w:w="5184"/>
          </w:tcPr>
          <w:p>
            <w:r>
              <w:t>Source control — branching, change tracking, pull request workflow</w:t>
            </w:r>
          </w:p>
        </w:tc>
      </w:tr>
      <w:tr>
        <w:tc>
          <w:tcPr>
            <w:tcW w:type="dxa" w:w="2304"/>
          </w:tcPr>
          <w:p>
            <w:r>
              <w:t>Browser DevTools</w:t>
            </w:r>
          </w:p>
        </w:tc>
        <w:tc>
          <w:tcPr>
            <w:tcW w:type="dxa" w:w="1872"/>
          </w:tcPr>
          <w:p>
            <w:r>
              <w:t>Chrome / Safari</w:t>
            </w:r>
          </w:p>
        </w:tc>
        <w:tc>
          <w:tcPr>
            <w:tcW w:type="dxa" w:w="5184"/>
          </w:tcPr>
          <w:p>
            <w:r>
              <w:t>Network inspection, cookie debugging, RTL layout verification, manual E2E testing</w:t>
            </w:r>
          </w:p>
        </w:tc>
      </w:tr>
    </w:tbl>
    <w:p/>
    <w:p>
      <w:pPr>
        <w:pStyle w:val="Heading3"/>
      </w:pPr>
      <w:r>
        <w:t>4.5.4  Testing &amp; Quality Assurance</w:t>
      </w:r>
    </w:p>
    <w:tbl>
      <w:tblPr>
        <w:tblStyle w:val="TableGrid"/>
        <w:tblW w:type="auto" w:w="0"/>
        <w:tblLook w:firstColumn="1" w:firstRow="1" w:lastColumn="0" w:lastRow="0" w:noHBand="0" w:noVBand="1" w:val="04A0"/>
      </w:tblPr>
      <w:tblGrid>
        <w:gridCol w:w="2160"/>
        <w:gridCol w:w="2160"/>
        <w:gridCol w:w="2160"/>
        <w:gridCol w:w="2160"/>
      </w:tblGrid>
      <w:tr>
        <w:tc>
          <w:tcPr>
            <w:tcW w:type="dxa" w:w="2736"/>
          </w:tcPr>
          <w:p>
            <w:r>
              <w:rPr>
                <w:b/>
              </w:rPr>
              <w:t>Tool / Method</w:t>
            </w:r>
          </w:p>
        </w:tc>
        <w:tc>
          <w:tcPr>
            <w:tcW w:type="dxa" w:w="1728"/>
          </w:tcPr>
          <w:p>
            <w:r>
              <w:rPr>
                <w:b/>
              </w:rPr>
              <w:t>Type</w:t>
            </w:r>
          </w:p>
        </w:tc>
        <w:tc>
          <w:tcPr>
            <w:tcW w:type="dxa" w:w="2160"/>
          </w:tcPr>
          <w:p>
            <w:r>
              <w:rPr>
                <w:b/>
              </w:rPr>
              <w:t>Coverage</w:t>
            </w:r>
          </w:p>
        </w:tc>
        <w:tc>
          <w:tcPr>
            <w:tcW w:type="dxa" w:w="2880"/>
          </w:tcPr>
          <w:p>
            <w:r>
              <w:rPr>
                <w:b/>
              </w:rPr>
              <w:t>Notes</w:t>
            </w:r>
          </w:p>
        </w:tc>
      </w:tr>
      <w:tr>
        <w:tc>
          <w:tcPr>
            <w:tcW w:type="dxa" w:w="2736"/>
          </w:tcPr>
          <w:p>
            <w:r>
              <w:t>ESLint (eslint-config-next)</w:t>
            </w:r>
          </w:p>
        </w:tc>
        <w:tc>
          <w:tcPr>
            <w:tcW w:type="dxa" w:w="1728"/>
          </w:tcPr>
          <w:p>
            <w:r>
              <w:t>Static analysis</w:t>
            </w:r>
          </w:p>
        </w:tc>
        <w:tc>
          <w:tcPr>
            <w:tcW w:type="dxa" w:w="2160"/>
          </w:tcPr>
          <w:p>
            <w:r>
              <w:t>All .ts / .tsx files</w:t>
            </w:r>
          </w:p>
        </w:tc>
        <w:tc>
          <w:tcPr>
            <w:tcW w:type="dxa" w:w="2880"/>
          </w:tcPr>
          <w:p>
            <w:r>
              <w:t>Run via npm run lint</w:t>
            </w:r>
          </w:p>
        </w:tc>
      </w:tr>
      <w:tr>
        <w:tc>
          <w:tcPr>
            <w:tcW w:type="dxa" w:w="2736"/>
          </w:tcPr>
          <w:p>
            <w:r>
              <w:t>TypeScript Compiler (tsc)</w:t>
            </w:r>
          </w:p>
        </w:tc>
        <w:tc>
          <w:tcPr>
            <w:tcW w:type="dxa" w:w="1728"/>
          </w:tcPr>
          <w:p>
            <w:r>
              <w:t>Type checking</w:t>
            </w:r>
          </w:p>
        </w:tc>
        <w:tc>
          <w:tcPr>
            <w:tcW w:type="dxa" w:w="2160"/>
          </w:tcPr>
          <w:p>
            <w:r>
              <w:t>All 93 source files</w:t>
            </w:r>
          </w:p>
        </w:tc>
        <w:tc>
          <w:tcPr>
            <w:tcW w:type="dxa" w:w="2880"/>
          </w:tcPr>
          <w:p>
            <w:r>
              <w:t>Catches type violations before runtime; strict mode enforced</w:t>
            </w:r>
          </w:p>
        </w:tc>
      </w:tr>
      <w:tr>
        <w:tc>
          <w:tcPr>
            <w:tcW w:type="dxa" w:w="2736"/>
          </w:tcPr>
          <w:p>
            <w:r>
              <w:t>Manual browser testing</w:t>
            </w:r>
          </w:p>
        </w:tc>
        <w:tc>
          <w:tcPr>
            <w:tcW w:type="dxa" w:w="1728"/>
          </w:tcPr>
          <w:p>
            <w:r>
              <w:t>Functional / E2E</w:t>
            </w:r>
          </w:p>
        </w:tc>
        <w:tc>
          <w:tcPr>
            <w:tcW w:type="dxa" w:w="2160"/>
          </w:tcPr>
          <w:p>
            <w:r>
              <w:t>All user flows</w:t>
            </w:r>
          </w:p>
        </w:tc>
        <w:tc>
          <w:tcPr>
            <w:tcW w:type="dxa" w:w="2880"/>
          </w:tcPr>
          <w:p>
            <w:r>
              <w:t>Chrome and Safari; all role-based paths tested manually against seeded demo data</w:t>
            </w:r>
          </w:p>
        </w:tc>
      </w:tr>
      <w:tr>
        <w:tc>
          <w:tcPr>
            <w:tcW w:type="dxa" w:w="2736"/>
          </w:tcPr>
          <w:p>
            <w:r>
              <w:t>Supabase dashboard</w:t>
            </w:r>
          </w:p>
        </w:tc>
        <w:tc>
          <w:tcPr>
            <w:tcW w:type="dxa" w:w="1728"/>
          </w:tcPr>
          <w:p>
            <w:r>
              <w:t>Integration</w:t>
            </w:r>
          </w:p>
        </w:tc>
        <w:tc>
          <w:tcPr>
            <w:tcW w:type="dxa" w:w="2160"/>
          </w:tcPr>
          <w:p>
            <w:r>
              <w:t>Auth + database layer</w:t>
            </w:r>
          </w:p>
        </w:tc>
        <w:tc>
          <w:tcPr>
            <w:tcW w:type="dxa" w:w="2880"/>
          </w:tcPr>
          <w:p>
            <w:r>
              <w:t>Sessions and real-time events verified via table editor</w:t>
            </w:r>
          </w:p>
        </w:tc>
      </w:tr>
      <w:tr>
        <w:tc>
          <w:tcPr>
            <w:tcW w:type="dxa" w:w="2736"/>
          </w:tcPr>
          <w:p>
            <w:r>
              <w:t>Automated unit testing</w:t>
            </w:r>
          </w:p>
        </w:tc>
        <w:tc>
          <w:tcPr>
            <w:tcW w:type="dxa" w:w="1728"/>
          </w:tcPr>
          <w:p>
            <w:r>
              <w:t>—</w:t>
            </w:r>
          </w:p>
        </w:tc>
        <w:tc>
          <w:tcPr>
            <w:tcW w:type="dxa" w:w="2160"/>
          </w:tcPr>
          <w:p>
            <w:r>
              <w:t>0% (none configured)</w:t>
            </w:r>
          </w:p>
        </w:tc>
        <w:tc>
          <w:tcPr>
            <w:tcW w:type="dxa" w:w="2880"/>
          </w:tcPr>
          <w:p>
            <w:r>
              <w:t>No test framework present. Vitest + React Testing Library recommended for Sprint 8+</w:t>
            </w:r>
          </w:p>
        </w:tc>
      </w:tr>
    </w:tbl>
    <w:p/>
    <w:p>
      <w:pPr>
        <w:pStyle w:val="Heading3"/>
      </w:pPr>
      <w:r>
        <w:t>4.5.5  Local Development Setup</w:t>
      </w:r>
    </w:p>
    <w:p>
      <w:pPr/>
      <w:r>
        <w:t>To run the Kuwait B2B Hub locally from source:</w:t>
      </w:r>
    </w:p>
    <w:p>
      <w:pPr>
        <w:spacing w:before="0" w:after="0"/>
      </w:pPr>
      <w:r>
        <w:rPr>
          <w:rFonts w:ascii="Courier New" w:hAnsi="Courier New"/>
          <w:sz w:val="16"/>
        </w:rPr>
        <w:t># 1. Clone the repository</w:t>
      </w:r>
    </w:p>
    <w:p>
      <w:pPr>
        <w:spacing w:before="0" w:after="0"/>
      </w:pPr>
      <w:r>
        <w:rPr>
          <w:rFonts w:ascii="Courier New" w:hAnsi="Courier New"/>
          <w:sz w:val="16"/>
        </w:rPr>
        <w:t>git clone &lt;repository-url&gt; &amp;&amp; cd app</w:t>
      </w:r>
    </w:p>
    <w:p>
      <w:pPr>
        <w:spacing w:before="0" w:after="0"/>
      </w:pPr>
      <w:r>
        <w:rPr>
          <w:rFonts w:ascii="Courier New" w:hAnsi="Courier New"/>
          <w:sz w:val="16"/>
        </w:rPr>
      </w:r>
    </w:p>
    <w:p>
      <w:pPr>
        <w:spacing w:before="0" w:after="0"/>
      </w:pPr>
      <w:r>
        <w:rPr>
          <w:rFonts w:ascii="Courier New" w:hAnsi="Courier New"/>
          <w:sz w:val="16"/>
        </w:rPr>
        <w:t># 2. Install dependencies (Node.js v20+ required)</w:t>
      </w:r>
    </w:p>
    <w:p>
      <w:pPr>
        <w:spacing w:before="0" w:after="0"/>
      </w:pPr>
      <w:r>
        <w:rPr>
          <w:rFonts w:ascii="Courier New" w:hAnsi="Courier New"/>
          <w:sz w:val="16"/>
        </w:rPr>
        <w:t>npm install</w:t>
      </w:r>
    </w:p>
    <w:p>
      <w:pPr>
        <w:spacing w:before="0" w:after="0"/>
      </w:pPr>
      <w:r>
        <w:rPr>
          <w:rFonts w:ascii="Courier New" w:hAnsi="Courier New"/>
          <w:sz w:val="16"/>
        </w:rPr>
      </w:r>
    </w:p>
    <w:p>
      <w:pPr>
        <w:spacing w:before="0" w:after="0"/>
      </w:pPr>
      <w:r>
        <w:rPr>
          <w:rFonts w:ascii="Courier New" w:hAnsi="Courier New"/>
          <w:sz w:val="16"/>
        </w:rPr>
        <w:t># 3. Configure environment variables</w:t>
      </w:r>
    </w:p>
    <w:p>
      <w:pPr>
        <w:spacing w:before="0" w:after="0"/>
      </w:pPr>
      <w:r>
        <w:rPr>
          <w:rFonts w:ascii="Courier New" w:hAnsi="Courier New"/>
          <w:sz w:val="16"/>
        </w:rPr>
        <w:t>cp .env.example .env.local</w:t>
      </w:r>
    </w:p>
    <w:p>
      <w:pPr>
        <w:spacing w:before="0" w:after="0"/>
      </w:pPr>
      <w:r>
        <w:rPr>
          <w:rFonts w:ascii="Courier New" w:hAnsi="Courier New"/>
          <w:sz w:val="16"/>
        </w:rPr>
        <w:t>#    Set: NEXT_PUBLIC_SUPABASE_URL</w:t>
      </w:r>
    </w:p>
    <w:p>
      <w:pPr>
        <w:spacing w:before="0" w:after="0"/>
      </w:pPr>
      <w:r>
        <w:rPr>
          <w:rFonts w:ascii="Courier New" w:hAnsi="Courier New"/>
          <w:sz w:val="16"/>
        </w:rPr>
        <w:t>#         NEXT_PUBLIC_SUPABASE_ANON_KEY</w:t>
      </w:r>
    </w:p>
    <w:p>
      <w:pPr>
        <w:spacing w:before="0" w:after="0"/>
      </w:pPr>
      <w:r>
        <w:rPr>
          <w:rFonts w:ascii="Courier New" w:hAnsi="Courier New"/>
          <w:sz w:val="16"/>
        </w:rPr>
      </w:r>
    </w:p>
    <w:p>
      <w:pPr>
        <w:spacing w:before="0" w:after="0"/>
      </w:pPr>
      <w:r>
        <w:rPr>
          <w:rFonts w:ascii="Courier New" w:hAnsi="Courier New"/>
          <w:sz w:val="16"/>
        </w:rPr>
        <w:t># 4. Start development server</w:t>
      </w:r>
    </w:p>
    <w:p>
      <w:pPr>
        <w:spacing w:before="0" w:after="0"/>
      </w:pPr>
      <w:r>
        <w:rPr>
          <w:rFonts w:ascii="Courier New" w:hAnsi="Courier New"/>
          <w:sz w:val="16"/>
        </w:rPr>
        <w:t>npm run dev        # → http://localhost:3000</w:t>
      </w:r>
    </w:p>
    <w:p>
      <w:pPr>
        <w:spacing w:before="0" w:after="0"/>
      </w:pPr>
      <w:r>
        <w:rPr>
          <w:rFonts w:ascii="Courier New" w:hAnsi="Courier New"/>
          <w:sz w:val="16"/>
        </w:rPr>
      </w:r>
    </w:p>
    <w:p>
      <w:pPr>
        <w:spacing w:before="0" w:after="0"/>
      </w:pPr>
      <w:r>
        <w:rPr>
          <w:rFonts w:ascii="Courier New" w:hAnsi="Courier New"/>
          <w:sz w:val="16"/>
        </w:rPr>
        <w:t># 5. Static analysis</w:t>
      </w:r>
    </w:p>
    <w:p>
      <w:pPr>
        <w:spacing w:before="0" w:after="0"/>
      </w:pPr>
      <w:r>
        <w:rPr>
          <w:rFonts w:ascii="Courier New" w:hAnsi="Courier New"/>
          <w:sz w:val="16"/>
        </w:rPr>
        <w:t>npm run lint</w:t>
      </w:r>
    </w:p>
    <w:p>
      <w:pPr>
        <w:spacing w:before="0" w:after="0"/>
      </w:pPr>
      <w:r>
        <w:rPr>
          <w:rFonts w:ascii="Courier New" w:hAnsi="Courier New"/>
          <w:sz w:val="16"/>
        </w:rPr>
      </w:r>
    </w:p>
    <w:p>
      <w:pPr>
        <w:spacing w:before="0" w:after="0"/>
      </w:pPr>
      <w:r>
        <w:rPr>
          <w:rFonts w:ascii="Courier New" w:hAnsi="Courier New"/>
          <w:sz w:val="16"/>
        </w:rPr>
        <w:t># 6. Production build validation (optional)</w:t>
      </w:r>
    </w:p>
    <w:p>
      <w:pPr>
        <w:spacing w:before="0" w:after="0"/>
      </w:pPr>
      <w:r>
        <w:rPr>
          <w:rFonts w:ascii="Courier New" w:hAnsi="Courier New"/>
          <w:sz w:val="16"/>
        </w:rPr>
        <w:t>npm run build &amp;&amp; npm run start</w:t>
      </w:r>
    </w:p>
    <w:p/>
    <w:p>
      <w:pPr/>
      <w:r>
        <w:t>No local database installation, no Docker, and no paid tooling are required. The entire stack is either open-source or available on a free tier — fully reproducible from a single npm install.</w:t>
      </w:r>
    </w:p>
    <w:p>
      <w:pPr>
        <w:pStyle w:val="Heading3"/>
      </w:pPr>
      <w:r>
        <w:t>4.5.6  Deployment Architecture</w:t>
      </w:r>
    </w:p>
    <w:p>
      <w:pPr/>
      <w:r>
        <w:t>The production deployment pipeline follows a fully automated Git-to-CDN workflow:</w:t>
      </w:r>
    </w:p>
    <w:p>
      <w:pPr>
        <w:spacing w:before="0" w:after="0"/>
      </w:pPr>
      <w:r>
        <w:rPr>
          <w:rFonts w:ascii="Courier New" w:hAnsi="Courier New"/>
          <w:sz w:val="16"/>
        </w:rPr>
        <w:t>Developer Machine</w:t>
      </w:r>
    </w:p>
    <w:p>
      <w:pPr>
        <w:spacing w:before="0" w:after="0"/>
      </w:pPr>
      <w:r>
        <w:rPr>
          <w:rFonts w:ascii="Courier New" w:hAnsi="Courier New"/>
          <w:sz w:val="16"/>
        </w:rPr>
        <w:t xml:space="preserve">      │  git push</w:t>
      </w:r>
    </w:p>
    <w:p>
      <w:pPr>
        <w:spacing w:before="0" w:after="0"/>
      </w:pPr>
      <w:r>
        <w:rPr>
          <w:rFonts w:ascii="Courier New" w:hAnsi="Courier New"/>
          <w:sz w:val="16"/>
        </w:rPr>
        <w:t xml:space="preserve">      ▼</w:t>
      </w:r>
    </w:p>
    <w:p>
      <w:pPr>
        <w:spacing w:before="0" w:after="0"/>
      </w:pPr>
      <w:r>
        <w:rPr>
          <w:rFonts w:ascii="Courier New" w:hAnsi="Courier New"/>
          <w:sz w:val="16"/>
        </w:rPr>
        <w:t xml:space="preserve"> Git Repository</w:t>
      </w:r>
    </w:p>
    <w:p>
      <w:pPr>
        <w:spacing w:before="0" w:after="0"/>
      </w:pPr>
      <w:r>
        <w:rPr>
          <w:rFonts w:ascii="Courier New" w:hAnsi="Courier New"/>
          <w:sz w:val="16"/>
        </w:rPr>
        <w:t xml:space="preserve">      │  Webhook trigger</w:t>
      </w:r>
    </w:p>
    <w:p>
      <w:pPr>
        <w:spacing w:before="0" w:after="0"/>
      </w:pPr>
      <w:r>
        <w:rPr>
          <w:rFonts w:ascii="Courier New" w:hAnsi="Courier New"/>
          <w:sz w:val="16"/>
        </w:rPr>
        <w:t xml:space="preserve">      ▼</w:t>
      </w:r>
    </w:p>
    <w:p>
      <w:pPr>
        <w:spacing w:before="0" w:after="0"/>
      </w:pPr>
      <w:r>
        <w:rPr>
          <w:rFonts w:ascii="Courier New" w:hAnsi="Courier New"/>
          <w:sz w:val="16"/>
        </w:rPr>
        <w:t xml:space="preserve"> Vercel CI/CD Pipeline</w:t>
      </w:r>
    </w:p>
    <w:p>
      <w:pPr>
        <w:spacing w:before="0" w:after="0"/>
      </w:pPr>
      <w:r>
        <w:rPr>
          <w:rFonts w:ascii="Courier New" w:hAnsi="Courier New"/>
          <w:sz w:val="16"/>
        </w:rPr>
        <w:t xml:space="preserve">  ├── npm install</w:t>
      </w:r>
    </w:p>
    <w:p>
      <w:pPr>
        <w:spacing w:before="0" w:after="0"/>
      </w:pPr>
      <w:r>
        <w:rPr>
          <w:rFonts w:ascii="Courier New" w:hAnsi="Courier New"/>
          <w:sz w:val="16"/>
        </w:rPr>
        <w:t xml:space="preserve">  ├── tsc --noEmit  (type check)</w:t>
      </w:r>
    </w:p>
    <w:p>
      <w:pPr>
        <w:spacing w:before="0" w:after="0"/>
      </w:pPr>
      <w:r>
        <w:rPr>
          <w:rFonts w:ascii="Courier New" w:hAnsi="Courier New"/>
          <w:sz w:val="16"/>
        </w:rPr>
        <w:t xml:space="preserve">  ├── next build</w:t>
      </w:r>
    </w:p>
    <w:p>
      <w:pPr>
        <w:spacing w:before="0" w:after="0"/>
      </w:pPr>
      <w:r>
        <w:rPr>
          <w:rFonts w:ascii="Courier New" w:hAnsi="Courier New"/>
          <w:sz w:val="16"/>
        </w:rPr>
        <w:t xml:space="preserve">  └── Deploy to Vercel Edge Network</w:t>
      </w:r>
    </w:p>
    <w:p>
      <w:pPr>
        <w:spacing w:before="0" w:after="0"/>
      </w:pPr>
      <w:r>
        <w:rPr>
          <w:rFonts w:ascii="Courier New" w:hAnsi="Courier New"/>
          <w:sz w:val="16"/>
        </w:rPr>
        <w:t xml:space="preserve">            ├── Static assets   →  CDN (global edge)</w:t>
      </w:r>
    </w:p>
    <w:p>
      <w:pPr>
        <w:spacing w:before="0" w:after="0"/>
      </w:pPr>
      <w:r>
        <w:rPr>
          <w:rFonts w:ascii="Courier New" w:hAnsi="Courier New"/>
          <w:sz w:val="16"/>
        </w:rPr>
        <w:t xml:space="preserve">            ├── Page routes     →  Serverless functions (SSR)</w:t>
      </w:r>
    </w:p>
    <w:p>
      <w:pPr>
        <w:spacing w:before="0" w:after="0"/>
      </w:pPr>
      <w:r>
        <w:rPr>
          <w:rFonts w:ascii="Courier New" w:hAnsi="Courier New"/>
          <w:sz w:val="16"/>
        </w:rPr>
        <w:t xml:space="preserve">            └── API routes      →  Serverless functions (/api/*)</w:t>
      </w:r>
    </w:p>
    <w:p>
      <w:pPr>
        <w:spacing w:before="0" w:after="0"/>
      </w:pPr>
      <w:r>
        <w:rPr>
          <w:rFonts w:ascii="Courier New" w:hAnsi="Courier New"/>
          <w:sz w:val="16"/>
        </w:rPr>
        <w:t xml:space="preserve">                                        │</w:t>
      </w:r>
    </w:p>
    <w:p>
      <w:pPr>
        <w:spacing w:before="0" w:after="0"/>
      </w:pPr>
      <w:r>
        <w:rPr>
          <w:rFonts w:ascii="Courier New" w:hAnsi="Courier New"/>
          <w:sz w:val="16"/>
        </w:rPr>
        <w:t xml:space="preserve">                                        └── Supabase Cloud</w:t>
      </w:r>
    </w:p>
    <w:p>
      <w:pPr>
        <w:spacing w:before="0" w:after="0"/>
      </w:pPr>
      <w:r>
        <w:rPr>
          <w:rFonts w:ascii="Courier New" w:hAnsi="Courier New"/>
          <w:sz w:val="16"/>
        </w:rPr>
        <w:t xml:space="preserve">                                             ├── Auth (JWT sessions)</w:t>
      </w:r>
    </w:p>
    <w:p>
      <w:pPr>
        <w:spacing w:before="0" w:after="0"/>
      </w:pPr>
      <w:r>
        <w:rPr>
          <w:rFonts w:ascii="Courier New" w:hAnsi="Courier New"/>
          <w:sz w:val="16"/>
        </w:rPr>
        <w:t xml:space="preserve">                                             └── PostgreSQL (data layer)</w:t>
      </w:r>
    </w:p>
    <w:p/>
    <w:tbl>
      <w:tblPr>
        <w:tblStyle w:val="TableGrid"/>
        <w:tblW w:type="auto" w:w="0"/>
        <w:tblLook w:firstColumn="1" w:firstRow="1" w:lastColumn="0" w:lastRow="0" w:noHBand="0" w:noVBand="1" w:val="04A0"/>
      </w:tblPr>
      <w:tblGrid>
        <w:gridCol w:w="2880"/>
        <w:gridCol w:w="2880"/>
        <w:gridCol w:w="2880"/>
      </w:tblGrid>
      <w:tr>
        <w:tc>
          <w:tcPr>
            <w:tcW w:type="dxa" w:w="3024"/>
          </w:tcPr>
          <w:p>
            <w:r>
              <w:rPr>
                <w:b/>
              </w:rPr>
              <w:t>Environment</w:t>
            </w:r>
          </w:p>
        </w:tc>
        <w:tc>
          <w:tcPr>
            <w:tcW w:type="dxa" w:w="3024"/>
          </w:tcPr>
          <w:p>
            <w:r>
              <w:rPr>
                <w:b/>
              </w:rPr>
              <w:t>Trigger</w:t>
            </w:r>
          </w:p>
        </w:tc>
        <w:tc>
          <w:tcPr>
            <w:tcW w:type="dxa" w:w="3312"/>
          </w:tcPr>
          <w:p>
            <w:r>
              <w:rPr>
                <w:b/>
              </w:rPr>
              <w:t>Purpose</w:t>
            </w:r>
          </w:p>
        </w:tc>
      </w:tr>
      <w:tr>
        <w:tc>
          <w:tcPr>
            <w:tcW w:type="dxa" w:w="3024"/>
          </w:tcPr>
          <w:p>
            <w:r>
              <w:t>Development (localhost:3000)</w:t>
            </w:r>
          </w:p>
        </w:tc>
        <w:tc>
          <w:tcPr>
            <w:tcW w:type="dxa" w:w="3024"/>
          </w:tcPr>
          <w:p>
            <w:r>
              <w:t>npm run dev</w:t>
            </w:r>
          </w:p>
        </w:tc>
        <w:tc>
          <w:tcPr>
            <w:tcW w:type="dxa" w:w="3312"/>
          </w:tcPr>
          <w:p>
            <w:r>
              <w:t>Local hot-reload development</w:t>
            </w:r>
          </w:p>
        </w:tc>
      </w:tr>
      <w:tr>
        <w:tc>
          <w:tcPr>
            <w:tcW w:type="dxa" w:w="3024"/>
          </w:tcPr>
          <w:p>
            <w:r>
              <w:t>Preview (*.vercel.app)</w:t>
            </w:r>
          </w:p>
        </w:tc>
        <w:tc>
          <w:tcPr>
            <w:tcW w:type="dxa" w:w="3024"/>
          </w:tcPr>
          <w:p>
            <w:r>
              <w:t>Git push to non-main branch</w:t>
            </w:r>
          </w:p>
        </w:tc>
        <w:tc>
          <w:tcPr>
            <w:tcW w:type="dxa" w:w="3312"/>
          </w:tcPr>
          <w:p>
            <w:r>
              <w:t>Stakeholder review and QA testing</w:t>
            </w:r>
          </w:p>
        </w:tc>
      </w:tr>
      <w:tr>
        <w:tc>
          <w:tcPr>
            <w:tcW w:type="dxa" w:w="3024"/>
          </w:tcPr>
          <w:p>
            <w:r>
              <w:t>Production (custom domain)</w:t>
            </w:r>
          </w:p>
        </w:tc>
        <w:tc>
          <w:tcPr>
            <w:tcW w:type="dxa" w:w="3024"/>
          </w:tcPr>
          <w:p>
            <w:r>
              <w:t>Merge to main branch</w:t>
            </w:r>
          </w:p>
        </w:tc>
        <w:tc>
          <w:tcPr>
            <w:tcW w:type="dxa" w:w="3312"/>
          </w:tcPr>
          <w:p>
            <w:r>
              <w:t>Live system — all traffic</w:t>
            </w:r>
          </w:p>
        </w:tc>
      </w:tr>
    </w:tbl>
    <w:p/>
    <w:p>
      <w:pPr>
        <w:pStyle w:val="Heading2"/>
      </w:pPr>
      <w:r>
        <w:t>4.6  Physical Deployment Diagram</w:t>
      </w:r>
    </w:p>
    <w:p>
      <w:pPr/>
      <w:r>
        <w:t>The physical deployment diagram maps the Kuwait B2B Hub's runtime artefacts to their execution nodes. Three primary nodes are in scope: the Developer Machine (local), the Vercel Edge Network (global serverless), and Supabase Cloud (GCC-region managed services). A fourth external node — the End-User Browser — communicates exclusively with the Vercel Edge Network over HTTPS.</w:t>
      </w:r>
    </w:p>
    <w:p>
      <w:pPr/>
      <w:r>
        <w:t>Node descriptions: (1) Developer Machine — runs Node.js 24, npm 11, and the Next.js development server (localhost:3000). Connects to Supabase Cloud for authentication and database access during local development. (2) Vercel Edge Network — hosts all compiled Next.js page routes as serverless functions, serves static assets (JavaScript bundles, CSS, SVGs) from a global CDN, and routes all /api/* requests to individual serverless function instances. Each function has 1024 MB memory and a 10-second execution timeout. (3) Supabase Cloud — provides the managed PostgreSQL database instance, the Supabase Auth JWT session service, and (planned) real-time WebSocket subscriptions for notification delivery. Deployed in a GCC-proximate region for latency optimisation. (4) End-User Browser — all clients (buyers, brand owners, admins) access the platform exclusively via HTTPS. No platform software is installed on end-user devices beyond a standard web browser.</w:t>
      </w:r>
    </w:p>
    <w:p/>
    <w:p>
      <w:pPr>
        <w:jc w:val="center"/>
      </w:pPr>
      <w:r>
        <w:rPr>
          <w:b/>
          <w:color w:val="888888"/>
          <w:sz w:val="22"/>
        </w:rPr>
        <w:t>[ FIGURE 9 — Physical Deployment Diagram — Kuwait B2B Hub ]</w:t>
      </w:r>
    </w:p>
    <w:p>
      <w:pPr>
        <w:jc w:val="center"/>
      </w:pPr>
      <w:r>
        <w:rPr>
          <w:i/>
          <w:color w:val="AAAAAA"/>
          <w:sz w:val="18"/>
        </w:rPr>
        <w:t>(Insert diagram image here)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