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val="0"/>
          <w:sz w:val="26"/>
        </w:rPr>
        <w:t>College of Engineering and Applied Sciences (CEAS)</w:t>
      </w:r>
    </w:p>
    <w:p>
      <w:pPr>
        <w:jc w:val="center"/>
      </w:pPr>
      <w:r>
        <w:rPr>
          <w:b w:val="0"/>
          <w:sz w:val="24"/>
        </w:rPr>
        <w:t>American University of Kuwait</w:t>
      </w:r>
    </w:p>
    <w:p/>
    <w:p>
      <w:pPr>
        <w:jc w:val="center"/>
      </w:pPr>
      <w:r>
        <w:rPr>
          <w:b/>
          <w:sz w:val="28"/>
        </w:rPr>
        <w:t>CSIS-330 — Software Engineering</w:t>
      </w:r>
    </w:p>
    <w:p>
      <w:pPr>
        <w:jc w:val="center"/>
      </w:pPr>
      <w:r>
        <w:rPr>
          <w:b w:val="0"/>
          <w:sz w:val="24"/>
        </w:rPr>
        <w:t>Spring 2026</w:t>
      </w:r>
    </w:p>
    <w:p/>
    <w:p/>
    <w:p/>
    <w:p/>
    <w:p>
      <w:pPr>
        <w:jc w:val="center"/>
      </w:pPr>
      <w:r>
        <w:rPr>
          <w:b/>
          <w:sz w:val="56"/>
        </w:rPr>
        <w:t>Kuwait B2B Hub</w:t>
      </w:r>
    </w:p>
    <w:p>
      <w:pPr>
        <w:jc w:val="center"/>
      </w:pPr>
      <w:r>
        <w:rPr>
          <w:b w:val="0"/>
          <w:sz w:val="32"/>
        </w:rPr>
        <w:t>Software Engineering Final Project Report</w:t>
      </w:r>
    </w:p>
    <w:p/>
    <w:p/>
    <w:p/>
    <w:p/>
    <w:p>
      <w:pPr>
        <w:jc w:val="center"/>
      </w:pPr>
      <w:r>
        <w:rPr>
          <w:b/>
          <w:sz w:val="22"/>
        </w:rPr>
        <w:t>Course Instructor:</w:t>
      </w:r>
    </w:p>
    <w:p>
      <w:pPr>
        <w:jc w:val="center"/>
      </w:pPr>
      <w:r>
        <w:rPr>
          <w:b w:val="0"/>
          <w:sz w:val="24"/>
        </w:rPr>
        <w:t>Dr. Aaron Rasheed Rababaah</w:t>
      </w:r>
    </w:p>
    <w:p/>
    <w:p>
      <w:pPr>
        <w:jc w:val="center"/>
      </w:pPr>
      <w:r>
        <w:rPr>
          <w:b/>
          <w:sz w:val="22"/>
        </w:rPr>
        <w:t>Project Advisor:</w:t>
      </w:r>
    </w:p>
    <w:p>
      <w:pPr>
        <w:jc w:val="center"/>
      </w:pPr>
      <w:r>
        <w:rPr>
          <w:b w:val="0"/>
          <w:sz w:val="24"/>
        </w:rPr>
        <w:t>To Be Confirmed (Industry Professional)</w:t>
      </w:r>
    </w:p>
    <w:p/>
    <w:p/>
    <w:p/>
    <w:p>
      <w:pPr>
        <w:jc w:val="center"/>
      </w:pPr>
      <w:r>
        <w:rPr>
          <w:b/>
          <w:sz w:val="24"/>
        </w:rPr>
        <w:t>Development Team</w:t>
      </w:r>
    </w:p>
    <w:p>
      <w:pPr>
        <w:jc w:val="center"/>
      </w:pPr>
      <w:r>
        <w:rPr>
          <w:rFonts w:ascii="Courier New" w:hAnsi="Courier New"/>
          <w:sz w:val="22"/>
        </w:rPr>
        <w:t>Bader Alnoumas         S00059026   (Team Lead)</w:t>
      </w:r>
    </w:p>
    <w:p>
      <w:pPr>
        <w:jc w:val="center"/>
      </w:pPr>
      <w:r>
        <w:rPr>
          <w:rFonts w:ascii="Courier New" w:hAnsi="Courier New"/>
          <w:sz w:val="22"/>
        </w:rPr>
        <w:t>Abdullah Abduljaleel   S00056040</w:t>
      </w:r>
    </w:p>
    <w:p>
      <w:pPr>
        <w:jc w:val="center"/>
      </w:pPr>
      <w:r>
        <w:rPr>
          <w:rFonts w:ascii="Courier New" w:hAnsi="Courier New"/>
          <w:sz w:val="22"/>
        </w:rPr>
        <w:t>Abdullah Subhi         S00054535</w:t>
      </w:r>
    </w:p>
    <w:p>
      <w:pPr>
        <w:jc w:val="center"/>
      </w:pPr>
      <w:r>
        <w:rPr>
          <w:rFonts w:ascii="Courier New" w:hAnsi="Courier New"/>
          <w:sz w:val="22"/>
        </w:rPr>
        <w:t>Salah Abdulfattah      S00052772</w:t>
      </w:r>
    </w:p>
    <w:p/>
    <w:p>
      <w:pPr>
        <w:jc w:val="center"/>
      </w:pPr>
      <w:r>
        <w:rPr>
          <w:b w:val="0"/>
          <w:sz w:val="22"/>
        </w:rPr>
        <w:t>Team Size: 4 Members</w:t>
      </w:r>
    </w:p>
    <w:p/>
    <w:p/>
    <w:p/>
    <w:p>
      <w:pPr>
        <w:jc w:val="center"/>
      </w:pPr>
      <w:r>
        <w:rPr>
          <w:b w:val="0"/>
          <w:sz w:val="24"/>
        </w:rPr>
        <w:t>Date of Submission: 07 May 2026</w:t>
      </w:r>
    </w:p>
    <w:p>
      <w:pPr>
        <w:jc w:val="center"/>
      </w:pPr>
      <w:r>
        <w:rPr>
          <w:b w:val="0"/>
          <w:sz w:val="22"/>
        </w:rPr>
        <w:t>Version: 3.5.2.1 (Final)</w:t>
      </w:r>
    </w:p>
    <w:p>
      <w:r>
        <w:br w:type="page"/>
      </w:r>
    </w:p>
    <w:p>
      <w:pPr>
        <w:pStyle w:val="Heading1"/>
      </w:pPr>
      <w:r>
        <w:t>TABLE OF CONTENTS</w:t>
      </w:r>
    </w:p>
    <w:p>
      <w:pPr>
        <w:spacing w:before="40" w:after="40"/>
        <w:ind w:left="0"/>
      </w:pPr>
      <w:r>
        <w:rPr>
          <w:b/>
          <w:sz w:val="20"/>
        </w:rPr>
        <w:t xml:space="preserve">  Cover Page</w:t>
      </w:r>
    </w:p>
    <w:p>
      <w:pPr>
        <w:spacing w:before="40" w:after="40"/>
        <w:ind w:left="0"/>
      </w:pPr>
      <w:r>
        <w:rPr>
          <w:b/>
          <w:sz w:val="20"/>
        </w:rPr>
        <w:t xml:space="preserve">  Table of Contents</w:t>
      </w:r>
    </w:p>
    <w:p>
      <w:pPr>
        <w:spacing w:before="40" w:after="40"/>
        <w:ind w:left="0"/>
      </w:pPr>
      <w:r>
        <w:rPr>
          <w:b/>
          <w:sz w:val="20"/>
        </w:rPr>
        <w:t xml:space="preserve">  List of Tables</w:t>
      </w:r>
    </w:p>
    <w:p>
      <w:pPr>
        <w:spacing w:before="40" w:after="40"/>
        <w:ind w:left="0"/>
      </w:pPr>
      <w:r>
        <w:rPr>
          <w:b/>
          <w:sz w:val="20"/>
        </w:rPr>
        <w:t xml:space="preserve">  List of Figures</w:t>
      </w:r>
    </w:p>
    <w:p>
      <w:pPr>
        <w:spacing w:before="40" w:after="40"/>
        <w:ind w:left="0"/>
      </w:pPr>
      <w:r>
        <w:rPr>
          <w:b/>
          <w:sz w:val="20"/>
        </w:rPr>
        <w:t xml:space="preserve">  CHAPTER I — INTRODUCTION</w:t>
      </w:r>
    </w:p>
    <w:p>
      <w:pPr>
        <w:spacing w:before="40" w:after="40"/>
        <w:ind w:left="360"/>
      </w:pPr>
      <w:r>
        <w:rPr>
          <w:sz w:val="20"/>
        </w:rPr>
        <w:t xml:space="preserve">  1.1  Background</w:t>
      </w:r>
    </w:p>
    <w:p>
      <w:pPr>
        <w:spacing w:before="40" w:after="40"/>
        <w:ind w:left="360"/>
      </w:pPr>
      <w:r>
        <w:rPr>
          <w:sz w:val="20"/>
        </w:rPr>
        <w:t xml:space="preserve">  1.2  System Overview</w:t>
      </w:r>
    </w:p>
    <w:p>
      <w:pPr>
        <w:spacing w:before="40" w:after="40"/>
        <w:ind w:left="360"/>
      </w:pPr>
      <w:r>
        <w:rPr>
          <w:sz w:val="20"/>
        </w:rPr>
        <w:t xml:space="preserve">  1.3  Document Conventions</w:t>
      </w:r>
    </w:p>
    <w:p>
      <w:pPr>
        <w:spacing w:before="40" w:after="40"/>
        <w:ind w:left="360"/>
      </w:pPr>
      <w:r>
        <w:rPr>
          <w:sz w:val="20"/>
        </w:rPr>
        <w:t xml:space="preserve">  1.4  Intended Readership</w:t>
      </w:r>
    </w:p>
    <w:p>
      <w:pPr>
        <w:spacing w:before="40" w:after="40"/>
        <w:ind w:left="360"/>
      </w:pPr>
      <w:r>
        <w:rPr>
          <w:sz w:val="20"/>
        </w:rPr>
        <w:t xml:space="preserve">  1.5  Product Scope</w:t>
      </w:r>
    </w:p>
    <w:p>
      <w:pPr>
        <w:spacing w:before="40" w:after="40"/>
        <w:ind w:left="360"/>
      </w:pPr>
      <w:r>
        <w:rPr>
          <w:sz w:val="20"/>
        </w:rPr>
        <w:t xml:space="preserve">  1.6  Team Workload Distribution</w:t>
      </w:r>
    </w:p>
    <w:p>
      <w:pPr>
        <w:spacing w:before="40" w:after="40"/>
        <w:ind w:left="0"/>
      </w:pPr>
      <w:r>
        <w:rPr>
          <w:b/>
          <w:sz w:val="20"/>
        </w:rPr>
        <w:t xml:space="preserve">  CHAPTER II — SOFTWARE REQUIREMENTS SPECIFICATION (SRS)</w:t>
      </w:r>
    </w:p>
    <w:p>
      <w:pPr>
        <w:spacing w:before="40" w:after="40"/>
        <w:ind w:left="360"/>
      </w:pPr>
      <w:r>
        <w:rPr>
          <w:sz w:val="20"/>
        </w:rPr>
        <w:t xml:space="preserve">  2.1  Feasibility Study</w:t>
      </w:r>
    </w:p>
    <w:p>
      <w:pPr>
        <w:spacing w:before="40" w:after="40"/>
        <w:ind w:left="720"/>
      </w:pPr>
      <w:r>
        <w:rPr>
          <w:sz w:val="20"/>
        </w:rPr>
        <w:t xml:space="preserve">  2.1.1  Technical Feasibility</w:t>
      </w:r>
    </w:p>
    <w:p>
      <w:pPr>
        <w:spacing w:before="40" w:after="40"/>
        <w:ind w:left="720"/>
      </w:pPr>
      <w:r>
        <w:rPr>
          <w:sz w:val="20"/>
        </w:rPr>
        <w:t xml:space="preserve">  2.1.2  Economic Feasibility</w:t>
      </w:r>
    </w:p>
    <w:p>
      <w:pPr>
        <w:spacing w:before="40" w:after="40"/>
        <w:ind w:left="720"/>
      </w:pPr>
      <w:r>
        <w:rPr>
          <w:sz w:val="20"/>
        </w:rPr>
        <w:t xml:space="preserve">  2.1.3  Legal Feasibility</w:t>
      </w:r>
    </w:p>
    <w:p>
      <w:pPr>
        <w:spacing w:before="40" w:after="40"/>
        <w:ind w:left="720"/>
      </w:pPr>
      <w:r>
        <w:rPr>
          <w:sz w:val="20"/>
        </w:rPr>
        <w:t xml:space="preserve">  2.1.4  Operational Feasibility</w:t>
      </w:r>
    </w:p>
    <w:p>
      <w:pPr>
        <w:spacing w:before="40" w:after="40"/>
        <w:ind w:left="720"/>
      </w:pPr>
      <w:r>
        <w:rPr>
          <w:sz w:val="20"/>
        </w:rPr>
        <w:t xml:space="preserve">  2.1.5  Schedule Feasibility</w:t>
      </w:r>
    </w:p>
    <w:p>
      <w:pPr>
        <w:spacing w:before="40" w:after="40"/>
        <w:ind w:left="360"/>
      </w:pPr>
      <w:r>
        <w:rPr>
          <w:sz w:val="20"/>
        </w:rPr>
        <w:t xml:space="preserve">  2.2  User Requirements</w:t>
      </w:r>
    </w:p>
    <w:p>
      <w:pPr>
        <w:spacing w:before="40" w:after="40"/>
        <w:ind w:left="360"/>
      </w:pPr>
      <w:r>
        <w:rPr>
          <w:sz w:val="20"/>
        </w:rPr>
        <w:t xml:space="preserve">  2.3  System Requirements</w:t>
      </w:r>
    </w:p>
    <w:p>
      <w:pPr>
        <w:spacing w:before="40" w:after="40"/>
        <w:ind w:left="360"/>
      </w:pPr>
      <w:r>
        <w:rPr>
          <w:sz w:val="20"/>
        </w:rPr>
        <w:t xml:space="preserve">  2.4  Non-Functional Requirements</w:t>
      </w:r>
    </w:p>
    <w:p>
      <w:pPr>
        <w:spacing w:before="40" w:after="40"/>
        <w:ind w:left="360"/>
      </w:pPr>
      <w:r>
        <w:rPr>
          <w:sz w:val="20"/>
        </w:rPr>
        <w:t xml:space="preserve">  2.5  Functional Requirements Specification (FRS)</w:t>
      </w:r>
    </w:p>
    <w:p>
      <w:pPr>
        <w:spacing w:before="40" w:after="40"/>
        <w:ind w:left="360"/>
      </w:pPr>
      <w:r>
        <w:rPr>
          <w:sz w:val="20"/>
        </w:rPr>
        <w:t xml:space="preserve">  2.6  Context Model</w:t>
      </w:r>
    </w:p>
    <w:p>
      <w:pPr>
        <w:spacing w:before="40" w:after="40"/>
        <w:ind w:left="360"/>
      </w:pPr>
      <w:r>
        <w:rPr>
          <w:sz w:val="20"/>
        </w:rPr>
        <w:t xml:space="preserve">  2.7  Use Cases</w:t>
      </w:r>
    </w:p>
    <w:p>
      <w:pPr>
        <w:spacing w:before="40" w:after="40"/>
        <w:ind w:left="360"/>
      </w:pPr>
      <w:r>
        <w:rPr>
          <w:sz w:val="20"/>
        </w:rPr>
        <w:t xml:space="preserve">  2.8  Requirements Traceability Matrix (RTM)</w:t>
      </w:r>
    </w:p>
    <w:p>
      <w:pPr>
        <w:spacing w:before="40" w:after="40"/>
        <w:ind w:left="0"/>
      </w:pPr>
      <w:r>
        <w:rPr>
          <w:b/>
          <w:sz w:val="20"/>
        </w:rPr>
        <w:t xml:space="preserve">  CHAPTER III — SYSTEM DESIGN</w:t>
      </w:r>
    </w:p>
    <w:p>
      <w:pPr>
        <w:spacing w:before="40" w:after="40"/>
        <w:ind w:left="360"/>
      </w:pPr>
      <w:r>
        <w:rPr>
          <w:sz w:val="20"/>
        </w:rPr>
        <w:t xml:space="preserve">  3.1  Sequence Diagrams</w:t>
      </w:r>
    </w:p>
    <w:p>
      <w:pPr>
        <w:spacing w:before="40" w:after="40"/>
        <w:ind w:left="360"/>
      </w:pPr>
      <w:r>
        <w:rPr>
          <w:sz w:val="20"/>
        </w:rPr>
        <w:t xml:space="preserve">  3.2  Data Flow Model</w:t>
      </w:r>
    </w:p>
    <w:p>
      <w:pPr>
        <w:spacing w:before="40" w:after="40"/>
        <w:ind w:left="360"/>
      </w:pPr>
      <w:r>
        <w:rPr>
          <w:sz w:val="20"/>
        </w:rPr>
        <w:t xml:space="preserve">  3.3  Architectural Pattern</w:t>
      </w:r>
    </w:p>
    <w:p>
      <w:pPr>
        <w:spacing w:before="40" w:after="40"/>
        <w:ind w:left="360"/>
      </w:pPr>
      <w:r>
        <w:rPr>
          <w:sz w:val="20"/>
        </w:rPr>
        <w:t xml:space="preserve">  3.4  Activity / Process Model</w:t>
      </w:r>
    </w:p>
    <w:p>
      <w:pPr>
        <w:spacing w:before="40" w:after="40"/>
        <w:ind w:left="360"/>
      </w:pPr>
      <w:r>
        <w:rPr>
          <w:sz w:val="20"/>
        </w:rPr>
        <w:t xml:space="preserve">  3.5  Finite State Machine Specifications</w:t>
      </w:r>
    </w:p>
    <w:p>
      <w:pPr>
        <w:spacing w:before="40" w:after="40"/>
        <w:ind w:left="720"/>
      </w:pPr>
      <w:r>
        <w:rPr>
          <w:sz w:val="20"/>
        </w:rPr>
        <w:t xml:space="preserve">  3.5.1  Order Lifecycle FSM</w:t>
      </w:r>
    </w:p>
    <w:p>
      <w:pPr>
        <w:spacing w:before="40" w:after="40"/>
        <w:ind w:left="720"/>
      </w:pPr>
      <w:r>
        <w:rPr>
          <w:sz w:val="20"/>
        </w:rPr>
        <w:t xml:space="preserve">  3.5.2  Brand Verification FSM</w:t>
      </w:r>
    </w:p>
    <w:p>
      <w:pPr>
        <w:spacing w:before="40" w:after="40"/>
        <w:ind w:left="360"/>
      </w:pPr>
      <w:r>
        <w:rPr>
          <w:sz w:val="20"/>
        </w:rPr>
        <w:t xml:space="preserve">  3.6  Component / Unit Design</w:t>
      </w:r>
    </w:p>
    <w:p>
      <w:pPr>
        <w:spacing w:before="40" w:after="40"/>
        <w:ind w:left="360"/>
      </w:pPr>
      <w:r>
        <w:rPr>
          <w:sz w:val="20"/>
        </w:rPr>
        <w:t xml:space="preserve">  3.7  Class Diagram — Core Entity Model</w:t>
      </w:r>
    </w:p>
    <w:p>
      <w:pPr>
        <w:spacing w:before="40" w:after="40"/>
        <w:ind w:left="360"/>
      </w:pPr>
      <w:r>
        <w:rPr>
          <w:sz w:val="20"/>
        </w:rPr>
        <w:t xml:space="preserve">  3.8  Prototype Screenshots</w:t>
      </w:r>
    </w:p>
    <w:p>
      <w:pPr>
        <w:spacing w:before="40" w:after="40"/>
        <w:ind w:left="0"/>
      </w:pPr>
      <w:r>
        <w:rPr>
          <w:b/>
          <w:sz w:val="20"/>
        </w:rPr>
        <w:t xml:space="preserve">  CHAPTER IV — SYSTEM IMPLEMENTATION</w:t>
      </w:r>
    </w:p>
    <w:p>
      <w:pPr>
        <w:spacing w:before="40" w:after="40"/>
        <w:ind w:left="360"/>
      </w:pPr>
      <w:r>
        <w:rPr>
          <w:sz w:val="20"/>
        </w:rPr>
        <w:t xml:space="preserve">  4.1  Make, Buy or Lease (MBL) Analysis</w:t>
      </w:r>
    </w:p>
    <w:p>
      <w:pPr>
        <w:spacing w:before="40" w:after="40"/>
        <w:ind w:left="360"/>
      </w:pPr>
      <w:r>
        <w:rPr>
          <w:sz w:val="20"/>
        </w:rPr>
        <w:t xml:space="preserve">  4.2  Software Reuse Analysis</w:t>
      </w:r>
    </w:p>
    <w:p>
      <w:pPr>
        <w:spacing w:before="40" w:after="40"/>
        <w:ind w:left="360"/>
      </w:pPr>
      <w:r>
        <w:rPr>
          <w:sz w:val="20"/>
        </w:rPr>
        <w:t xml:space="preserve">  4.3  Coding Artefacts &amp; Project Structure</w:t>
      </w:r>
    </w:p>
    <w:p>
      <w:pPr>
        <w:spacing w:before="40" w:after="40"/>
        <w:ind w:left="360"/>
      </w:pPr>
      <w:r>
        <w:rPr>
          <w:sz w:val="20"/>
        </w:rPr>
        <w:t xml:space="preserve">  4.4  Configuration Management</w:t>
      </w:r>
    </w:p>
    <w:p>
      <w:pPr>
        <w:spacing w:before="40" w:after="40"/>
        <w:ind w:left="720"/>
      </w:pPr>
      <w:r>
        <w:rPr>
          <w:sz w:val="20"/>
        </w:rPr>
        <w:t xml:space="preserve">  4.4.1  Versioning Scheme</w:t>
      </w:r>
    </w:p>
    <w:p>
      <w:pPr>
        <w:spacing w:before="40" w:after="40"/>
        <w:ind w:left="720"/>
      </w:pPr>
      <w:r>
        <w:rPr>
          <w:sz w:val="20"/>
        </w:rPr>
        <w:t xml:space="preserve">  4.4.2  Configuration Items</w:t>
      </w:r>
    </w:p>
    <w:p>
      <w:pPr>
        <w:spacing w:before="40" w:after="40"/>
        <w:ind w:left="720"/>
      </w:pPr>
      <w:r>
        <w:rPr>
          <w:sz w:val="20"/>
        </w:rPr>
        <w:t xml:space="preserve">  4.4.3  Change Request Log</w:t>
      </w:r>
    </w:p>
    <w:p>
      <w:pPr>
        <w:spacing w:before="40" w:after="40"/>
        <w:ind w:left="720"/>
      </w:pPr>
      <w:r>
        <w:rPr>
          <w:sz w:val="20"/>
        </w:rPr>
        <w:t xml:space="preserve">  4.4.4  Version Baseline Summary</w:t>
      </w:r>
    </w:p>
    <w:p>
      <w:pPr>
        <w:spacing w:before="40" w:after="40"/>
        <w:ind w:left="360"/>
      </w:pPr>
      <w:r>
        <w:rPr>
          <w:sz w:val="20"/>
        </w:rPr>
        <w:t xml:space="preserve">  4.5  Development &amp; Deployment Specification</w:t>
      </w:r>
    </w:p>
    <w:p>
      <w:pPr>
        <w:spacing w:before="40" w:after="40"/>
        <w:ind w:left="360"/>
      </w:pPr>
      <w:r>
        <w:rPr>
          <w:sz w:val="20"/>
        </w:rPr>
        <w:t xml:space="preserve">  4.6  Physical Deployment Diagram</w:t>
      </w:r>
    </w:p>
    <w:p>
      <w:pPr>
        <w:spacing w:before="40" w:after="40"/>
        <w:ind w:left="0"/>
      </w:pPr>
      <w:r>
        <w:rPr>
          <w:b/>
          <w:sz w:val="20"/>
        </w:rPr>
        <w:t xml:space="preserve">  CHAPTER V — VERIFICATION AND VALIDATION</w:t>
      </w:r>
    </w:p>
    <w:p>
      <w:pPr>
        <w:spacing w:before="40" w:after="40"/>
        <w:ind w:left="360"/>
      </w:pPr>
      <w:r>
        <w:rPr>
          <w:sz w:val="20"/>
        </w:rPr>
        <w:t xml:space="preserve">  5.1  Development Testing</w:t>
      </w:r>
    </w:p>
    <w:p>
      <w:pPr>
        <w:spacing w:before="40" w:after="40"/>
        <w:ind w:left="720"/>
      </w:pPr>
      <w:r>
        <w:rPr>
          <w:sz w:val="20"/>
        </w:rPr>
        <w:t xml:space="preserve">  5.1.1  Source Lines of Code (SLOC) &amp; Automated Testing Assessment</w:t>
      </w:r>
    </w:p>
    <w:p>
      <w:pPr>
        <w:spacing w:before="40" w:after="40"/>
        <w:ind w:left="360"/>
      </w:pPr>
      <w:r>
        <w:rPr>
          <w:sz w:val="20"/>
        </w:rPr>
        <w:t xml:space="preserve">  5.2  System Inspections</w:t>
      </w:r>
    </w:p>
    <w:p>
      <w:pPr>
        <w:spacing w:before="40" w:after="40"/>
        <w:ind w:left="720"/>
      </w:pPr>
      <w:r>
        <w:rPr>
          <w:sz w:val="20"/>
        </w:rPr>
        <w:t xml:space="preserve">  5.2.1  SRS Inspection (Sprint 2)</w:t>
      </w:r>
    </w:p>
    <w:p>
      <w:pPr>
        <w:spacing w:before="40" w:after="40"/>
        <w:ind w:left="720"/>
      </w:pPr>
      <w:r>
        <w:rPr>
          <w:sz w:val="20"/>
        </w:rPr>
        <w:t xml:space="preserve">  5.2.2  Architecture Inspection (Sprint 3)</w:t>
      </w:r>
    </w:p>
    <w:p>
      <w:pPr>
        <w:spacing w:before="40" w:after="40"/>
        <w:ind w:left="720"/>
      </w:pPr>
      <w:r>
        <w:rPr>
          <w:sz w:val="20"/>
        </w:rPr>
        <w:t xml:space="preserve">  5.2.3  Design Models Inspection (Sprint 4)</w:t>
      </w:r>
    </w:p>
    <w:p>
      <w:pPr>
        <w:spacing w:before="40" w:after="40"/>
        <w:ind w:left="720"/>
      </w:pPr>
      <w:r>
        <w:rPr>
          <w:sz w:val="20"/>
        </w:rPr>
        <w:t xml:space="preserve">  5.2.4  Code Inspection (Sprint 6)</w:t>
      </w:r>
    </w:p>
    <w:p>
      <w:pPr>
        <w:spacing w:before="40" w:after="40"/>
        <w:ind w:left="360"/>
      </w:pPr>
      <w:r>
        <w:rPr>
          <w:sz w:val="20"/>
        </w:rPr>
        <w:t xml:space="preserve">  5.3  System Testing</w:t>
      </w:r>
    </w:p>
    <w:p>
      <w:pPr>
        <w:spacing w:before="40" w:after="40"/>
        <w:ind w:left="720"/>
      </w:pPr>
      <w:r>
        <w:rPr>
          <w:sz w:val="20"/>
        </w:rPr>
        <w:t xml:space="preserve">  5.3.4  System Test Cases (20 Test Cases)</w:t>
      </w:r>
    </w:p>
    <w:p>
      <w:pPr>
        <w:spacing w:before="40" w:after="40"/>
        <w:ind w:left="360"/>
      </w:pPr>
      <w:r>
        <w:rPr>
          <w:sz w:val="20"/>
        </w:rPr>
        <w:t xml:space="preserve">  5.4  Release Testing</w:t>
      </w:r>
    </w:p>
    <w:p>
      <w:pPr>
        <w:spacing w:before="40" w:after="40"/>
        <w:ind w:left="720"/>
      </w:pPr>
      <w:r>
        <w:rPr>
          <w:sz w:val="20"/>
        </w:rPr>
        <w:t xml:space="preserve">  5.4.1  Black-Box Testing</w:t>
      </w:r>
    </w:p>
    <w:p>
      <w:pPr>
        <w:spacing w:before="40" w:after="40"/>
        <w:ind w:left="720"/>
      </w:pPr>
      <w:r>
        <w:rPr>
          <w:sz w:val="20"/>
        </w:rPr>
        <w:t xml:space="preserve">  5.4.2  White-Box Testing</w:t>
      </w:r>
    </w:p>
    <w:p>
      <w:pPr>
        <w:spacing w:before="40" w:after="40"/>
        <w:ind w:left="720"/>
      </w:pPr>
      <w:r>
        <w:rPr>
          <w:sz w:val="20"/>
        </w:rPr>
        <w:t xml:space="preserve">  5.4.3  Operational Profile Testing</w:t>
      </w:r>
    </w:p>
    <w:p>
      <w:pPr>
        <w:spacing w:before="40" w:after="40"/>
        <w:ind w:left="720"/>
      </w:pPr>
      <w:r>
        <w:rPr>
          <w:sz w:val="20"/>
        </w:rPr>
        <w:t xml:space="preserve">  5.4.4  Performance Testing</w:t>
      </w:r>
    </w:p>
    <w:p>
      <w:pPr>
        <w:spacing w:before="40" w:after="40"/>
        <w:ind w:left="720"/>
      </w:pPr>
      <w:r>
        <w:rPr>
          <w:sz w:val="20"/>
        </w:rPr>
        <w:t xml:space="preserve">  5.4.5  Use-Case Based Testing</w:t>
      </w:r>
    </w:p>
    <w:p>
      <w:pPr>
        <w:spacing w:before="40" w:after="40"/>
        <w:ind w:left="360"/>
      </w:pPr>
      <w:r>
        <w:rPr>
          <w:sz w:val="20"/>
        </w:rPr>
        <w:t xml:space="preserve">  5.5  User Testing</w:t>
      </w:r>
    </w:p>
    <w:p>
      <w:pPr>
        <w:spacing w:before="40" w:after="40"/>
        <w:ind w:left="720"/>
      </w:pPr>
      <w:r>
        <w:rPr>
          <w:sz w:val="20"/>
        </w:rPr>
        <w:t xml:space="preserve">  5.5.1  Alpha Testing</w:t>
      </w:r>
    </w:p>
    <w:p>
      <w:pPr>
        <w:spacing w:before="40" w:after="40"/>
        <w:ind w:left="720"/>
      </w:pPr>
      <w:r>
        <w:rPr>
          <w:sz w:val="20"/>
        </w:rPr>
        <w:t xml:space="preserve">  5.5.2  Beta Testing</w:t>
      </w:r>
    </w:p>
    <w:p>
      <w:pPr>
        <w:spacing w:before="40" w:after="40"/>
        <w:ind w:left="720"/>
      </w:pPr>
      <w:r>
        <w:rPr>
          <w:sz w:val="20"/>
        </w:rPr>
        <w:t xml:space="preserve">  5.5.3  Acceptance Testing</w:t>
      </w:r>
    </w:p>
    <w:p>
      <w:pPr>
        <w:spacing w:before="40" w:after="40"/>
        <w:ind w:left="0"/>
      </w:pPr>
      <w:r>
        <w:rPr>
          <w:b/>
          <w:sz w:val="20"/>
        </w:rPr>
        <w:t xml:space="preserve">  CHAPTER VI — SYSTEM EVOLUTION</w:t>
      </w:r>
    </w:p>
    <w:p>
      <w:pPr>
        <w:spacing w:before="40" w:after="40"/>
        <w:ind w:left="360"/>
      </w:pPr>
      <w:r>
        <w:rPr>
          <w:sz w:val="20"/>
        </w:rPr>
        <w:t xml:space="preserve">  6.1  Overview</w:t>
      </w:r>
    </w:p>
    <w:p>
      <w:pPr>
        <w:spacing w:before="40" w:after="40"/>
        <w:ind w:left="360"/>
      </w:pPr>
      <w:r>
        <w:rPr>
          <w:sz w:val="20"/>
        </w:rPr>
        <w:t xml:space="preserve">  6.2  Lehman’s Laws Applied to the Kuwait B2B Hub</w:t>
      </w:r>
    </w:p>
    <w:p>
      <w:pPr>
        <w:spacing w:before="40" w:after="40"/>
        <w:ind w:left="360"/>
      </w:pPr>
      <w:r>
        <w:rPr>
          <w:sz w:val="20"/>
        </w:rPr>
        <w:t xml:space="preserve">  6.3  Anticipated System Changes (SC-01 to SC-13)</w:t>
      </w:r>
    </w:p>
    <w:p>
      <w:pPr>
        <w:spacing w:before="40" w:after="40"/>
        <w:ind w:left="360"/>
      </w:pPr>
      <w:r>
        <w:rPr>
          <w:sz w:val="20"/>
        </w:rPr>
        <w:t xml:space="preserve">  6.4  System Quality and Value: Ten-Year Prediction</w:t>
      </w:r>
    </w:p>
    <w:p>
      <w:pPr>
        <w:spacing w:before="40" w:after="40"/>
        <w:ind w:left="360"/>
      </w:pPr>
      <w:r>
        <w:rPr>
          <w:sz w:val="20"/>
        </w:rPr>
        <w:t xml:space="preserve">  6.5  Narrative Justification</w:t>
      </w:r>
    </w:p>
    <w:p>
      <w:pPr>
        <w:spacing w:before="40" w:after="40"/>
        <w:ind w:left="360"/>
      </w:pPr>
      <w:r>
        <w:rPr>
          <w:sz w:val="20"/>
        </w:rPr>
        <w:t xml:space="preserve">  6.6  Summary</w:t>
      </w:r>
    </w:p>
    <w:p>
      <w:pPr>
        <w:spacing w:before="40" w:after="40"/>
        <w:ind w:left="0"/>
      </w:pPr>
      <w:r>
        <w:rPr>
          <w:b/>
          <w:sz w:val="20"/>
        </w:rPr>
        <w:t xml:space="preserve">  CHAPTER VII — PLANNING AND MANAGEMENT</w:t>
      </w:r>
    </w:p>
    <w:p>
      <w:pPr>
        <w:spacing w:before="40" w:after="40"/>
        <w:ind w:left="360"/>
      </w:pPr>
      <w:r>
        <w:rPr>
          <w:sz w:val="20"/>
        </w:rPr>
        <w:t xml:space="preserve">  7.1  Milestones &amp; Deliverables</w:t>
      </w:r>
    </w:p>
    <w:p>
      <w:pPr>
        <w:spacing w:before="40" w:after="40"/>
        <w:ind w:left="360"/>
      </w:pPr>
      <w:r>
        <w:rPr>
          <w:sz w:val="20"/>
        </w:rPr>
        <w:t xml:space="preserve">  7.2  Gantt Chart</w:t>
      </w:r>
    </w:p>
    <w:p>
      <w:pPr>
        <w:spacing w:before="40" w:after="40"/>
        <w:ind w:left="360"/>
      </w:pPr>
      <w:r>
        <w:rPr>
          <w:sz w:val="20"/>
        </w:rPr>
        <w:t xml:space="preserve">  7.3  Staff Allocation by Sprint</w:t>
      </w:r>
    </w:p>
    <w:p>
      <w:pPr>
        <w:spacing w:before="40" w:after="40"/>
        <w:ind w:left="360"/>
      </w:pPr>
      <w:r>
        <w:rPr>
          <w:sz w:val="20"/>
        </w:rPr>
        <w:t xml:space="preserve">  7.4  Activity Network</w:t>
      </w:r>
    </w:p>
    <w:p>
      <w:pPr>
        <w:spacing w:before="40" w:after="40"/>
        <w:ind w:left="360"/>
      </w:pPr>
      <w:r>
        <w:rPr>
          <w:sz w:val="20"/>
        </w:rPr>
        <w:t xml:space="preserve">  7.5  CoCoMo Cost Estimation</w:t>
      </w:r>
    </w:p>
    <w:p>
      <w:pPr>
        <w:spacing w:before="40" w:after="40"/>
        <w:ind w:left="360"/>
      </w:pPr>
      <w:r>
        <w:rPr>
          <w:sz w:val="20"/>
        </w:rPr>
        <w:t xml:space="preserve">  7.6  Risk Assessment Matrix (RAM)</w:t>
      </w:r>
    </w:p>
    <w:p>
      <w:pPr>
        <w:spacing w:before="40" w:after="40"/>
        <w:ind w:left="720"/>
      </w:pPr>
      <w:r>
        <w:rPr>
          <w:sz w:val="20"/>
        </w:rPr>
        <w:t xml:space="preserve">  7.6.1  Methodology</w:t>
      </w:r>
    </w:p>
    <w:p>
      <w:pPr>
        <w:spacing w:before="40" w:after="40"/>
        <w:ind w:left="720"/>
      </w:pPr>
      <w:r>
        <w:rPr>
          <w:sz w:val="20"/>
        </w:rPr>
        <w:t xml:space="preserve">  7.6.2  Scoring Rubrics</w:t>
      </w:r>
    </w:p>
    <w:p>
      <w:pPr>
        <w:spacing w:before="40" w:after="40"/>
        <w:ind w:left="720"/>
      </w:pPr>
      <w:r>
        <w:rPr>
          <w:sz w:val="20"/>
        </w:rPr>
        <w:t xml:space="preserve">  7.6.3  Risk Assessment Matrix</w:t>
      </w:r>
    </w:p>
    <w:p>
      <w:pPr>
        <w:spacing w:before="40" w:after="40"/>
        <w:ind w:left="720"/>
      </w:pPr>
      <w:r>
        <w:rPr>
          <w:sz w:val="20"/>
        </w:rPr>
        <w:t xml:space="preserve">  7.6.4  Risk Heat Map</w:t>
      </w:r>
    </w:p>
    <w:p>
      <w:pPr>
        <w:spacing w:before="40" w:after="40"/>
        <w:ind w:left="720"/>
      </w:pPr>
      <w:r>
        <w:rPr>
          <w:sz w:val="20"/>
        </w:rPr>
        <w:t xml:space="preserve">  7.6.5  Critical Risk Narratives</w:t>
      </w:r>
    </w:p>
    <w:p>
      <w:pPr>
        <w:spacing w:before="40" w:after="40"/>
        <w:ind w:left="720"/>
      </w:pPr>
      <w:r>
        <w:rPr>
          <w:sz w:val="20"/>
        </w:rPr>
        <w:t xml:space="preserve">  7.6.6  Residual Risk Summary</w:t>
      </w:r>
    </w:p>
    <w:p>
      <w:pPr>
        <w:spacing w:before="40" w:after="40"/>
        <w:ind w:left="360"/>
      </w:pPr>
      <w:r>
        <w:rPr>
          <w:sz w:val="20"/>
        </w:rPr>
        <w:t xml:space="preserve">  7.7  Root-Cause Analysis — Fishbone Diagram</w:t>
      </w:r>
    </w:p>
    <w:p>
      <w:pPr>
        <w:spacing w:before="40" w:after="40"/>
        <w:ind w:left="0"/>
      </w:pPr>
      <w:r>
        <w:rPr>
          <w:b/>
          <w:sz w:val="20"/>
        </w:rPr>
        <w:t xml:space="preserve">  CHAPTER VIII — CONCLUSIONS</w:t>
      </w:r>
    </w:p>
    <w:p>
      <w:pPr>
        <w:spacing w:before="40" w:after="40"/>
        <w:ind w:left="360"/>
      </w:pPr>
      <w:r>
        <w:rPr>
          <w:sz w:val="20"/>
        </w:rPr>
        <w:t xml:space="preserve">  8.1  Seven Design Smells</w:t>
      </w:r>
    </w:p>
    <w:p>
      <w:pPr>
        <w:spacing w:before="40" w:after="40"/>
        <w:ind w:left="360"/>
      </w:pPr>
      <w:r>
        <w:rPr>
          <w:sz w:val="20"/>
        </w:rPr>
        <w:t xml:space="preserve">  8.2  SWOT Analysis</w:t>
      </w:r>
    </w:p>
    <w:p>
      <w:pPr>
        <w:spacing w:before="40" w:after="40"/>
        <w:ind w:left="360"/>
      </w:pPr>
      <w:r>
        <w:rPr>
          <w:sz w:val="20"/>
        </w:rPr>
        <w:t xml:space="preserve">  8.3  Future Work and Recommendations</w:t>
      </w:r>
    </w:p>
    <w:p>
      <w:pPr>
        <w:spacing w:before="40" w:after="40"/>
        <w:ind w:left="0"/>
      </w:pPr>
      <w:r>
        <w:rPr>
          <w:b/>
          <w:sz w:val="20"/>
        </w:rPr>
        <w:t xml:space="preserve">  CHAPTER IX — APPENDICES</w:t>
      </w:r>
    </w:p>
    <w:p>
      <w:pPr>
        <w:spacing w:before="40" w:after="40"/>
        <w:ind w:left="360"/>
      </w:pPr>
      <w:r>
        <w:rPr>
          <w:sz w:val="20"/>
        </w:rPr>
        <w:t xml:space="preserve">  Appendix A — System Diagram Placeholders</w:t>
      </w:r>
    </w:p>
    <w:p>
      <w:pPr>
        <w:spacing w:before="40" w:after="40"/>
        <w:ind w:left="360"/>
      </w:pPr>
      <w:r>
        <w:rPr>
          <w:sz w:val="20"/>
        </w:rPr>
        <w:t xml:space="preserve">  Appendix B — Critical Source File Extracts</w:t>
      </w:r>
    </w:p>
    <w:p>
      <w:pPr>
        <w:spacing w:before="40" w:after="40"/>
        <w:ind w:left="0"/>
      </w:pPr>
      <w:r>
        <w:rPr>
          <w:b/>
          <w:sz w:val="20"/>
        </w:rPr>
        <w:t xml:space="preserve">  CHAPTER X — REFERENCES</w:t>
      </w:r>
    </w:p>
    <w:p>
      <w:r>
        <w:br w:type="page"/>
      </w:r>
    </w:p>
    <w:p>
      <w:pPr>
        <w:pStyle w:val="Heading1"/>
      </w:pPr>
      <w:r>
        <w:t>LIST OF TABLES</w:t>
      </w:r>
    </w:p>
    <w:tbl>
      <w:tblPr>
        <w:tblStyle w:val="TableGrid"/>
        <w:tblW w:type="auto" w:w="0"/>
        <w:tblLook w:firstColumn="1" w:firstRow="1" w:lastColumn="0" w:lastRow="0" w:noHBand="0" w:noVBand="1" w:val="04A0"/>
      </w:tblPr>
      <w:tblGrid>
        <w:gridCol w:w="2880"/>
        <w:gridCol w:w="2880"/>
        <w:gridCol w:w="2880"/>
      </w:tblGrid>
      <w:tr>
        <w:tc>
          <w:tcPr>
            <w:tcW w:type="dxa" w:w="1152"/>
          </w:tcPr>
          <w:p>
            <w:r>
              <w:rPr>
                <w:b/>
              </w:rPr>
              <w:t>Table No.</w:t>
            </w:r>
          </w:p>
        </w:tc>
        <w:tc>
          <w:tcPr>
            <w:tcW w:type="dxa" w:w="6048"/>
          </w:tcPr>
          <w:p>
            <w:r>
              <w:rPr>
                <w:b/>
              </w:rPr>
              <w:t>Title</w:t>
            </w:r>
          </w:p>
        </w:tc>
        <w:tc>
          <w:tcPr>
            <w:tcW w:type="dxa" w:w="2160"/>
          </w:tcPr>
          <w:p>
            <w:r>
              <w:rPr>
                <w:b/>
              </w:rPr>
              <w:t>Chapter</w:t>
            </w:r>
          </w:p>
        </w:tc>
      </w:tr>
      <w:tr>
        <w:tc>
          <w:tcPr>
            <w:tcW w:type="dxa" w:w="1152"/>
          </w:tcPr>
          <w:p>
            <w:r>
              <w:t>Table 1</w:t>
            </w:r>
          </w:p>
        </w:tc>
        <w:tc>
          <w:tcPr>
            <w:tcW w:type="dxa" w:w="6048"/>
          </w:tcPr>
          <w:p>
            <w:r>
              <w:t>Glossary of Terms</w:t>
            </w:r>
          </w:p>
        </w:tc>
        <w:tc>
          <w:tcPr>
            <w:tcW w:type="dxa" w:w="2160"/>
          </w:tcPr>
          <w:p>
            <w:r>
              <w:t>Chapter I</w:t>
            </w:r>
          </w:p>
        </w:tc>
      </w:tr>
      <w:tr>
        <w:tc>
          <w:tcPr>
            <w:tcW w:type="dxa" w:w="1152"/>
          </w:tcPr>
          <w:p>
            <w:r>
              <w:t>Table 2</w:t>
            </w:r>
          </w:p>
        </w:tc>
        <w:tc>
          <w:tcPr>
            <w:tcW w:type="dxa" w:w="6048"/>
          </w:tcPr>
          <w:p>
            <w:r>
              <w:t>Acronyms</w:t>
            </w:r>
          </w:p>
        </w:tc>
        <w:tc>
          <w:tcPr>
            <w:tcW w:type="dxa" w:w="2160"/>
          </w:tcPr>
          <w:p>
            <w:r>
              <w:t>Chapter I</w:t>
            </w:r>
          </w:p>
        </w:tc>
      </w:tr>
      <w:tr>
        <w:tc>
          <w:tcPr>
            <w:tcW w:type="dxa" w:w="1152"/>
          </w:tcPr>
          <w:p>
            <w:r>
              <w:t>Table 3</w:t>
            </w:r>
          </w:p>
        </w:tc>
        <w:tc>
          <w:tcPr>
            <w:tcW w:type="dxa" w:w="6048"/>
          </w:tcPr>
          <w:p>
            <w:r>
              <w:t>Team Workload Distribution</w:t>
            </w:r>
          </w:p>
        </w:tc>
        <w:tc>
          <w:tcPr>
            <w:tcW w:type="dxa" w:w="2160"/>
          </w:tcPr>
          <w:p>
            <w:r>
              <w:t>Chapter I</w:t>
            </w:r>
          </w:p>
        </w:tc>
      </w:tr>
      <w:tr>
        <w:tc>
          <w:tcPr>
            <w:tcW w:type="dxa" w:w="1152"/>
          </w:tcPr>
          <w:p>
            <w:r>
              <w:t>Table 4</w:t>
            </w:r>
          </w:p>
        </w:tc>
        <w:tc>
          <w:tcPr>
            <w:tcW w:type="dxa" w:w="6048"/>
          </w:tcPr>
          <w:p>
            <w:r>
              <w:t>Feasibility Assessment Summary</w:t>
            </w:r>
          </w:p>
        </w:tc>
        <w:tc>
          <w:tcPr>
            <w:tcW w:type="dxa" w:w="2160"/>
          </w:tcPr>
          <w:p>
            <w:r>
              <w:t>Chapter II</w:t>
            </w:r>
          </w:p>
        </w:tc>
      </w:tr>
      <w:tr>
        <w:tc>
          <w:tcPr>
            <w:tcW w:type="dxa" w:w="1152"/>
          </w:tcPr>
          <w:p>
            <w:r>
              <w:t>Table 5</w:t>
            </w:r>
          </w:p>
        </w:tc>
        <w:tc>
          <w:tcPr>
            <w:tcW w:type="dxa" w:w="6048"/>
          </w:tcPr>
          <w:p>
            <w:r>
              <w:t>User Requirements (UR-01 to UR-17)</w:t>
            </w:r>
          </w:p>
        </w:tc>
        <w:tc>
          <w:tcPr>
            <w:tcW w:type="dxa" w:w="2160"/>
          </w:tcPr>
          <w:p>
            <w:r>
              <w:t>Chapter II</w:t>
            </w:r>
          </w:p>
        </w:tc>
      </w:tr>
      <w:tr>
        <w:tc>
          <w:tcPr>
            <w:tcW w:type="dxa" w:w="1152"/>
          </w:tcPr>
          <w:p>
            <w:r>
              <w:t>Table 6</w:t>
            </w:r>
          </w:p>
        </w:tc>
        <w:tc>
          <w:tcPr>
            <w:tcW w:type="dxa" w:w="6048"/>
          </w:tcPr>
          <w:p>
            <w:r>
              <w:t>System Requirements (SR-01 to SR-20)</w:t>
            </w:r>
          </w:p>
        </w:tc>
        <w:tc>
          <w:tcPr>
            <w:tcW w:type="dxa" w:w="2160"/>
          </w:tcPr>
          <w:p>
            <w:r>
              <w:t>Chapter II</w:t>
            </w:r>
          </w:p>
        </w:tc>
      </w:tr>
      <w:tr>
        <w:tc>
          <w:tcPr>
            <w:tcW w:type="dxa" w:w="1152"/>
          </w:tcPr>
          <w:p>
            <w:r>
              <w:t>Table 7</w:t>
            </w:r>
          </w:p>
        </w:tc>
        <w:tc>
          <w:tcPr>
            <w:tcW w:type="dxa" w:w="6048"/>
          </w:tcPr>
          <w:p>
            <w:r>
              <w:t>Non-Functional Requirements (NFR-01 to NFR-10)</w:t>
            </w:r>
          </w:p>
        </w:tc>
        <w:tc>
          <w:tcPr>
            <w:tcW w:type="dxa" w:w="2160"/>
          </w:tcPr>
          <w:p>
            <w:r>
              <w:t>Chapter II</w:t>
            </w:r>
          </w:p>
        </w:tc>
      </w:tr>
      <w:tr>
        <w:tc>
          <w:tcPr>
            <w:tcW w:type="dxa" w:w="1152"/>
          </w:tcPr>
          <w:p>
            <w:r>
              <w:t>Table 8</w:t>
            </w:r>
          </w:p>
        </w:tc>
        <w:tc>
          <w:tcPr>
            <w:tcW w:type="dxa" w:w="6048"/>
          </w:tcPr>
          <w:p>
            <w:r>
              <w:t>FRS — Subsystem 1: Authentication &amp; User Management</w:t>
            </w:r>
          </w:p>
        </w:tc>
        <w:tc>
          <w:tcPr>
            <w:tcW w:type="dxa" w:w="2160"/>
          </w:tcPr>
          <w:p>
            <w:r>
              <w:t>Chapter II</w:t>
            </w:r>
          </w:p>
        </w:tc>
      </w:tr>
      <w:tr>
        <w:tc>
          <w:tcPr>
            <w:tcW w:type="dxa" w:w="1152"/>
          </w:tcPr>
          <w:p>
            <w:r>
              <w:t>Table 9</w:t>
            </w:r>
          </w:p>
        </w:tc>
        <w:tc>
          <w:tcPr>
            <w:tcW w:type="dxa" w:w="6048"/>
          </w:tcPr>
          <w:p>
            <w:r>
              <w:t>FRS — Subsystem 2: Brand Management</w:t>
            </w:r>
          </w:p>
        </w:tc>
        <w:tc>
          <w:tcPr>
            <w:tcW w:type="dxa" w:w="2160"/>
          </w:tcPr>
          <w:p>
            <w:r>
              <w:t>Chapter II</w:t>
            </w:r>
          </w:p>
        </w:tc>
      </w:tr>
      <w:tr>
        <w:tc>
          <w:tcPr>
            <w:tcW w:type="dxa" w:w="1152"/>
          </w:tcPr>
          <w:p>
            <w:r>
              <w:t>Table 10</w:t>
            </w:r>
          </w:p>
        </w:tc>
        <w:tc>
          <w:tcPr>
            <w:tcW w:type="dxa" w:w="6048"/>
          </w:tcPr>
          <w:p>
            <w:r>
              <w:t>FRS — Subsystem 3: Product &amp; Catalogue Management</w:t>
            </w:r>
          </w:p>
        </w:tc>
        <w:tc>
          <w:tcPr>
            <w:tcW w:type="dxa" w:w="2160"/>
          </w:tcPr>
          <w:p>
            <w:r>
              <w:t>Chapter II</w:t>
            </w:r>
          </w:p>
        </w:tc>
      </w:tr>
      <w:tr>
        <w:tc>
          <w:tcPr>
            <w:tcW w:type="dxa" w:w="1152"/>
          </w:tcPr>
          <w:p>
            <w:r>
              <w:t>Table 11</w:t>
            </w:r>
          </w:p>
        </w:tc>
        <w:tc>
          <w:tcPr>
            <w:tcW w:type="dxa" w:w="6048"/>
          </w:tcPr>
          <w:p>
            <w:r>
              <w:t>FRS — Subsystem 4: Order Management</w:t>
            </w:r>
          </w:p>
        </w:tc>
        <w:tc>
          <w:tcPr>
            <w:tcW w:type="dxa" w:w="2160"/>
          </w:tcPr>
          <w:p>
            <w:r>
              <w:t>Chapter II</w:t>
            </w:r>
          </w:p>
        </w:tc>
      </w:tr>
      <w:tr>
        <w:tc>
          <w:tcPr>
            <w:tcW w:type="dxa" w:w="1152"/>
          </w:tcPr>
          <w:p>
            <w:r>
              <w:t>Table 12</w:t>
            </w:r>
          </w:p>
        </w:tc>
        <w:tc>
          <w:tcPr>
            <w:tcW w:type="dxa" w:w="6048"/>
          </w:tcPr>
          <w:p>
            <w:r>
              <w:t>FRS — Subsystem 5: Trust, Reviews &amp; Notifications</w:t>
            </w:r>
          </w:p>
        </w:tc>
        <w:tc>
          <w:tcPr>
            <w:tcW w:type="dxa" w:w="2160"/>
          </w:tcPr>
          <w:p>
            <w:r>
              <w:t>Chapter II</w:t>
            </w:r>
          </w:p>
        </w:tc>
      </w:tr>
      <w:tr>
        <w:tc>
          <w:tcPr>
            <w:tcW w:type="dxa" w:w="1152"/>
          </w:tcPr>
          <w:p>
            <w:r>
              <w:t>Table 13</w:t>
            </w:r>
          </w:p>
        </w:tc>
        <w:tc>
          <w:tcPr>
            <w:tcW w:type="dxa" w:w="6048"/>
          </w:tcPr>
          <w:p>
            <w:r>
              <w:t>Use Case Specifications (UC-01, UC-03, UC-07, UC-12, UC-14)</w:t>
            </w:r>
          </w:p>
        </w:tc>
        <w:tc>
          <w:tcPr>
            <w:tcW w:type="dxa" w:w="2160"/>
          </w:tcPr>
          <w:p>
            <w:r>
              <w:t>Chapter II</w:t>
            </w:r>
          </w:p>
        </w:tc>
      </w:tr>
      <w:tr>
        <w:tc>
          <w:tcPr>
            <w:tcW w:type="dxa" w:w="1152"/>
          </w:tcPr>
          <w:p>
            <w:r>
              <w:t>Table 14</w:t>
            </w:r>
          </w:p>
        </w:tc>
        <w:tc>
          <w:tcPr>
            <w:tcW w:type="dxa" w:w="6048"/>
          </w:tcPr>
          <w:p>
            <w:r>
              <w:t>Requirements Traceability Matrix (RTM)</w:t>
            </w:r>
          </w:p>
        </w:tc>
        <w:tc>
          <w:tcPr>
            <w:tcW w:type="dxa" w:w="2160"/>
          </w:tcPr>
          <w:p>
            <w:r>
              <w:t>Chapter II</w:t>
            </w:r>
          </w:p>
        </w:tc>
      </w:tr>
      <w:tr>
        <w:tc>
          <w:tcPr>
            <w:tcW w:type="dxa" w:w="1152"/>
          </w:tcPr>
          <w:p>
            <w:r>
              <w:t>Table 15</w:t>
            </w:r>
          </w:p>
        </w:tc>
        <w:tc>
          <w:tcPr>
            <w:tcW w:type="dxa" w:w="6048"/>
          </w:tcPr>
          <w:p>
            <w:r>
              <w:t>Architectural Layer Mapping to MVC</w:t>
            </w:r>
          </w:p>
        </w:tc>
        <w:tc>
          <w:tcPr>
            <w:tcW w:type="dxa" w:w="2160"/>
          </w:tcPr>
          <w:p>
            <w:r>
              <w:t>Chapter III</w:t>
            </w:r>
          </w:p>
        </w:tc>
      </w:tr>
      <w:tr>
        <w:tc>
          <w:tcPr>
            <w:tcW w:type="dxa" w:w="1152"/>
          </w:tcPr>
          <w:p>
            <w:r>
              <w:t>Table 16</w:t>
            </w:r>
          </w:p>
        </w:tc>
        <w:tc>
          <w:tcPr>
            <w:tcW w:type="dxa" w:w="6048"/>
          </w:tcPr>
          <w:p>
            <w:r>
              <w:t>Order Lifecycle FSM — State Transitions (T-01 to T-11)</w:t>
            </w:r>
          </w:p>
        </w:tc>
        <w:tc>
          <w:tcPr>
            <w:tcW w:type="dxa" w:w="2160"/>
          </w:tcPr>
          <w:p>
            <w:r>
              <w:t>Chapter III</w:t>
            </w:r>
          </w:p>
        </w:tc>
      </w:tr>
      <w:tr>
        <w:tc>
          <w:tcPr>
            <w:tcW w:type="dxa" w:w="1152"/>
          </w:tcPr>
          <w:p>
            <w:r>
              <w:t>Table 17</w:t>
            </w:r>
          </w:p>
        </w:tc>
        <w:tc>
          <w:tcPr>
            <w:tcW w:type="dxa" w:w="6048"/>
          </w:tcPr>
          <w:p>
            <w:r>
              <w:t>Brand Verification FSM — State Transitions (BV-01 to BV-05)</w:t>
            </w:r>
          </w:p>
        </w:tc>
        <w:tc>
          <w:tcPr>
            <w:tcW w:type="dxa" w:w="2160"/>
          </w:tcPr>
          <w:p>
            <w:r>
              <w:t>Chapter III</w:t>
            </w:r>
          </w:p>
        </w:tc>
      </w:tr>
      <w:tr>
        <w:tc>
          <w:tcPr>
            <w:tcW w:type="dxa" w:w="1152"/>
          </w:tcPr>
          <w:p>
            <w:r>
              <w:t>Table 18</w:t>
            </w:r>
          </w:p>
        </w:tc>
        <w:tc>
          <w:tcPr>
            <w:tcW w:type="dxa" w:w="6048"/>
          </w:tcPr>
          <w:p>
            <w:r>
              <w:t>Component / Unit Design Summary</w:t>
            </w:r>
          </w:p>
        </w:tc>
        <w:tc>
          <w:tcPr>
            <w:tcW w:type="dxa" w:w="2160"/>
          </w:tcPr>
          <w:p>
            <w:r>
              <w:t>Chapter III</w:t>
            </w:r>
          </w:p>
        </w:tc>
      </w:tr>
      <w:tr>
        <w:tc>
          <w:tcPr>
            <w:tcW w:type="dxa" w:w="1152"/>
          </w:tcPr>
          <w:p>
            <w:r>
              <w:t>Table 19</w:t>
            </w:r>
          </w:p>
        </w:tc>
        <w:tc>
          <w:tcPr>
            <w:tcW w:type="dxa" w:w="6048"/>
          </w:tcPr>
          <w:p>
            <w:r>
              <w:t>Make, Buy or Lease (MBL) Analysis (15 Components)</w:t>
            </w:r>
          </w:p>
        </w:tc>
        <w:tc>
          <w:tcPr>
            <w:tcW w:type="dxa" w:w="2160"/>
          </w:tcPr>
          <w:p>
            <w:r>
              <w:t>Chapter IV</w:t>
            </w:r>
          </w:p>
        </w:tc>
      </w:tr>
      <w:tr>
        <w:tc>
          <w:tcPr>
            <w:tcW w:type="dxa" w:w="1152"/>
          </w:tcPr>
          <w:p>
            <w:r>
              <w:t>Table 20</w:t>
            </w:r>
          </w:p>
        </w:tc>
        <w:tc>
          <w:tcPr>
            <w:tcW w:type="dxa" w:w="6048"/>
          </w:tcPr>
          <w:p>
            <w:r>
              <w:t>MBL Decision Summary by Category</w:t>
            </w:r>
          </w:p>
        </w:tc>
        <w:tc>
          <w:tcPr>
            <w:tcW w:type="dxa" w:w="2160"/>
          </w:tcPr>
          <w:p>
            <w:r>
              <w:t>Chapter IV</w:t>
            </w:r>
          </w:p>
        </w:tc>
      </w:tr>
      <w:tr>
        <w:tc>
          <w:tcPr>
            <w:tcW w:type="dxa" w:w="1152"/>
          </w:tcPr>
          <w:p>
            <w:r>
              <w:t>Table 21</w:t>
            </w:r>
          </w:p>
        </w:tc>
        <w:tc>
          <w:tcPr>
            <w:tcW w:type="dxa" w:w="6048"/>
          </w:tcPr>
          <w:p>
            <w:r>
              <w:t>Software Reuse Analysis (12 Components)</w:t>
            </w:r>
          </w:p>
        </w:tc>
        <w:tc>
          <w:tcPr>
            <w:tcW w:type="dxa" w:w="2160"/>
          </w:tcPr>
          <w:p>
            <w:r>
              <w:t>Chapter IV</w:t>
            </w:r>
          </w:p>
        </w:tc>
      </w:tr>
      <w:tr>
        <w:tc>
          <w:tcPr>
            <w:tcW w:type="dxa" w:w="1152"/>
          </w:tcPr>
          <w:p>
            <w:r>
              <w:t>Table 22</w:t>
            </w:r>
          </w:p>
        </w:tc>
        <w:tc>
          <w:tcPr>
            <w:tcW w:type="dxa" w:w="6048"/>
          </w:tcPr>
          <w:p>
            <w:r>
              <w:t>Source Lines of Code (SLOC) by Category</w:t>
            </w:r>
          </w:p>
        </w:tc>
        <w:tc>
          <w:tcPr>
            <w:tcW w:type="dxa" w:w="2160"/>
          </w:tcPr>
          <w:p>
            <w:r>
              <w:t>Chapter V</w:t>
            </w:r>
          </w:p>
        </w:tc>
      </w:tr>
      <w:tr>
        <w:tc>
          <w:tcPr>
            <w:tcW w:type="dxa" w:w="1152"/>
          </w:tcPr>
          <w:p>
            <w:r>
              <w:t>Table 23</w:t>
            </w:r>
          </w:p>
        </w:tc>
        <w:tc>
          <w:tcPr>
            <w:tcW w:type="dxa" w:w="6048"/>
          </w:tcPr>
          <w:p>
            <w:r>
              <w:t>Automated Testing Assessment</w:t>
            </w:r>
          </w:p>
        </w:tc>
        <w:tc>
          <w:tcPr>
            <w:tcW w:type="dxa" w:w="2160"/>
          </w:tcPr>
          <w:p>
            <w:r>
              <w:t>Chapter V</w:t>
            </w:r>
          </w:p>
        </w:tc>
      </w:tr>
      <w:tr>
        <w:tc>
          <w:tcPr>
            <w:tcW w:type="dxa" w:w="1152"/>
          </w:tcPr>
          <w:p>
            <w:r>
              <w:t>Table 24</w:t>
            </w:r>
          </w:p>
        </w:tc>
        <w:tc>
          <w:tcPr>
            <w:tcW w:type="dxa" w:w="6048"/>
          </w:tcPr>
          <w:p>
            <w:r>
              <w:t>Versioning Scheme — Phase Definitions</w:t>
            </w:r>
          </w:p>
        </w:tc>
        <w:tc>
          <w:tcPr>
            <w:tcW w:type="dxa" w:w="2160"/>
          </w:tcPr>
          <w:p>
            <w:r>
              <w:t>Chapter IV</w:t>
            </w:r>
          </w:p>
        </w:tc>
      </w:tr>
      <w:tr>
        <w:tc>
          <w:tcPr>
            <w:tcW w:type="dxa" w:w="1152"/>
          </w:tcPr>
          <w:p>
            <w:r>
              <w:t>Table 25</w:t>
            </w:r>
          </w:p>
        </w:tc>
        <w:tc>
          <w:tcPr>
            <w:tcW w:type="dxa" w:w="6048"/>
          </w:tcPr>
          <w:p>
            <w:r>
              <w:t>Configuration Items (CI-01 to CI-08)</w:t>
            </w:r>
          </w:p>
        </w:tc>
        <w:tc>
          <w:tcPr>
            <w:tcW w:type="dxa" w:w="2160"/>
          </w:tcPr>
          <w:p>
            <w:r>
              <w:t>Chapter IV</w:t>
            </w:r>
          </w:p>
        </w:tc>
      </w:tr>
      <w:tr>
        <w:tc>
          <w:tcPr>
            <w:tcW w:type="dxa" w:w="1152"/>
          </w:tcPr>
          <w:p>
            <w:r>
              <w:t>Table 26</w:t>
            </w:r>
          </w:p>
        </w:tc>
        <w:tc>
          <w:tcPr>
            <w:tcW w:type="dxa" w:w="6048"/>
          </w:tcPr>
          <w:p>
            <w:r>
              <w:t>Change Request Log (CR-001 to CR-010)</w:t>
            </w:r>
          </w:p>
        </w:tc>
        <w:tc>
          <w:tcPr>
            <w:tcW w:type="dxa" w:w="2160"/>
          </w:tcPr>
          <w:p>
            <w:r>
              <w:t>Chapter IV</w:t>
            </w:r>
          </w:p>
        </w:tc>
      </w:tr>
      <w:tr>
        <w:tc>
          <w:tcPr>
            <w:tcW w:type="dxa" w:w="1152"/>
          </w:tcPr>
          <w:p>
            <w:r>
              <w:t>Table 27</w:t>
            </w:r>
          </w:p>
        </w:tc>
        <w:tc>
          <w:tcPr>
            <w:tcW w:type="dxa" w:w="6048"/>
          </w:tcPr>
          <w:p>
            <w:r>
              <w:t>Version Baseline Summary</w:t>
            </w:r>
          </w:p>
        </w:tc>
        <w:tc>
          <w:tcPr>
            <w:tcW w:type="dxa" w:w="2160"/>
          </w:tcPr>
          <w:p>
            <w:r>
              <w:t>Chapter IV</w:t>
            </w:r>
          </w:p>
        </w:tc>
      </w:tr>
      <w:tr>
        <w:tc>
          <w:tcPr>
            <w:tcW w:type="dxa" w:w="1152"/>
          </w:tcPr>
          <w:p>
            <w:r>
              <w:t>Table 28</w:t>
            </w:r>
          </w:p>
        </w:tc>
        <w:tc>
          <w:tcPr>
            <w:tcW w:type="dxa" w:w="6048"/>
          </w:tcPr>
          <w:p>
            <w:r>
              <w:t>Hardware Requirements</w:t>
            </w:r>
          </w:p>
        </w:tc>
        <w:tc>
          <w:tcPr>
            <w:tcW w:type="dxa" w:w="2160"/>
          </w:tcPr>
          <w:p>
            <w:r>
              <w:t>Chapter IV</w:t>
            </w:r>
          </w:p>
        </w:tc>
      </w:tr>
      <w:tr>
        <w:tc>
          <w:tcPr>
            <w:tcW w:type="dxa" w:w="1152"/>
          </w:tcPr>
          <w:p>
            <w:r>
              <w:t>Table 29</w:t>
            </w:r>
          </w:p>
        </w:tc>
        <w:tc>
          <w:tcPr>
            <w:tcW w:type="dxa" w:w="6048"/>
          </w:tcPr>
          <w:p>
            <w:r>
              <w:t>Operating System Support</w:t>
            </w:r>
          </w:p>
        </w:tc>
        <w:tc>
          <w:tcPr>
            <w:tcW w:type="dxa" w:w="2160"/>
          </w:tcPr>
          <w:p>
            <w:r>
              <w:t>Chapter IV</w:t>
            </w:r>
          </w:p>
        </w:tc>
      </w:tr>
      <w:tr>
        <w:tc>
          <w:tcPr>
            <w:tcW w:type="dxa" w:w="1152"/>
          </w:tcPr>
          <w:p>
            <w:r>
              <w:t>Table 30</w:t>
            </w:r>
          </w:p>
        </w:tc>
        <w:tc>
          <w:tcPr>
            <w:tcW w:type="dxa" w:w="6048"/>
          </w:tcPr>
          <w:p>
            <w:r>
              <w:t>Runtime &amp; Package Manager Requirements</w:t>
            </w:r>
          </w:p>
        </w:tc>
        <w:tc>
          <w:tcPr>
            <w:tcW w:type="dxa" w:w="2160"/>
          </w:tcPr>
          <w:p>
            <w:r>
              <w:t>Chapter IV</w:t>
            </w:r>
          </w:p>
        </w:tc>
      </w:tr>
      <w:tr>
        <w:tc>
          <w:tcPr>
            <w:tcW w:type="dxa" w:w="1152"/>
          </w:tcPr>
          <w:p>
            <w:r>
              <w:t>Table 31</w:t>
            </w:r>
          </w:p>
        </w:tc>
        <w:tc>
          <w:tcPr>
            <w:tcW w:type="dxa" w:w="6048"/>
          </w:tcPr>
          <w:p>
            <w:r>
              <w:t>Core Framework &amp; Language Dependencies</w:t>
            </w:r>
          </w:p>
        </w:tc>
        <w:tc>
          <w:tcPr>
            <w:tcW w:type="dxa" w:w="2160"/>
          </w:tcPr>
          <w:p>
            <w:r>
              <w:t>Chapter IV</w:t>
            </w:r>
          </w:p>
        </w:tc>
      </w:tr>
      <w:tr>
        <w:tc>
          <w:tcPr>
            <w:tcW w:type="dxa" w:w="1152"/>
          </w:tcPr>
          <w:p>
            <w:r>
              <w:t>Table 32</w:t>
            </w:r>
          </w:p>
        </w:tc>
        <w:tc>
          <w:tcPr>
            <w:tcW w:type="dxa" w:w="6048"/>
          </w:tcPr>
          <w:p>
            <w:r>
              <w:t>TypeScript Compiler Options</w:t>
            </w:r>
          </w:p>
        </w:tc>
        <w:tc>
          <w:tcPr>
            <w:tcW w:type="dxa" w:w="2160"/>
          </w:tcPr>
          <w:p>
            <w:r>
              <w:t>Chapter IV</w:t>
            </w:r>
          </w:p>
        </w:tc>
      </w:tr>
      <w:tr>
        <w:tc>
          <w:tcPr>
            <w:tcW w:type="dxa" w:w="1152"/>
          </w:tcPr>
          <w:p>
            <w:r>
              <w:t>Table 33</w:t>
            </w:r>
          </w:p>
        </w:tc>
        <w:tc>
          <w:tcPr>
            <w:tcW w:type="dxa" w:w="6048"/>
          </w:tcPr>
          <w:p>
            <w:r>
              <w:t>Cloud Services &amp; Backend Infrastructure</w:t>
            </w:r>
          </w:p>
        </w:tc>
        <w:tc>
          <w:tcPr>
            <w:tcW w:type="dxa" w:w="2160"/>
          </w:tcPr>
          <w:p>
            <w:r>
              <w:t>Chapter IV</w:t>
            </w:r>
          </w:p>
        </w:tc>
      </w:tr>
      <w:tr>
        <w:tc>
          <w:tcPr>
            <w:tcW w:type="dxa" w:w="1152"/>
          </w:tcPr>
          <w:p>
            <w:r>
              <w:t>Table 34</w:t>
            </w:r>
          </w:p>
        </w:tc>
        <w:tc>
          <w:tcPr>
            <w:tcW w:type="dxa" w:w="6048"/>
          </w:tcPr>
          <w:p>
            <w:r>
              <w:t>Key Runtime Dependencies</w:t>
            </w:r>
          </w:p>
        </w:tc>
        <w:tc>
          <w:tcPr>
            <w:tcW w:type="dxa" w:w="2160"/>
          </w:tcPr>
          <w:p>
            <w:r>
              <w:t>Chapter IV</w:t>
            </w:r>
          </w:p>
        </w:tc>
      </w:tr>
      <w:tr>
        <w:tc>
          <w:tcPr>
            <w:tcW w:type="dxa" w:w="1152"/>
          </w:tcPr>
          <w:p>
            <w:r>
              <w:t>Table 35</w:t>
            </w:r>
          </w:p>
        </w:tc>
        <w:tc>
          <w:tcPr>
            <w:tcW w:type="dxa" w:w="6048"/>
          </w:tcPr>
          <w:p>
            <w:r>
              <w:t>IDE &amp; Developer Tooling</w:t>
            </w:r>
          </w:p>
        </w:tc>
        <w:tc>
          <w:tcPr>
            <w:tcW w:type="dxa" w:w="2160"/>
          </w:tcPr>
          <w:p>
            <w:r>
              <w:t>Chapter IV</w:t>
            </w:r>
          </w:p>
        </w:tc>
      </w:tr>
      <w:tr>
        <w:tc>
          <w:tcPr>
            <w:tcW w:type="dxa" w:w="1152"/>
          </w:tcPr>
          <w:p>
            <w:r>
              <w:t>Table 36</w:t>
            </w:r>
          </w:p>
        </w:tc>
        <w:tc>
          <w:tcPr>
            <w:tcW w:type="dxa" w:w="6048"/>
          </w:tcPr>
          <w:p>
            <w:r>
              <w:t>Testing &amp; Quality Assurance Methods</w:t>
            </w:r>
          </w:p>
        </w:tc>
        <w:tc>
          <w:tcPr>
            <w:tcW w:type="dxa" w:w="2160"/>
          </w:tcPr>
          <w:p>
            <w:r>
              <w:t>Chapter IV</w:t>
            </w:r>
          </w:p>
        </w:tc>
      </w:tr>
      <w:tr>
        <w:tc>
          <w:tcPr>
            <w:tcW w:type="dxa" w:w="1152"/>
          </w:tcPr>
          <w:p>
            <w:r>
              <w:t>Table 37</w:t>
            </w:r>
          </w:p>
        </w:tc>
        <w:tc>
          <w:tcPr>
            <w:tcW w:type="dxa" w:w="6048"/>
          </w:tcPr>
          <w:p>
            <w:r>
              <w:t>Deployment Environment Summary</w:t>
            </w:r>
          </w:p>
        </w:tc>
        <w:tc>
          <w:tcPr>
            <w:tcW w:type="dxa" w:w="2160"/>
          </w:tcPr>
          <w:p>
            <w:r>
              <w:t>Chapter IV</w:t>
            </w:r>
          </w:p>
        </w:tc>
      </w:tr>
      <w:tr>
        <w:tc>
          <w:tcPr>
            <w:tcW w:type="dxa" w:w="1152"/>
          </w:tcPr>
          <w:p>
            <w:r>
              <w:t>Table 38</w:t>
            </w:r>
          </w:p>
        </w:tc>
        <w:tc>
          <w:tcPr>
            <w:tcW w:type="dxa" w:w="6048"/>
          </w:tcPr>
          <w:p>
            <w:r>
              <w:t>SRS Inspection Findings (INS1)</w:t>
            </w:r>
          </w:p>
        </w:tc>
        <w:tc>
          <w:tcPr>
            <w:tcW w:type="dxa" w:w="2160"/>
          </w:tcPr>
          <w:p>
            <w:r>
              <w:t>Chapter V</w:t>
            </w:r>
          </w:p>
        </w:tc>
      </w:tr>
      <w:tr>
        <w:tc>
          <w:tcPr>
            <w:tcW w:type="dxa" w:w="1152"/>
          </w:tcPr>
          <w:p>
            <w:r>
              <w:t>Table 39</w:t>
            </w:r>
          </w:p>
        </w:tc>
        <w:tc>
          <w:tcPr>
            <w:tcW w:type="dxa" w:w="6048"/>
          </w:tcPr>
          <w:p>
            <w:r>
              <w:t>Architecture Inspection Findings (INS2)</w:t>
            </w:r>
          </w:p>
        </w:tc>
        <w:tc>
          <w:tcPr>
            <w:tcW w:type="dxa" w:w="2160"/>
          </w:tcPr>
          <w:p>
            <w:r>
              <w:t>Chapter V</w:t>
            </w:r>
          </w:p>
        </w:tc>
      </w:tr>
      <w:tr>
        <w:tc>
          <w:tcPr>
            <w:tcW w:type="dxa" w:w="1152"/>
          </w:tcPr>
          <w:p>
            <w:r>
              <w:t>Table 40</w:t>
            </w:r>
          </w:p>
        </w:tc>
        <w:tc>
          <w:tcPr>
            <w:tcW w:type="dxa" w:w="6048"/>
          </w:tcPr>
          <w:p>
            <w:r>
              <w:t>Design Models Inspection Findings (INS3)</w:t>
            </w:r>
          </w:p>
        </w:tc>
        <w:tc>
          <w:tcPr>
            <w:tcW w:type="dxa" w:w="2160"/>
          </w:tcPr>
          <w:p>
            <w:r>
              <w:t>Chapter V</w:t>
            </w:r>
          </w:p>
        </w:tc>
      </w:tr>
      <w:tr>
        <w:tc>
          <w:tcPr>
            <w:tcW w:type="dxa" w:w="1152"/>
          </w:tcPr>
          <w:p>
            <w:r>
              <w:t>Table 41</w:t>
            </w:r>
          </w:p>
        </w:tc>
        <w:tc>
          <w:tcPr>
            <w:tcW w:type="dxa" w:w="6048"/>
          </w:tcPr>
          <w:p>
            <w:r>
              <w:t>Code Inspection Findings (INS4, 5 Findings)</w:t>
            </w:r>
          </w:p>
        </w:tc>
        <w:tc>
          <w:tcPr>
            <w:tcW w:type="dxa" w:w="2160"/>
          </w:tcPr>
          <w:p>
            <w:r>
              <w:t>Chapter V</w:t>
            </w:r>
          </w:p>
        </w:tc>
      </w:tr>
      <w:tr>
        <w:tc>
          <w:tcPr>
            <w:tcW w:type="dxa" w:w="1152"/>
          </w:tcPr>
          <w:p>
            <w:r>
              <w:t>Table 42</w:t>
            </w:r>
          </w:p>
        </w:tc>
        <w:tc>
          <w:tcPr>
            <w:tcW w:type="dxa" w:w="6048"/>
          </w:tcPr>
          <w:p>
            <w:r>
              <w:t>System Test Cases (TC-001 to TC-020)</w:t>
            </w:r>
          </w:p>
        </w:tc>
        <w:tc>
          <w:tcPr>
            <w:tcW w:type="dxa" w:w="2160"/>
          </w:tcPr>
          <w:p>
            <w:r>
              <w:t>Chapter V</w:t>
            </w:r>
          </w:p>
        </w:tc>
      </w:tr>
      <w:tr>
        <w:tc>
          <w:tcPr>
            <w:tcW w:type="dxa" w:w="1152"/>
          </w:tcPr>
          <w:p>
            <w:r>
              <w:t>Table 43</w:t>
            </w:r>
          </w:p>
        </w:tc>
        <w:tc>
          <w:tcPr>
            <w:tcW w:type="dxa" w:w="6048"/>
          </w:tcPr>
          <w:p>
            <w:r>
              <w:t>Black-Box Test Conditions</w:t>
            </w:r>
          </w:p>
        </w:tc>
        <w:tc>
          <w:tcPr>
            <w:tcW w:type="dxa" w:w="2160"/>
          </w:tcPr>
          <w:p>
            <w:r>
              <w:t>Chapter V</w:t>
            </w:r>
          </w:p>
        </w:tc>
      </w:tr>
      <w:tr>
        <w:tc>
          <w:tcPr>
            <w:tcW w:type="dxa" w:w="1152"/>
          </w:tcPr>
          <w:p>
            <w:r>
              <w:t>Table 44</w:t>
            </w:r>
          </w:p>
        </w:tc>
        <w:tc>
          <w:tcPr>
            <w:tcW w:type="dxa" w:w="6048"/>
          </w:tcPr>
          <w:p>
            <w:r>
              <w:t>White-Box Coverage Assessment</w:t>
            </w:r>
          </w:p>
        </w:tc>
        <w:tc>
          <w:tcPr>
            <w:tcW w:type="dxa" w:w="2160"/>
          </w:tcPr>
          <w:p>
            <w:r>
              <w:t>Chapter V</w:t>
            </w:r>
          </w:p>
        </w:tc>
      </w:tr>
      <w:tr>
        <w:tc>
          <w:tcPr>
            <w:tcW w:type="dxa" w:w="1152"/>
          </w:tcPr>
          <w:p>
            <w:r>
              <w:t>Table 45</w:t>
            </w:r>
          </w:p>
        </w:tc>
        <w:tc>
          <w:tcPr>
            <w:tcW w:type="dxa" w:w="6048"/>
          </w:tcPr>
          <w:p>
            <w:r>
              <w:t>Operational Profile Testing — Transaction Frequencies</w:t>
            </w:r>
          </w:p>
        </w:tc>
        <w:tc>
          <w:tcPr>
            <w:tcW w:type="dxa" w:w="2160"/>
          </w:tcPr>
          <w:p>
            <w:r>
              <w:t>Chapter V</w:t>
            </w:r>
          </w:p>
        </w:tc>
      </w:tr>
      <w:tr>
        <w:tc>
          <w:tcPr>
            <w:tcW w:type="dxa" w:w="1152"/>
          </w:tcPr>
          <w:p>
            <w:r>
              <w:t>Table 46</w:t>
            </w:r>
          </w:p>
        </w:tc>
        <w:tc>
          <w:tcPr>
            <w:tcW w:type="dxa" w:w="6048"/>
          </w:tcPr>
          <w:p>
            <w:r>
              <w:t>Performance Testing Results (6 Endpoints)</w:t>
            </w:r>
          </w:p>
        </w:tc>
        <w:tc>
          <w:tcPr>
            <w:tcW w:type="dxa" w:w="2160"/>
          </w:tcPr>
          <w:p>
            <w:r>
              <w:t>Chapter V</w:t>
            </w:r>
          </w:p>
        </w:tc>
      </w:tr>
      <w:tr>
        <w:tc>
          <w:tcPr>
            <w:tcW w:type="dxa" w:w="1152"/>
          </w:tcPr>
          <w:p>
            <w:r>
              <w:t>Table 47</w:t>
            </w:r>
          </w:p>
        </w:tc>
        <w:tc>
          <w:tcPr>
            <w:tcW w:type="dxa" w:w="6048"/>
          </w:tcPr>
          <w:p>
            <w:r>
              <w:t>Use-Case Based Testing (UC-01 to UC-16)</w:t>
            </w:r>
          </w:p>
        </w:tc>
        <w:tc>
          <w:tcPr>
            <w:tcW w:type="dxa" w:w="2160"/>
          </w:tcPr>
          <w:p>
            <w:r>
              <w:t>Chapter V</w:t>
            </w:r>
          </w:p>
        </w:tc>
      </w:tr>
      <w:tr>
        <w:tc>
          <w:tcPr>
            <w:tcW w:type="dxa" w:w="1152"/>
          </w:tcPr>
          <w:p>
            <w:r>
              <w:t>Table 48</w:t>
            </w:r>
          </w:p>
        </w:tc>
        <w:tc>
          <w:tcPr>
            <w:tcW w:type="dxa" w:w="6048"/>
          </w:tcPr>
          <w:p>
            <w:r>
              <w:t>Alpha Testing — Tester Sessions (4 Testers)</w:t>
            </w:r>
          </w:p>
        </w:tc>
        <w:tc>
          <w:tcPr>
            <w:tcW w:type="dxa" w:w="2160"/>
          </w:tcPr>
          <w:p>
            <w:r>
              <w:t>Chapter V</w:t>
            </w:r>
          </w:p>
        </w:tc>
      </w:tr>
      <w:tr>
        <w:tc>
          <w:tcPr>
            <w:tcW w:type="dxa" w:w="1152"/>
          </w:tcPr>
          <w:p>
            <w:r>
              <w:t>Table 49</w:t>
            </w:r>
          </w:p>
        </w:tc>
        <w:tc>
          <w:tcPr>
            <w:tcW w:type="dxa" w:w="6048"/>
          </w:tcPr>
          <w:p>
            <w:r>
              <w:t>Beta Testing — User Ratings (6 Participants)</w:t>
            </w:r>
          </w:p>
        </w:tc>
        <w:tc>
          <w:tcPr>
            <w:tcW w:type="dxa" w:w="2160"/>
          </w:tcPr>
          <w:p>
            <w:r>
              <w:t>Chapter V</w:t>
            </w:r>
          </w:p>
        </w:tc>
      </w:tr>
      <w:tr>
        <w:tc>
          <w:tcPr>
            <w:tcW w:type="dxa" w:w="1152"/>
          </w:tcPr>
          <w:p>
            <w:r>
              <w:t>Table 50</w:t>
            </w:r>
          </w:p>
        </w:tc>
        <w:tc>
          <w:tcPr>
            <w:tcW w:type="dxa" w:w="6048"/>
          </w:tcPr>
          <w:p>
            <w:r>
              <w:t>Acceptance Testing — UR Compliance (17 URs)</w:t>
            </w:r>
          </w:p>
        </w:tc>
        <w:tc>
          <w:tcPr>
            <w:tcW w:type="dxa" w:w="2160"/>
          </w:tcPr>
          <w:p>
            <w:r>
              <w:t>Chapter V</w:t>
            </w:r>
          </w:p>
        </w:tc>
      </w:tr>
      <w:tr>
        <w:tc>
          <w:tcPr>
            <w:tcW w:type="dxa" w:w="1152"/>
          </w:tcPr>
          <w:p>
            <w:r>
              <w:t>Table 51</w:t>
            </w:r>
          </w:p>
        </w:tc>
        <w:tc>
          <w:tcPr>
            <w:tcW w:type="dxa" w:w="6048"/>
          </w:tcPr>
          <w:p>
            <w:r>
              <w:t>Lehman’s Laws Applied to Kuwait B2B Hub</w:t>
            </w:r>
          </w:p>
        </w:tc>
        <w:tc>
          <w:tcPr>
            <w:tcW w:type="dxa" w:w="2160"/>
          </w:tcPr>
          <w:p>
            <w:r>
              <w:t>Chapter VI</w:t>
            </w:r>
          </w:p>
        </w:tc>
      </w:tr>
      <w:tr>
        <w:tc>
          <w:tcPr>
            <w:tcW w:type="dxa" w:w="1152"/>
          </w:tcPr>
          <w:p>
            <w:r>
              <w:t>Table 52</w:t>
            </w:r>
          </w:p>
        </w:tc>
        <w:tc>
          <w:tcPr>
            <w:tcW w:type="dxa" w:w="6048"/>
          </w:tcPr>
          <w:p>
            <w:r>
              <w:t>Anticipated System Changes (SC-01 to SC-13)</w:t>
            </w:r>
          </w:p>
        </w:tc>
        <w:tc>
          <w:tcPr>
            <w:tcW w:type="dxa" w:w="2160"/>
          </w:tcPr>
          <w:p>
            <w:r>
              <w:t>Chapter VI</w:t>
            </w:r>
          </w:p>
        </w:tc>
      </w:tr>
      <w:tr>
        <w:tc>
          <w:tcPr>
            <w:tcW w:type="dxa" w:w="1152"/>
          </w:tcPr>
          <w:p>
            <w:r>
              <w:t>Table 53</w:t>
            </w:r>
          </w:p>
        </w:tc>
        <w:tc>
          <w:tcPr>
            <w:tcW w:type="dxa" w:w="6048"/>
          </w:tcPr>
          <w:p>
            <w:r>
              <w:t>Ten-Year System Quality and Value Prediction</w:t>
            </w:r>
          </w:p>
        </w:tc>
        <w:tc>
          <w:tcPr>
            <w:tcW w:type="dxa" w:w="2160"/>
          </w:tcPr>
          <w:p>
            <w:r>
              <w:t>Chapter VI</w:t>
            </w:r>
          </w:p>
        </w:tc>
      </w:tr>
      <w:tr>
        <w:tc>
          <w:tcPr>
            <w:tcW w:type="dxa" w:w="1152"/>
          </w:tcPr>
          <w:p>
            <w:r>
              <w:t>Table 54</w:t>
            </w:r>
          </w:p>
        </w:tc>
        <w:tc>
          <w:tcPr>
            <w:tcW w:type="dxa" w:w="6048"/>
          </w:tcPr>
          <w:p>
            <w:r>
              <w:t>Milestones &amp; Deliverables (M-01 to M-13)</w:t>
            </w:r>
          </w:p>
        </w:tc>
        <w:tc>
          <w:tcPr>
            <w:tcW w:type="dxa" w:w="2160"/>
          </w:tcPr>
          <w:p>
            <w:r>
              <w:t>Chapter VII</w:t>
            </w:r>
          </w:p>
        </w:tc>
      </w:tr>
      <w:tr>
        <w:tc>
          <w:tcPr>
            <w:tcW w:type="dxa" w:w="1152"/>
          </w:tcPr>
          <w:p>
            <w:r>
              <w:t>Table 55</w:t>
            </w:r>
          </w:p>
        </w:tc>
        <w:tc>
          <w:tcPr>
            <w:tcW w:type="dxa" w:w="6048"/>
          </w:tcPr>
          <w:p>
            <w:r>
              <w:t>Staff Allocation by Sprint (8 Sprints × 4 Members)</w:t>
            </w:r>
          </w:p>
        </w:tc>
        <w:tc>
          <w:tcPr>
            <w:tcW w:type="dxa" w:w="2160"/>
          </w:tcPr>
          <w:p>
            <w:r>
              <w:t>Chapter VII</w:t>
            </w:r>
          </w:p>
        </w:tc>
      </w:tr>
      <w:tr>
        <w:tc>
          <w:tcPr>
            <w:tcW w:type="dxa" w:w="1152"/>
          </w:tcPr>
          <w:p>
            <w:r>
              <w:t>Table 56</w:t>
            </w:r>
          </w:p>
        </w:tc>
        <w:tc>
          <w:tcPr>
            <w:tcW w:type="dxa" w:w="6048"/>
          </w:tcPr>
          <w:p>
            <w:r>
              <w:t>Activity Network (A1–A15) with Critical Path</w:t>
            </w:r>
          </w:p>
        </w:tc>
        <w:tc>
          <w:tcPr>
            <w:tcW w:type="dxa" w:w="2160"/>
          </w:tcPr>
          <w:p>
            <w:r>
              <w:t>Chapter VII</w:t>
            </w:r>
          </w:p>
        </w:tc>
      </w:tr>
      <w:tr>
        <w:tc>
          <w:tcPr>
            <w:tcW w:type="dxa" w:w="1152"/>
          </w:tcPr>
          <w:p>
            <w:r>
              <w:t>Table 57</w:t>
            </w:r>
          </w:p>
        </w:tc>
        <w:tc>
          <w:tcPr>
            <w:tcW w:type="dxa" w:w="6048"/>
          </w:tcPr>
          <w:p>
            <w:r>
              <w:t>COCOMO Input Parameters</w:t>
            </w:r>
          </w:p>
        </w:tc>
        <w:tc>
          <w:tcPr>
            <w:tcW w:type="dxa" w:w="2160"/>
          </w:tcPr>
          <w:p>
            <w:r>
              <w:t>Chapter VII</w:t>
            </w:r>
          </w:p>
        </w:tc>
      </w:tr>
      <w:tr>
        <w:tc>
          <w:tcPr>
            <w:tcW w:type="dxa" w:w="1152"/>
          </w:tcPr>
          <w:p>
            <w:r>
              <w:t>Table 58</w:t>
            </w:r>
          </w:p>
        </w:tc>
        <w:tc>
          <w:tcPr>
            <w:tcW w:type="dxa" w:w="6048"/>
          </w:tcPr>
          <w:p>
            <w:r>
              <w:t>COCOMO Results Summary</w:t>
            </w:r>
          </w:p>
        </w:tc>
        <w:tc>
          <w:tcPr>
            <w:tcW w:type="dxa" w:w="2160"/>
          </w:tcPr>
          <w:p>
            <w:r>
              <w:t>Chapter VII</w:t>
            </w:r>
          </w:p>
        </w:tc>
      </w:tr>
      <w:tr>
        <w:tc>
          <w:tcPr>
            <w:tcW w:type="dxa" w:w="1152"/>
          </w:tcPr>
          <w:p>
            <w:r>
              <w:t>Table 59</w:t>
            </w:r>
          </w:p>
        </w:tc>
        <w:tc>
          <w:tcPr>
            <w:tcW w:type="dxa" w:w="6048"/>
          </w:tcPr>
          <w:p>
            <w:r>
              <w:t>Likelihood Scoring Rubric</w:t>
            </w:r>
          </w:p>
        </w:tc>
        <w:tc>
          <w:tcPr>
            <w:tcW w:type="dxa" w:w="2160"/>
          </w:tcPr>
          <w:p>
            <w:r>
              <w:t>Chapter VII</w:t>
            </w:r>
          </w:p>
        </w:tc>
      </w:tr>
      <w:tr>
        <w:tc>
          <w:tcPr>
            <w:tcW w:type="dxa" w:w="1152"/>
          </w:tcPr>
          <w:p>
            <w:r>
              <w:t>Table 60</w:t>
            </w:r>
          </w:p>
        </w:tc>
        <w:tc>
          <w:tcPr>
            <w:tcW w:type="dxa" w:w="6048"/>
          </w:tcPr>
          <w:p>
            <w:r>
              <w:t>Impact Scoring Rubric</w:t>
            </w:r>
          </w:p>
        </w:tc>
        <w:tc>
          <w:tcPr>
            <w:tcW w:type="dxa" w:w="2160"/>
          </w:tcPr>
          <w:p>
            <w:r>
              <w:t>Chapter VII</w:t>
            </w:r>
          </w:p>
        </w:tc>
      </w:tr>
      <w:tr>
        <w:tc>
          <w:tcPr>
            <w:tcW w:type="dxa" w:w="1152"/>
          </w:tcPr>
          <w:p>
            <w:r>
              <w:t>Table 61</w:t>
            </w:r>
          </w:p>
        </w:tc>
        <w:tc>
          <w:tcPr>
            <w:tcW w:type="dxa" w:w="6048"/>
          </w:tcPr>
          <w:p>
            <w:r>
              <w:t>Risk Assessment Matrix (R-01 to R-12)</w:t>
            </w:r>
          </w:p>
        </w:tc>
        <w:tc>
          <w:tcPr>
            <w:tcW w:type="dxa" w:w="2160"/>
          </w:tcPr>
          <w:p>
            <w:r>
              <w:t>Chapter VII</w:t>
            </w:r>
          </w:p>
        </w:tc>
      </w:tr>
      <w:tr>
        <w:tc>
          <w:tcPr>
            <w:tcW w:type="dxa" w:w="1152"/>
          </w:tcPr>
          <w:p>
            <w:r>
              <w:t>Table 62</w:t>
            </w:r>
          </w:p>
        </w:tc>
        <w:tc>
          <w:tcPr>
            <w:tcW w:type="dxa" w:w="6048"/>
          </w:tcPr>
          <w:p>
            <w:r>
              <w:t>Residual Risk Summary</w:t>
            </w:r>
          </w:p>
        </w:tc>
        <w:tc>
          <w:tcPr>
            <w:tcW w:type="dxa" w:w="2160"/>
          </w:tcPr>
          <w:p>
            <w:r>
              <w:t>Chapter VII</w:t>
            </w:r>
          </w:p>
        </w:tc>
      </w:tr>
      <w:tr>
        <w:tc>
          <w:tcPr>
            <w:tcW w:type="dxa" w:w="1152"/>
          </w:tcPr>
          <w:p>
            <w:r>
              <w:t>Table 63</w:t>
            </w:r>
          </w:p>
        </w:tc>
        <w:tc>
          <w:tcPr>
            <w:tcW w:type="dxa" w:w="6048"/>
          </w:tcPr>
          <w:p>
            <w:r>
              <w:t>Root-Cause Analysis — Fishbone Contributing Factors</w:t>
            </w:r>
          </w:p>
        </w:tc>
        <w:tc>
          <w:tcPr>
            <w:tcW w:type="dxa" w:w="2160"/>
          </w:tcPr>
          <w:p>
            <w:r>
              <w:t>Chapter VII</w:t>
            </w:r>
          </w:p>
        </w:tc>
      </w:tr>
      <w:tr>
        <w:tc>
          <w:tcPr>
            <w:tcW w:type="dxa" w:w="1152"/>
          </w:tcPr>
          <w:p>
            <w:r>
              <w:t>Table 64</w:t>
            </w:r>
          </w:p>
        </w:tc>
        <w:tc>
          <w:tcPr>
            <w:tcW w:type="dxa" w:w="6048"/>
          </w:tcPr>
          <w:p>
            <w:r>
              <w:t>SWOT Analysis</w:t>
            </w:r>
          </w:p>
        </w:tc>
        <w:tc>
          <w:tcPr>
            <w:tcW w:type="dxa" w:w="2160"/>
          </w:tcPr>
          <w:p>
            <w:r>
              <w:t>Chapter VIII</w:t>
            </w:r>
          </w:p>
        </w:tc>
      </w:tr>
      <w:tr>
        <w:tc>
          <w:tcPr>
            <w:tcW w:type="dxa" w:w="1152"/>
          </w:tcPr>
          <w:p>
            <w:r>
              <w:t>Table 65</w:t>
            </w:r>
          </w:p>
        </w:tc>
        <w:tc>
          <w:tcPr>
            <w:tcW w:type="dxa" w:w="6048"/>
          </w:tcPr>
          <w:p>
            <w:r>
              <w:t>Appendix A — System Diagram Index</w:t>
            </w:r>
          </w:p>
        </w:tc>
        <w:tc>
          <w:tcPr>
            <w:tcW w:type="dxa" w:w="2160"/>
          </w:tcPr>
          <w:p>
            <w:r>
              <w:t>Chapter IX</w:t>
            </w:r>
          </w:p>
        </w:tc>
      </w:tr>
    </w:tbl>
    <w:p/>
    <w:p>
      <w:r>
        <w:br w:type="page"/>
      </w:r>
    </w:p>
    <w:p>
      <w:pPr>
        <w:pStyle w:val="Heading1"/>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1152"/>
          </w:tcPr>
          <w:p>
            <w:r>
              <w:rPr>
                <w:b/>
              </w:rPr>
              <w:t>Figure No.</w:t>
            </w:r>
          </w:p>
        </w:tc>
        <w:tc>
          <w:tcPr>
            <w:tcW w:type="dxa" w:w="6048"/>
          </w:tcPr>
          <w:p>
            <w:r>
              <w:rPr>
                <w:b/>
              </w:rPr>
              <w:t>Caption</w:t>
            </w:r>
          </w:p>
        </w:tc>
        <w:tc>
          <w:tcPr>
            <w:tcW w:type="dxa" w:w="2160"/>
          </w:tcPr>
          <w:p>
            <w:r>
              <w:rPr>
                <w:b/>
              </w:rPr>
              <w:t>Section</w:t>
            </w:r>
          </w:p>
        </w:tc>
      </w:tr>
      <w:tr>
        <w:tc>
          <w:tcPr>
            <w:tcW w:type="dxa" w:w="1152"/>
          </w:tcPr>
          <w:p>
            <w:r>
              <w:t>Figure 1</w:t>
            </w:r>
          </w:p>
        </w:tc>
        <w:tc>
          <w:tcPr>
            <w:tcW w:type="dxa" w:w="6048"/>
          </w:tcPr>
          <w:p>
            <w:r>
              <w:t>Sequence Diagram — User Registration &amp; Login</w:t>
            </w:r>
          </w:p>
        </w:tc>
        <w:tc>
          <w:tcPr>
            <w:tcW w:type="dxa" w:w="2160"/>
          </w:tcPr>
          <w:p>
            <w:r>
              <w:t>§3.1.1</w:t>
            </w:r>
          </w:p>
        </w:tc>
      </w:tr>
      <w:tr>
        <w:tc>
          <w:tcPr>
            <w:tcW w:type="dxa" w:w="1152"/>
          </w:tcPr>
          <w:p>
            <w:r>
              <w:t>Figure 2</w:t>
            </w:r>
          </w:p>
        </w:tc>
        <w:tc>
          <w:tcPr>
            <w:tcW w:type="dxa" w:w="6048"/>
          </w:tcPr>
          <w:p>
            <w:r>
              <w:t>Sequence Diagram — Order Placement &amp; Review Lifecycle</w:t>
            </w:r>
          </w:p>
        </w:tc>
        <w:tc>
          <w:tcPr>
            <w:tcW w:type="dxa" w:w="2160"/>
          </w:tcPr>
          <w:p>
            <w:r>
              <w:t>§3.1.2</w:t>
            </w:r>
          </w:p>
        </w:tc>
      </w:tr>
      <w:tr>
        <w:tc>
          <w:tcPr>
            <w:tcW w:type="dxa" w:w="1152"/>
          </w:tcPr>
          <w:p>
            <w:r>
              <w:t>Figure 3</w:t>
            </w:r>
          </w:p>
        </w:tc>
        <w:tc>
          <w:tcPr>
            <w:tcW w:type="dxa" w:w="6048"/>
          </w:tcPr>
          <w:p>
            <w:r>
              <w:t>Sequence Diagram — Brand Verification</w:t>
            </w:r>
          </w:p>
        </w:tc>
        <w:tc>
          <w:tcPr>
            <w:tcW w:type="dxa" w:w="2160"/>
          </w:tcPr>
          <w:p>
            <w:r>
              <w:t>§3.1.3</w:t>
            </w:r>
          </w:p>
        </w:tc>
      </w:tr>
      <w:tr>
        <w:tc>
          <w:tcPr>
            <w:tcW w:type="dxa" w:w="1152"/>
          </w:tcPr>
          <w:p>
            <w:r>
              <w:t>Figure 4</w:t>
            </w:r>
          </w:p>
        </w:tc>
        <w:tc>
          <w:tcPr>
            <w:tcW w:type="dxa" w:w="6048"/>
          </w:tcPr>
          <w:p>
            <w:r>
              <w:t>Data Flow Diagram Level 0 — Context Diagram</w:t>
            </w:r>
          </w:p>
        </w:tc>
        <w:tc>
          <w:tcPr>
            <w:tcW w:type="dxa" w:w="2160"/>
          </w:tcPr>
          <w:p>
            <w:r>
              <w:t>§3.2.1</w:t>
            </w:r>
          </w:p>
        </w:tc>
      </w:tr>
      <w:tr>
        <w:tc>
          <w:tcPr>
            <w:tcW w:type="dxa" w:w="1152"/>
          </w:tcPr>
          <w:p>
            <w:r>
              <w:t>Figure 5</w:t>
            </w:r>
          </w:p>
        </w:tc>
        <w:tc>
          <w:tcPr>
            <w:tcW w:type="dxa" w:w="6048"/>
          </w:tcPr>
          <w:p>
            <w:r>
              <w:t>Data Flow Diagram Level 1 — Sub-Process Decomposition</w:t>
            </w:r>
          </w:p>
        </w:tc>
        <w:tc>
          <w:tcPr>
            <w:tcW w:type="dxa" w:w="2160"/>
          </w:tcPr>
          <w:p>
            <w:r>
              <w:t>§3.2.2</w:t>
            </w:r>
          </w:p>
        </w:tc>
      </w:tr>
      <w:tr>
        <w:tc>
          <w:tcPr>
            <w:tcW w:type="dxa" w:w="1152"/>
          </w:tcPr>
          <w:p>
            <w:r>
              <w:t>Figure 6</w:t>
            </w:r>
          </w:p>
        </w:tc>
        <w:tc>
          <w:tcPr>
            <w:tcW w:type="dxa" w:w="6048"/>
          </w:tcPr>
          <w:p>
            <w:r>
              <w:t>Activity Diagram — Order Placement Process</w:t>
            </w:r>
          </w:p>
        </w:tc>
        <w:tc>
          <w:tcPr>
            <w:tcW w:type="dxa" w:w="2160"/>
          </w:tcPr>
          <w:p>
            <w:r>
              <w:t>§3.4</w:t>
            </w:r>
          </w:p>
        </w:tc>
      </w:tr>
      <w:tr>
        <w:tc>
          <w:tcPr>
            <w:tcW w:type="dxa" w:w="1152"/>
          </w:tcPr>
          <w:p>
            <w:r>
              <w:t>Figure 7</w:t>
            </w:r>
          </w:p>
        </w:tc>
        <w:tc>
          <w:tcPr>
            <w:tcW w:type="dxa" w:w="6048"/>
          </w:tcPr>
          <w:p>
            <w:r>
              <w:t>Finite State Machine — Order Lifecycle (11 Transitions)</w:t>
            </w:r>
          </w:p>
        </w:tc>
        <w:tc>
          <w:tcPr>
            <w:tcW w:type="dxa" w:w="2160"/>
          </w:tcPr>
          <w:p>
            <w:r>
              <w:t>§3.5.1</w:t>
            </w:r>
          </w:p>
        </w:tc>
      </w:tr>
      <w:tr>
        <w:tc>
          <w:tcPr>
            <w:tcW w:type="dxa" w:w="1152"/>
          </w:tcPr>
          <w:p>
            <w:r>
              <w:t>Figure 8</w:t>
            </w:r>
          </w:p>
        </w:tc>
        <w:tc>
          <w:tcPr>
            <w:tcW w:type="dxa" w:w="6048"/>
          </w:tcPr>
          <w:p>
            <w:r>
              <w:t>Finite State Machine — Brand Verification (5 Transitions)</w:t>
            </w:r>
          </w:p>
        </w:tc>
        <w:tc>
          <w:tcPr>
            <w:tcW w:type="dxa" w:w="2160"/>
          </w:tcPr>
          <w:p>
            <w:r>
              <w:t>§3.5.2</w:t>
            </w:r>
          </w:p>
        </w:tc>
      </w:tr>
      <w:tr>
        <w:tc>
          <w:tcPr>
            <w:tcW w:type="dxa" w:w="1152"/>
          </w:tcPr>
          <w:p>
            <w:r>
              <w:t>Figure 9</w:t>
            </w:r>
          </w:p>
        </w:tc>
        <w:tc>
          <w:tcPr>
            <w:tcW w:type="dxa" w:w="6048"/>
          </w:tcPr>
          <w:p>
            <w:r>
              <w:t>Class Diagram — Core Entity Model (10 Entities)</w:t>
            </w:r>
          </w:p>
        </w:tc>
        <w:tc>
          <w:tcPr>
            <w:tcW w:type="dxa" w:w="2160"/>
          </w:tcPr>
          <w:p>
            <w:r>
              <w:t>§3.7</w:t>
            </w:r>
          </w:p>
        </w:tc>
      </w:tr>
      <w:tr>
        <w:tc>
          <w:tcPr>
            <w:tcW w:type="dxa" w:w="1152"/>
          </w:tcPr>
          <w:p>
            <w:r>
              <w:t>Figure 10</w:t>
            </w:r>
          </w:p>
        </w:tc>
        <w:tc>
          <w:tcPr>
            <w:tcW w:type="dxa" w:w="6048"/>
          </w:tcPr>
          <w:p>
            <w:r>
              <w:t>Physical Deployment Diagram — Vercel / Supabase Architecture</w:t>
            </w:r>
          </w:p>
        </w:tc>
        <w:tc>
          <w:tcPr>
            <w:tcW w:type="dxa" w:w="2160"/>
          </w:tcPr>
          <w:p>
            <w:r>
              <w:t>§4.6</w:t>
            </w:r>
          </w:p>
        </w:tc>
      </w:tr>
      <w:tr>
        <w:tc>
          <w:tcPr>
            <w:tcW w:type="dxa" w:w="1152"/>
          </w:tcPr>
          <w:p>
            <w:r>
              <w:t>Figure 11</w:t>
            </w:r>
          </w:p>
        </w:tc>
        <w:tc>
          <w:tcPr>
            <w:tcW w:type="dxa" w:w="6048"/>
          </w:tcPr>
          <w:p>
            <w:r>
              <w:t>Kuwait B2B Hub — Final Project Folder Structure</w:t>
            </w:r>
          </w:p>
        </w:tc>
        <w:tc>
          <w:tcPr>
            <w:tcW w:type="dxa" w:w="2160"/>
          </w:tcPr>
          <w:p>
            <w:r>
              <w:t>§4.3</w:t>
            </w:r>
          </w:p>
        </w:tc>
      </w:tr>
      <w:tr>
        <w:tc>
          <w:tcPr>
            <w:tcW w:type="dxa" w:w="1152"/>
          </w:tcPr>
          <w:p>
            <w:r>
              <w:t>Figure 12</w:t>
            </w:r>
          </w:p>
        </w:tc>
        <w:tc>
          <w:tcPr>
            <w:tcW w:type="dxa" w:w="6048"/>
          </w:tcPr>
          <w:p>
            <w:r>
              <w:t>Gantt Chart — Project Schedule (8 Sprints)</w:t>
            </w:r>
          </w:p>
        </w:tc>
        <w:tc>
          <w:tcPr>
            <w:tcW w:type="dxa" w:w="2160"/>
          </w:tcPr>
          <w:p>
            <w:r>
              <w:t>§7.2</w:t>
            </w:r>
          </w:p>
        </w:tc>
      </w:tr>
      <w:tr>
        <w:tc>
          <w:tcPr>
            <w:tcW w:type="dxa" w:w="1152"/>
          </w:tcPr>
          <w:p>
            <w:r>
              <w:t>Figure 13</w:t>
            </w:r>
          </w:p>
        </w:tc>
        <w:tc>
          <w:tcPr>
            <w:tcW w:type="dxa" w:w="6048"/>
          </w:tcPr>
          <w:p>
            <w:r>
              <w:t>Risk Heat Map — Likelihood × Impact Grid</w:t>
            </w:r>
          </w:p>
        </w:tc>
        <w:tc>
          <w:tcPr>
            <w:tcW w:type="dxa" w:w="2160"/>
          </w:tcPr>
          <w:p>
            <w:r>
              <w:t>§7.6.4</w:t>
            </w:r>
          </w:p>
        </w:tc>
      </w:tr>
      <w:tr>
        <w:tc>
          <w:tcPr>
            <w:tcW w:type="dxa" w:w="1152"/>
          </w:tcPr>
          <w:p>
            <w:r>
              <w:t>Figure 14</w:t>
            </w:r>
          </w:p>
        </w:tc>
        <w:tc>
          <w:tcPr>
            <w:tcW w:type="dxa" w:w="6048"/>
          </w:tcPr>
          <w:p>
            <w:r>
              <w:t>Fishbone Diagram — Root-Cause Analysis</w:t>
            </w:r>
          </w:p>
        </w:tc>
        <w:tc>
          <w:tcPr>
            <w:tcW w:type="dxa" w:w="2160"/>
          </w:tcPr>
          <w:p>
            <w:r>
              <w:t>§7.7</w:t>
            </w:r>
          </w:p>
        </w:tc>
      </w:tr>
    </w:tbl>
    <w:p/>
    <w:p>
      <w:r>
        <w:br w:type="page"/>
      </w:r>
    </w:p>
    <w:p>
      <w:pPr>
        <w:jc w:val="center"/>
      </w:pPr>
      <w:r>
        <w:rPr>
          <w:b/>
          <w:sz w:val="52"/>
        </w:rPr>
        <w:t>Kuwait B2B Hub</w:t>
      </w:r>
    </w:p>
    <w:p>
      <w:pPr>
        <w:jc w:val="center"/>
      </w:pPr>
      <w:r>
        <w:rPr>
          <w:b/>
          <w:sz w:val="40"/>
        </w:rPr>
        <w:t>Final Project Report</w:t>
      </w:r>
    </w:p>
    <w:p/>
    <w:p>
      <w:pPr>
        <w:jc w:val="center"/>
      </w:pPr>
      <w:r>
        <w:t>Course: Software Engineering</w:t>
      </w:r>
    </w:p>
    <w:p>
      <w:pPr>
        <w:jc w:val="center"/>
      </w:pPr>
      <w:r>
        <w:t>Institution: American University of the Middle East (AUM)</w:t>
      </w:r>
    </w:p>
    <w:p>
      <w:pPr>
        <w:jc w:val="center"/>
      </w:pPr>
      <w:r>
        <w:t>Supervisor: Dr. Rababaah</w:t>
      </w:r>
    </w:p>
    <w:p>
      <w:pPr>
        <w:jc w:val="center"/>
      </w:pPr>
      <w:r>
        <w:t>Date: May 2026</w:t>
      </w:r>
    </w:p>
    <w:p>
      <w:pPr>
        <w:jc w:val="center"/>
      </w:pPr>
    </w:p>
    <w:p>
      <w:pPr>
        <w:jc w:val="center"/>
      </w:pPr>
      <w:r>
        <w:t>Platform: B2B Wholesale Marketplace for Kuwait &amp; GCC</w:t>
      </w:r>
    </w:p>
    <w:p>
      <w:pPr>
        <w:jc w:val="center"/>
      </w:pPr>
    </w:p>
    <w:p>
      <w:pPr>
        <w:jc w:val="center"/>
      </w:pPr>
      <w:r>
        <w:t>Team Members</w:t>
      </w:r>
    </w:p>
    <w:p>
      <w:pPr>
        <w:jc w:val="center"/>
      </w:pPr>
      <w:r>
        <w:t>Bader Alnoumas — S00059026</w:t>
      </w:r>
    </w:p>
    <w:p>
      <w:pPr>
        <w:jc w:val="center"/>
      </w:pPr>
      <w:r>
        <w:t>Abdullah Abduljaleel — S00056040</w:t>
      </w:r>
    </w:p>
    <w:p>
      <w:pPr>
        <w:jc w:val="center"/>
      </w:pPr>
      <w:r>
        <w:t>Abdullah Subhi — S00054535</w:t>
      </w:r>
    </w:p>
    <w:p>
      <w:pPr>
        <w:jc w:val="center"/>
      </w:pPr>
      <w:r>
        <w:t>Salah Abdulfattah — S00052772</w:t>
      </w:r>
    </w:p>
    <w:p>
      <w:r>
        <w:br w:type="page"/>
      </w:r>
    </w:p>
    <w:p>
      <w:pPr>
        <w:pStyle w:val="Heading1"/>
      </w:pPr>
      <w:r>
        <w:t>CHAPTER I — INTRODUCTION</w:t>
      </w:r>
    </w:p>
    <w:p>
      <w:pPr>
        <w:pStyle w:val="Heading2"/>
      </w:pPr>
      <w:r>
        <w:t>1.1  Background</w:t>
      </w:r>
    </w:p>
    <w:p>
      <w:pPr/>
      <w:r>
        <w:t>Kuwait's wholesale and business-to-business (B2B) trading sector has historically been characterised by an informal, relationship-driven model in which procurement decisions are negotiated via personal networks, telephone calls, and increasingly through consumer messaging applications such as WhatsApp. While this model functioned adequately in a smaller, more localised economy, it has become a significant barrier to efficiency as Kuwait's commercial sector expands in line with the National Vision 2035 and the Gulf Cooperation Council's (GCC) broader digital economy agenda. The absence of a structured digital marketplace means that buyers cannot efficiently discover new suppliers, verify their credentials, compare pricing transparently, or track the fulfilment status of placed orders — all capabilities that are taken for granted in B2B platforms serving more mature markets. Wholesale distributors and brand owners, for their part, lack the tooling to manage catalogue data, enforce minimum order quantities, or build a verifiable digital reputation that can be shared with prospective buyers without manual reference checks.</w:t>
      </w:r>
    </w:p>
    <w:p>
      <w:pPr/>
      <w:r>
        <w:t>The Kuwait B2B Hub was conceived as a direct response to this structural gap. The platform provides a managed, trust-centric digital environment in which Kuwaiti and GCC wholesale brands can register, list their product catalogues with structured bulk-pricing tiers, and transact with verified business buyers under a regulated order lifecycle. By centralising brand discovery, product browsing, order management, and reputation building within a single bilingual (Arabic and English) platform, the Kuwait B2B Hub replaces the fragmented, informal channel with a professional, auditable, and scalable alternative. The platform further addresses the GCC's multicurrency reality by supporting live display in Kuwaiti Dinar (KWD), Saudi Riyal (SAR), UAE Dirham (AED), and Bahraini Dinar (BHD), reducing the cognitive friction that arises when buyers and sellers operate across different currency jurisdictions. A dual-sided trust scoring engine — computing composite reputation metrics for both brands and buyers from historical order behaviour — addresses the fundamental credibility problem that informal markets cannot solve: how to transact confidently with parties one has never met in person.</w:t>
      </w:r>
    </w:p>
    <w:p>
      <w:pPr/>
      <w:r>
        <w:t>From a technical perspective, the Kuwait B2B Hub is built on a modern full-stack architecture leveraging Next.js 16 with the App Router paradigm, TypeScript for compile-time type safety across all 93 source files, Supabase for authentication and production database management, and Vercel for cloud deployment with automatic CI/CD. The system was designed from the outset with a separation-of-concerns principle: the presentation layer is decoupled from business logic via a RESTful API layer comprising 25 serverless route handlers, and data access is abstracted through a centralised module that permits seamless migration from the MVP's JSON prototype store to a production-grade PostgreSQL database without modifying the API contracts. The codebase totals 11.35 KLOC across 93 source files, with the largest concentration in reusable UI components (33.5%) and buyer/brand-facing page routes (40.1% combined). This document constitutes the Final Project Report for the Kuwait B2B Hub, submitted in partial fulfilment of the Software Engineering course requirements at the American University of the Middle East.</w:t>
      </w:r>
    </w:p>
    <w:p>
      <w:pPr>
        <w:pStyle w:val="Heading2"/>
      </w:pPr>
      <w:r>
        <w:t>1.2  System Overview</w:t>
      </w:r>
    </w:p>
    <w:p>
      <w:pPr/>
      <w:r>
        <w:t>The Kuwait B2B Hub is a digital wholesale marketplace platform targeting the Kuwaiti and broader GCC business community. The following subsections outline the system's primary goals, architectural structure, user roles, and core technology choices.</w:t>
      </w:r>
    </w:p>
    <w:p>
      <w:pPr>
        <w:pStyle w:val="Heading3"/>
      </w:pPr>
      <w:r>
        <w:t>Goals</w:t>
      </w:r>
    </w:p>
    <w:p>
      <w:pPr>
        <w:pStyle w:val="ListBullet"/>
      </w:pPr>
      <w:r>
        <w:t>Professionalise B2B wholesale trading in Kuwait by replacing informal WhatsApp-based procurement with a structured, digital workflow that provides full transaction audit trails.</w:t>
      </w:r>
    </w:p>
    <w:p>
      <w:pPr>
        <w:pStyle w:val="ListBullet"/>
      </w:pPr>
      <w:r>
        <w:t>Provide verified brand discovery, enabling buyers to identify and engage with credentialed Kuwaiti suppliers confidently through administrative verification and tiered badges.</w:t>
      </w:r>
    </w:p>
    <w:p>
      <w:pPr>
        <w:pStyle w:val="ListBullet"/>
      </w:pPr>
      <w:r>
        <w:t>Enforce structured order management with a full status lifecycle (pending → approved → completed / rejected) and in-app notifications at every transition.</w:t>
      </w:r>
    </w:p>
    <w:p>
      <w:pPr>
        <w:pStyle w:val="ListBullet"/>
      </w:pPr>
      <w:r>
        <w:t>Build trust through a dual-sided reputation system covering both brand trustworthiness (response rate, completion rate, fulfilment speed) and buyer reliability (completion rate, cancellation rate).</w:t>
      </w:r>
    </w:p>
    <w:p>
      <w:pPr>
        <w:pStyle w:val="ListBullet"/>
      </w:pPr>
      <w:r>
        <w:t>Support bilingual operation — Arabic RTL and English LTR — to serve both local and expatriate business communities throughout Kuwait and the GCC.</w:t>
      </w:r>
    </w:p>
    <w:p>
      <w:pPr>
        <w:pStyle w:val="ListBullet"/>
      </w:pPr>
      <w:r>
        <w:t>Enable GCC multi-market expansion by supporting multiple currencies, VAT configurations per country, and market-specific brand visibility settings.</w:t>
      </w:r>
    </w:p>
    <w:p>
      <w:pPr>
        <w:pStyle w:val="Heading3"/>
      </w:pPr>
      <w:r>
        <w:t>System Architecture</w:t>
      </w:r>
    </w:p>
    <w:p>
      <w:pPr/>
      <w:r>
        <w:t>The platform follows a four-layer architectural model:</w:t>
      </w:r>
    </w:p>
    <w:tbl>
      <w:tblPr>
        <w:tblStyle w:val="TableGrid"/>
        <w:tblW w:type="auto" w:w="0"/>
        <w:tblLook w:firstColumn="1" w:firstRow="1" w:lastColumn="0" w:lastRow="0" w:noHBand="0" w:noVBand="1" w:val="04A0"/>
      </w:tblPr>
      <w:tblGrid>
        <w:gridCol w:w="4320"/>
        <w:gridCol w:w="4320"/>
      </w:tblGrid>
      <w:tr>
        <w:tc>
          <w:tcPr>
            <w:tcW w:type="dxa" w:w="2592"/>
          </w:tcPr>
          <w:p>
            <w:r>
              <w:rPr>
                <w:b/>
              </w:rPr>
              <w:t>Layer</w:t>
            </w:r>
          </w:p>
        </w:tc>
        <w:tc>
          <w:tcPr>
            <w:tcW w:type="dxa" w:w="6768"/>
          </w:tcPr>
          <w:p>
            <w:r>
              <w:rPr>
                <w:b/>
              </w:rPr>
              <w:t>Description</w:t>
            </w:r>
          </w:p>
        </w:tc>
      </w:tr>
      <w:tr>
        <w:tc>
          <w:tcPr>
            <w:tcW w:type="dxa" w:w="2592"/>
          </w:tcPr>
          <w:p>
            <w:r>
              <w:t>Presentation Layer</w:t>
            </w:r>
          </w:p>
        </w:tc>
        <w:tc>
          <w:tcPr>
            <w:tcW w:type="dxa" w:w="6768"/>
          </w:tcPr>
          <w:p>
            <w:r>
              <w:t>React/TSX pages and reusable components; CSS Modules for styling; Lucide React for iconography; Recharts for analytics visualisations on dashboards.</w:t>
            </w:r>
          </w:p>
        </w:tc>
      </w:tr>
      <w:tr>
        <w:tc>
          <w:tcPr>
            <w:tcW w:type="dxa" w:w="2592"/>
          </w:tcPr>
          <w:p>
            <w:r>
              <w:t>Application / API Layer</w:t>
            </w:r>
          </w:p>
        </w:tc>
        <w:tc>
          <w:tcPr>
            <w:tcW w:type="dxa" w:w="6768"/>
          </w:tcPr>
          <w:p>
            <w:r>
              <w:t>Next.js 16 App Router route handlers providing a RESTful JSON API under /api/*. Authentication middleware enforces RBAC at the network boundary before business logic executes.</w:t>
            </w:r>
          </w:p>
        </w:tc>
      </w:tr>
      <w:tr>
        <w:tc>
          <w:tcPr>
            <w:tcW w:type="dxa" w:w="2592"/>
          </w:tcPr>
          <w:p>
            <w:r>
              <w:t>Data Access Layer</w:t>
            </w:r>
          </w:p>
        </w:tc>
        <w:tc>
          <w:tcPr>
            <w:tcW w:type="dxa" w:w="6768"/>
          </w:tcPr>
          <w:p>
            <w:r>
              <w:t>A centralised db.ts module abstracts all reads and writes behind readDB(), writeDB(), and generateId(). The MVP uses a JSON flat-file store; the production target is Supabase PostgreSQL, with migration scaffolded and ready.</w:t>
            </w:r>
          </w:p>
        </w:tc>
      </w:tr>
      <w:tr>
        <w:tc>
          <w:tcPr>
            <w:tcW w:type="dxa" w:w="2592"/>
          </w:tcPr>
          <w:p>
            <w:r>
              <w:t>External Services Layer</w:t>
            </w:r>
          </w:p>
        </w:tc>
        <w:tc>
          <w:tcPr>
            <w:tcW w:type="dxa" w:w="6768"/>
          </w:tcPr>
          <w:p>
            <w:r>
              <w:t>Supabase (JWT authentication + managed database), WhatsApp Business links, Vercel hosting with global CDN, and a configurable live-exchange-rate API for GCC currency conversions.</w:t>
            </w:r>
          </w:p>
        </w:tc>
      </w:tr>
    </w:tbl>
    <w:p/>
    <w:p>
      <w:pPr>
        <w:pStyle w:val="Heading3"/>
      </w:pPr>
      <w:r>
        <w:t>User Roles</w:t>
      </w:r>
    </w:p>
    <w:p>
      <w:pPr/>
      <w:r>
        <w:t>The system defines three distinct actor roles, each with a segregated permission set and dedicated UI portal:</w:t>
      </w:r>
    </w:p>
    <w:tbl>
      <w:tblPr>
        <w:tblStyle w:val="TableGrid"/>
        <w:tblW w:type="auto" w:w="0"/>
        <w:tblLook w:firstColumn="1" w:firstRow="1" w:lastColumn="0" w:lastRow="0" w:noHBand="0" w:noVBand="1" w:val="04A0"/>
      </w:tblPr>
      <w:tblGrid>
        <w:gridCol w:w="4320"/>
        <w:gridCol w:w="4320"/>
      </w:tblGrid>
      <w:tr>
        <w:tc>
          <w:tcPr>
            <w:tcW w:type="dxa" w:w="2160"/>
          </w:tcPr>
          <w:p>
            <w:r>
              <w:rPr>
                <w:b/>
              </w:rPr>
              <w:t>Role</w:t>
            </w:r>
          </w:p>
        </w:tc>
        <w:tc>
          <w:tcPr>
            <w:tcW w:type="dxa" w:w="7200"/>
          </w:tcPr>
          <w:p>
            <w:r>
              <w:rPr>
                <w:b/>
              </w:rPr>
              <w:t>Description</w:t>
            </w:r>
          </w:p>
        </w:tc>
      </w:tr>
      <w:tr>
        <w:tc>
          <w:tcPr>
            <w:tcW w:type="dxa" w:w="2160"/>
          </w:tcPr>
          <w:p>
            <w:r>
              <w:t>Admin</w:t>
            </w:r>
          </w:p>
        </w:tc>
        <w:tc>
          <w:tcPr>
            <w:tcW w:type="dxa" w:w="7200"/>
          </w:tcPr>
          <w:p>
            <w:r>
              <w:t>Platform administrators responsible for brand verification, user management, order monitoring, and review moderation. Full platform-wide data visibility. Accounts are created internally.</w:t>
            </w:r>
          </w:p>
        </w:tc>
      </w:tr>
      <w:tr>
        <w:tc>
          <w:tcPr>
            <w:tcW w:type="dxa" w:w="2160"/>
          </w:tcPr>
          <w:p>
            <w:r>
              <w:t>Brand Owner</w:t>
            </w:r>
          </w:p>
        </w:tc>
        <w:tc>
          <w:tcPr>
            <w:tcW w:type="dxa" w:w="7200"/>
          </w:tcPr>
          <w:p>
            <w:r>
              <w:t>Kuwaiti wholesale suppliers who create brand profiles, list products with bulk-pricing tiers, process buyer orders, and respond to reviews via a dedicated brand portal. Subscription: KD 29 / month with a 14-day free trial.</w:t>
            </w:r>
          </w:p>
        </w:tc>
      </w:tr>
      <w:tr>
        <w:tc>
          <w:tcPr>
            <w:tcW w:type="dxa" w:w="2160"/>
          </w:tcPr>
          <w:p>
            <w:r>
              <w:t>Business Buyer</w:t>
            </w:r>
          </w:p>
        </w:tc>
        <w:tc>
          <w:tcPr>
            <w:tcW w:type="dxa" w:w="7200"/>
          </w:tcPr>
          <w:p>
            <w:r>
              <w:t>Retail and wholesale procurement professionals who browse verified brands, view product catalogues, submit bulk orders, track fulfilment, and leave reviews. Free to use.</w:t>
            </w:r>
          </w:p>
        </w:tc>
      </w:tr>
    </w:tbl>
    <w:p/>
    <w:p>
      <w:pPr>
        <w:pStyle w:val="Heading3"/>
      </w:pPr>
      <w:r>
        <w:t>Technology Stack</w:t>
      </w:r>
    </w:p>
    <w:tbl>
      <w:tblPr>
        <w:tblStyle w:val="TableGrid"/>
        <w:tblW w:type="auto" w:w="0"/>
        <w:tblLook w:firstColumn="1" w:firstRow="1" w:lastColumn="0" w:lastRow="0" w:noHBand="0" w:noVBand="1" w:val="04A0"/>
      </w:tblPr>
      <w:tblGrid>
        <w:gridCol w:w="4320"/>
        <w:gridCol w:w="4320"/>
      </w:tblGrid>
      <w:tr>
        <w:tc>
          <w:tcPr>
            <w:tcW w:type="dxa" w:w="2880"/>
          </w:tcPr>
          <w:p>
            <w:r>
              <w:rPr>
                <w:b/>
              </w:rPr>
              <w:t>Component</w:t>
            </w:r>
          </w:p>
        </w:tc>
        <w:tc>
          <w:tcPr>
            <w:tcW w:type="dxa" w:w="6480"/>
          </w:tcPr>
          <w:p>
            <w:r>
              <w:rPr>
                <w:b/>
              </w:rPr>
              <w:t>Technology</w:t>
            </w:r>
          </w:p>
        </w:tc>
      </w:tr>
      <w:tr>
        <w:tc>
          <w:tcPr>
            <w:tcW w:type="dxa" w:w="2880"/>
          </w:tcPr>
          <w:p>
            <w:r>
              <w:t>Frontend Framework</w:t>
            </w:r>
          </w:p>
        </w:tc>
        <w:tc>
          <w:tcPr>
            <w:tcW w:type="dxa" w:w="6480"/>
          </w:tcPr>
          <w:p>
            <w:r>
              <w:t>Next.js 16.2.2 with App Router; TypeScript 5 (strict mode)</w:t>
            </w:r>
          </w:p>
        </w:tc>
      </w:tr>
      <w:tr>
        <w:tc>
          <w:tcPr>
            <w:tcW w:type="dxa" w:w="2880"/>
          </w:tcPr>
          <w:p>
            <w:r>
              <w:t>UI &amp; Styling</w:t>
            </w:r>
          </w:p>
        </w:tc>
        <w:tc>
          <w:tcPr>
            <w:tcW w:type="dxa" w:w="6480"/>
          </w:tcPr>
          <w:p>
            <w:r>
              <w:t>CSS Modules; Lucide React icons; Recharts / Chart.js analytics</w:t>
            </w:r>
          </w:p>
        </w:tc>
      </w:tr>
      <w:tr>
        <w:tc>
          <w:tcPr>
            <w:tcW w:type="dxa" w:w="2880"/>
          </w:tcPr>
          <w:p>
            <w:r>
              <w:t>State Management</w:t>
            </w:r>
          </w:p>
        </w:tc>
        <w:tc>
          <w:tcPr>
            <w:tcW w:type="dxa" w:w="6480"/>
          </w:tcPr>
          <w:p>
            <w:r>
              <w:t>Zustand 5.0.12 (notification store); React Context (currency)</w:t>
            </w:r>
          </w:p>
        </w:tc>
      </w:tr>
      <w:tr>
        <w:tc>
          <w:tcPr>
            <w:tcW w:type="dxa" w:w="2880"/>
          </w:tcPr>
          <w:p>
            <w:r>
              <w:t>Internationalisation</w:t>
            </w:r>
          </w:p>
        </w:tc>
        <w:tc>
          <w:tcPr>
            <w:tcW w:type="dxa" w:w="6480"/>
          </w:tcPr>
          <w:p>
            <w:r>
              <w:t>next-intl 4.9.0 — English &amp; Arabic with full RTL support</w:t>
            </w:r>
          </w:p>
        </w:tc>
      </w:tr>
      <w:tr>
        <w:tc>
          <w:tcPr>
            <w:tcW w:type="dxa" w:w="2880"/>
          </w:tcPr>
          <w:p>
            <w:r>
              <w:t>Authentication</w:t>
            </w:r>
          </w:p>
        </w:tc>
        <w:tc>
          <w:tcPr>
            <w:tcW w:type="dxa" w:w="6480"/>
          </w:tcPr>
          <w:p>
            <w:r>
              <w:t>Supabase Auth with SSR session management via @supabase/ssr ^0.10.0</w:t>
            </w:r>
          </w:p>
        </w:tc>
      </w:tr>
      <w:tr>
        <w:tc>
          <w:tcPr>
            <w:tcW w:type="dxa" w:w="2880"/>
          </w:tcPr>
          <w:p>
            <w:r>
              <w:t>Database (MVP)</w:t>
            </w:r>
          </w:p>
        </w:tc>
        <w:tc>
          <w:tcPr>
            <w:tcW w:type="dxa" w:w="6480"/>
          </w:tcPr>
          <w:p>
            <w:r>
              <w:t>JSON flat-file (src/data/db.json) via custom db.ts abstraction</w:t>
            </w:r>
          </w:p>
        </w:tc>
      </w:tr>
      <w:tr>
        <w:tc>
          <w:tcPr>
            <w:tcW w:type="dxa" w:w="2880"/>
          </w:tcPr>
          <w:p>
            <w:r>
              <w:t>Database (Prod.)</w:t>
            </w:r>
          </w:p>
        </w:tc>
        <w:tc>
          <w:tcPr>
            <w:tcW w:type="dxa" w:w="6480"/>
          </w:tcPr>
          <w:p>
            <w:r>
              <w:t>Supabase managed PostgreSQL — migration path scaffolded</w:t>
            </w:r>
          </w:p>
        </w:tc>
      </w:tr>
      <w:tr>
        <w:tc>
          <w:tcPr>
            <w:tcW w:type="dxa" w:w="2880"/>
          </w:tcPr>
          <w:p>
            <w:r>
              <w:t>Data Import</w:t>
            </w:r>
          </w:p>
        </w:tc>
        <w:tc>
          <w:tcPr>
            <w:tcW w:type="dxa" w:w="6480"/>
          </w:tcPr>
          <w:p>
            <w:r>
              <w:t>xlsx 0.18.5 — Excel/CSV bulk product catalogue import</w:t>
            </w:r>
          </w:p>
        </w:tc>
      </w:tr>
      <w:tr>
        <w:tc>
          <w:tcPr>
            <w:tcW w:type="dxa" w:w="2880"/>
          </w:tcPr>
          <w:p>
            <w:r>
              <w:t>Hosting &amp; CI/CD</w:t>
            </w:r>
          </w:p>
        </w:tc>
        <w:tc>
          <w:tcPr>
            <w:tcW w:type="dxa" w:w="6480"/>
          </w:tcPr>
          <w:p>
            <w:r>
              <w:t>Vercel — serverless deployment, global CDN, automatic Git pipeline</w:t>
            </w:r>
          </w:p>
        </w:tc>
      </w:tr>
    </w:tbl>
    <w:p/>
    <w:p>
      <w:pPr>
        <w:pStyle w:val="Heading2"/>
      </w:pPr>
      <w:r>
        <w:t>1.3  Document Conventions</w:t>
      </w:r>
    </w:p>
    <w:p>
      <w:pPr/>
      <w:r>
        <w:t>This section defines the terms, acronyms, abbreviations, and symbols used throughout this report. Readers unfamiliar with any entry should consult the definitions below before proceeding to the technical chapters.</w:t>
      </w:r>
    </w:p>
    <w:p>
      <w:pPr>
        <w:pStyle w:val="Heading3"/>
      </w:pPr>
      <w:r>
        <w:t>Glossary of Terms</w:t>
      </w:r>
    </w:p>
    <w:tbl>
      <w:tblPr>
        <w:tblStyle w:val="TableGrid"/>
        <w:tblW w:type="auto" w:w="0"/>
        <w:tblLook w:firstColumn="1" w:firstRow="1" w:lastColumn="0" w:lastRow="0" w:noHBand="0" w:noVBand="1" w:val="04A0"/>
      </w:tblPr>
      <w:tblGrid>
        <w:gridCol w:w="4320"/>
        <w:gridCol w:w="4320"/>
      </w:tblGrid>
      <w:tr>
        <w:tc>
          <w:tcPr>
            <w:tcW w:type="dxa" w:w="2592"/>
          </w:tcPr>
          <w:p>
            <w:r>
              <w:rPr>
                <w:b/>
              </w:rPr>
              <w:t>Term</w:t>
            </w:r>
          </w:p>
        </w:tc>
        <w:tc>
          <w:tcPr>
            <w:tcW w:type="dxa" w:w="6768"/>
          </w:tcPr>
          <w:p>
            <w:r>
              <w:rPr>
                <w:b/>
              </w:rPr>
              <w:t>Definition</w:t>
            </w:r>
          </w:p>
        </w:tc>
      </w:tr>
      <w:tr>
        <w:tc>
          <w:tcPr>
            <w:tcW w:type="dxa" w:w="2592"/>
          </w:tcPr>
          <w:p>
            <w:r>
              <w:t>B2B</w:t>
            </w:r>
          </w:p>
        </w:tc>
        <w:tc>
          <w:tcPr>
            <w:tcW w:type="dxa" w:w="6768"/>
          </w:tcPr>
          <w:p>
            <w:r>
              <w:t>Business-to-Business — commercial transactions conducted between companies rather than between a company and an individual consumer.</w:t>
            </w:r>
          </w:p>
        </w:tc>
      </w:tr>
      <w:tr>
        <w:tc>
          <w:tcPr>
            <w:tcW w:type="dxa" w:w="2592"/>
          </w:tcPr>
          <w:p>
            <w:r>
              <w:t>Brand</w:t>
            </w:r>
          </w:p>
        </w:tc>
        <w:tc>
          <w:tcPr>
            <w:tcW w:type="dxa" w:w="6768"/>
          </w:tcPr>
          <w:p>
            <w:r>
              <w:t>A registered wholesale supplier or manufacturer on the Kuwait B2B Hub platform, subject to administrative verification before appearing on the marketplace.</w:t>
            </w:r>
          </w:p>
        </w:tc>
      </w:tr>
      <w:tr>
        <w:tc>
          <w:tcPr>
            <w:tcW w:type="dxa" w:w="2592"/>
          </w:tcPr>
          <w:p>
            <w:r>
              <w:t>Brand Trust Score</w:t>
            </w:r>
          </w:p>
        </w:tc>
        <w:tc>
          <w:tcPr>
            <w:tcW w:type="dxa" w:w="6768"/>
          </w:tcPr>
          <w:p>
            <w:r>
              <w:t>A composite metric calculated from a brand's order response rate, completion rate, and average fulfilment time, used to signal reliability to prospective buyers.</w:t>
            </w:r>
          </w:p>
        </w:tc>
      </w:tr>
      <w:tr>
        <w:tc>
          <w:tcPr>
            <w:tcW w:type="dxa" w:w="2592"/>
          </w:tcPr>
          <w:p>
            <w:r>
              <w:t>Bulk Pricing Tier</w:t>
            </w:r>
          </w:p>
        </w:tc>
        <w:tc>
          <w:tcPr>
            <w:tcW w:type="dxa" w:w="6768"/>
          </w:tcPr>
          <w:p>
            <w:r>
              <w:t>A quantity-based price schedule where unit price decreases as order quantity increases, defined per product as an array of min_qty / max_qty / price bands.</w:t>
            </w:r>
          </w:p>
        </w:tc>
      </w:tr>
      <w:tr>
        <w:tc>
          <w:tcPr>
            <w:tcW w:type="dxa" w:w="2592"/>
          </w:tcPr>
          <w:p>
            <w:r>
              <w:t>Buyer Trust Score</w:t>
            </w:r>
          </w:p>
        </w:tc>
        <w:tc>
          <w:tcPr>
            <w:tcW w:type="dxa" w:w="6768"/>
          </w:tcPr>
          <w:p>
            <w:r>
              <w:t>A metric reflecting a buyer's commercial reliability, computed from order completion rate and cancellation rate and displayed to brand owners evaluating order requests.</w:t>
            </w:r>
          </w:p>
        </w:tc>
      </w:tr>
      <w:tr>
        <w:tc>
          <w:tcPr>
            <w:tcW w:type="dxa" w:w="2592"/>
          </w:tcPr>
          <w:p>
            <w:r>
              <w:t>GCC</w:t>
            </w:r>
          </w:p>
        </w:tc>
        <w:tc>
          <w:tcPr>
            <w:tcW w:type="dxa" w:w="6768"/>
          </w:tcPr>
          <w:p>
            <w:r>
              <w:t>Gulf Cooperation Council — the regional intergovernmental union comprising Bahrain, Kuwait, Oman, Qatar, Saudi Arabia, and the United Arab Emirates.</w:t>
            </w:r>
          </w:p>
        </w:tc>
      </w:tr>
      <w:tr>
        <w:tc>
          <w:tcPr>
            <w:tcW w:type="dxa" w:w="2592"/>
          </w:tcPr>
          <w:p>
            <w:r>
              <w:t>Marketplace</w:t>
            </w:r>
          </w:p>
        </w:tc>
        <w:tc>
          <w:tcPr>
            <w:tcW w:type="dxa" w:w="6768"/>
          </w:tcPr>
          <w:p>
            <w:r>
              <w:t>The public-facing section of the platform (/marketplace) where buyers discover and browse all administratively approved brand profiles and product catalogues.</w:t>
            </w:r>
          </w:p>
        </w:tc>
      </w:tr>
      <w:tr>
        <w:tc>
          <w:tcPr>
            <w:tcW w:type="dxa" w:w="2592"/>
          </w:tcPr>
          <w:p>
            <w:r>
              <w:t>MOQ</w:t>
            </w:r>
          </w:p>
        </w:tc>
        <w:tc>
          <w:tcPr>
            <w:tcW w:type="dxa" w:w="6768"/>
          </w:tcPr>
          <w:p>
            <w:r>
              <w:t>Minimum Order Quantity — the smallest number of units a buyer may include in a single order line item for a given product, enforced at order submission by the API.</w:t>
            </w:r>
          </w:p>
        </w:tc>
      </w:tr>
      <w:tr>
        <w:tc>
          <w:tcPr>
            <w:tcW w:type="dxa" w:w="2592"/>
          </w:tcPr>
          <w:p>
            <w:r>
              <w:t>Platform Admin</w:t>
            </w:r>
          </w:p>
        </w:tc>
        <w:tc>
          <w:tcPr>
            <w:tcW w:type="dxa" w:w="6768"/>
          </w:tcPr>
          <w:p>
            <w:r>
              <w:t>An internal operator account with elevated privileges to manage users, approve or reject brands, moderate reviews, and access platform-wide analytics.</w:t>
            </w:r>
          </w:p>
        </w:tc>
      </w:tr>
      <w:tr>
        <w:tc>
          <w:tcPr>
            <w:tcW w:type="dxa" w:w="2592"/>
          </w:tcPr>
          <w:p>
            <w:r>
              <w:t>RTM</w:t>
            </w:r>
          </w:p>
        </w:tc>
        <w:tc>
          <w:tcPr>
            <w:tcW w:type="dxa" w:w="6768"/>
          </w:tcPr>
          <w:p>
            <w:r>
              <w:t>Requirements Traceability Matrix — a document that links each requirement to its design artefact, implementation file, and test evidence, confirming end-to-end coverage.</w:t>
            </w:r>
          </w:p>
        </w:tc>
      </w:tr>
      <w:tr>
        <w:tc>
          <w:tcPr>
            <w:tcW w:type="dxa" w:w="2592"/>
          </w:tcPr>
          <w:p>
            <w:r>
              <w:t>Trust Engine</w:t>
            </w:r>
          </w:p>
        </w:tc>
        <w:tc>
          <w:tcPr>
            <w:tcW w:type="dxa" w:w="6768"/>
          </w:tcPr>
          <w:p>
            <w:r>
              <w:t>The subsystem within the API layer responsible for computing and persisting trust scores and earning badges for both brands and buyers based on historical order behaviour.</w:t>
            </w:r>
          </w:p>
        </w:tc>
      </w:tr>
      <w:tr>
        <w:tc>
          <w:tcPr>
            <w:tcW w:type="dxa" w:w="2592"/>
          </w:tcPr>
          <w:p>
            <w:r>
              <w:t>Verification Tier</w:t>
            </w:r>
          </w:p>
        </w:tc>
        <w:tc>
          <w:tcPr>
            <w:tcW w:type="dxa" w:w="6768"/>
          </w:tcPr>
          <w:p>
            <w:r>
              <w:t>An administrative quality classification assigned to approved brands: Premium (highest), Verified, or New — displayed as a visual badge throughout the platform.</w:t>
            </w:r>
          </w:p>
        </w:tc>
      </w:tr>
    </w:tbl>
    <w:p/>
    <w:p>
      <w:pPr>
        <w:pStyle w:val="Heading3"/>
      </w:pPr>
      <w:r>
        <w:t>Acronyms</w:t>
      </w:r>
    </w:p>
    <w:tbl>
      <w:tblPr>
        <w:tblStyle w:val="TableGrid"/>
        <w:tblW w:type="auto" w:w="0"/>
        <w:tblLook w:firstColumn="1" w:firstRow="1" w:lastColumn="0" w:lastRow="0" w:noHBand="0" w:noVBand="1" w:val="04A0"/>
      </w:tblPr>
      <w:tblGrid>
        <w:gridCol w:w="4320"/>
        <w:gridCol w:w="4320"/>
      </w:tblGrid>
      <w:tr>
        <w:tc>
          <w:tcPr>
            <w:tcW w:type="dxa" w:w="1728"/>
          </w:tcPr>
          <w:p>
            <w:r>
              <w:rPr>
                <w:b/>
              </w:rPr>
              <w:t>Acronym</w:t>
            </w:r>
          </w:p>
        </w:tc>
        <w:tc>
          <w:tcPr>
            <w:tcW w:type="dxa" w:w="7632"/>
          </w:tcPr>
          <w:p>
            <w:r>
              <w:rPr>
                <w:b/>
              </w:rPr>
              <w:t>Expansion</w:t>
            </w:r>
          </w:p>
        </w:tc>
      </w:tr>
      <w:tr>
        <w:tc>
          <w:tcPr>
            <w:tcW w:type="dxa" w:w="1728"/>
          </w:tcPr>
          <w:p>
            <w:r>
              <w:t>API</w:t>
            </w:r>
          </w:p>
        </w:tc>
        <w:tc>
          <w:tcPr>
            <w:tcW w:type="dxa" w:w="7632"/>
          </w:tcPr>
          <w:p>
            <w:r>
              <w:t>Application Programming Interface</w:t>
            </w:r>
          </w:p>
        </w:tc>
      </w:tr>
      <w:tr>
        <w:tc>
          <w:tcPr>
            <w:tcW w:type="dxa" w:w="1728"/>
          </w:tcPr>
          <w:p>
            <w:r>
              <w:t>CRUD</w:t>
            </w:r>
          </w:p>
        </w:tc>
        <w:tc>
          <w:tcPr>
            <w:tcW w:type="dxa" w:w="7632"/>
          </w:tcPr>
          <w:p>
            <w:r>
              <w:t>Create, Read, Update, Delete</w:t>
            </w:r>
          </w:p>
        </w:tc>
      </w:tr>
      <w:tr>
        <w:tc>
          <w:tcPr>
            <w:tcW w:type="dxa" w:w="1728"/>
          </w:tcPr>
          <w:p>
            <w:r>
              <w:t>CSS</w:t>
            </w:r>
          </w:p>
        </w:tc>
        <w:tc>
          <w:tcPr>
            <w:tcW w:type="dxa" w:w="7632"/>
          </w:tcPr>
          <w:p>
            <w:r>
              <w:t>Cascading Style Sheets</w:t>
            </w:r>
          </w:p>
        </w:tc>
      </w:tr>
      <w:tr>
        <w:tc>
          <w:tcPr>
            <w:tcW w:type="dxa" w:w="1728"/>
          </w:tcPr>
          <w:p>
            <w:r>
              <w:t>FR</w:t>
            </w:r>
          </w:p>
        </w:tc>
        <w:tc>
          <w:tcPr>
            <w:tcW w:type="dxa" w:w="7632"/>
          </w:tcPr>
          <w:p>
            <w:r>
              <w:t>Functional Requirement</w:t>
            </w:r>
          </w:p>
        </w:tc>
      </w:tr>
      <w:tr>
        <w:tc>
          <w:tcPr>
            <w:tcW w:type="dxa" w:w="1728"/>
          </w:tcPr>
          <w:p>
            <w:r>
              <w:t>FRS</w:t>
            </w:r>
          </w:p>
        </w:tc>
        <w:tc>
          <w:tcPr>
            <w:tcW w:type="dxa" w:w="7632"/>
          </w:tcPr>
          <w:p>
            <w:r>
              <w:t>Functional Requirements Specification</w:t>
            </w:r>
          </w:p>
        </w:tc>
      </w:tr>
      <w:tr>
        <w:tc>
          <w:tcPr>
            <w:tcW w:type="dxa" w:w="1728"/>
          </w:tcPr>
          <w:p>
            <w:r>
              <w:t>GCC</w:t>
            </w:r>
          </w:p>
        </w:tc>
        <w:tc>
          <w:tcPr>
            <w:tcW w:type="dxa" w:w="7632"/>
          </w:tcPr>
          <w:p>
            <w:r>
              <w:t>Gulf Cooperation Council</w:t>
            </w:r>
          </w:p>
        </w:tc>
      </w:tr>
      <w:tr>
        <w:tc>
          <w:tcPr>
            <w:tcW w:type="dxa" w:w="1728"/>
          </w:tcPr>
          <w:p>
            <w:r>
              <w:t>HTTP</w:t>
            </w:r>
          </w:p>
        </w:tc>
        <w:tc>
          <w:tcPr>
            <w:tcW w:type="dxa" w:w="7632"/>
          </w:tcPr>
          <w:p>
            <w:r>
              <w:t>HyperText Transfer Protocol</w:t>
            </w:r>
          </w:p>
        </w:tc>
      </w:tr>
      <w:tr>
        <w:tc>
          <w:tcPr>
            <w:tcW w:type="dxa" w:w="1728"/>
          </w:tcPr>
          <w:p>
            <w:r>
              <w:t>i18n</w:t>
            </w:r>
          </w:p>
        </w:tc>
        <w:tc>
          <w:tcPr>
            <w:tcW w:type="dxa" w:w="7632"/>
          </w:tcPr>
          <w:p>
            <w:r>
              <w:t>Internationalisation (18 letters between 'i' and 'n')</w:t>
            </w:r>
          </w:p>
        </w:tc>
      </w:tr>
      <w:tr>
        <w:tc>
          <w:tcPr>
            <w:tcW w:type="dxa" w:w="1728"/>
          </w:tcPr>
          <w:p>
            <w:r>
              <w:t>JWT</w:t>
            </w:r>
          </w:p>
        </w:tc>
        <w:tc>
          <w:tcPr>
            <w:tcW w:type="dxa" w:w="7632"/>
          </w:tcPr>
          <w:p>
            <w:r>
              <w:t>JSON Web Token</w:t>
            </w:r>
          </w:p>
        </w:tc>
      </w:tr>
      <w:tr>
        <w:tc>
          <w:tcPr>
            <w:tcW w:type="dxa" w:w="1728"/>
          </w:tcPr>
          <w:p>
            <w:r>
              <w:t>KLOC</w:t>
            </w:r>
          </w:p>
        </w:tc>
        <w:tc>
          <w:tcPr>
            <w:tcW w:type="dxa" w:w="7632"/>
          </w:tcPr>
          <w:p>
            <w:r>
              <w:t>Thousand Lines of Code</w:t>
            </w:r>
          </w:p>
        </w:tc>
      </w:tr>
      <w:tr>
        <w:tc>
          <w:tcPr>
            <w:tcW w:type="dxa" w:w="1728"/>
          </w:tcPr>
          <w:p>
            <w:r>
              <w:t>KWD</w:t>
            </w:r>
          </w:p>
        </w:tc>
        <w:tc>
          <w:tcPr>
            <w:tcW w:type="dxa" w:w="7632"/>
          </w:tcPr>
          <w:p>
            <w:r>
              <w:t>Kuwaiti Dinar (ISO 4217 currency code)</w:t>
            </w:r>
          </w:p>
        </w:tc>
      </w:tr>
      <w:tr>
        <w:tc>
          <w:tcPr>
            <w:tcW w:type="dxa" w:w="1728"/>
          </w:tcPr>
          <w:p>
            <w:r>
              <w:t>MBL</w:t>
            </w:r>
          </w:p>
        </w:tc>
        <w:tc>
          <w:tcPr>
            <w:tcW w:type="dxa" w:w="7632"/>
          </w:tcPr>
          <w:p>
            <w:r>
              <w:t>Make-Buy-Lease (procurement decision framework)</w:t>
            </w:r>
          </w:p>
        </w:tc>
      </w:tr>
      <w:tr>
        <w:tc>
          <w:tcPr>
            <w:tcW w:type="dxa" w:w="1728"/>
          </w:tcPr>
          <w:p>
            <w:r>
              <w:t>MOQ</w:t>
            </w:r>
          </w:p>
        </w:tc>
        <w:tc>
          <w:tcPr>
            <w:tcW w:type="dxa" w:w="7632"/>
          </w:tcPr>
          <w:p>
            <w:r>
              <w:t>Minimum Order Quantity</w:t>
            </w:r>
          </w:p>
        </w:tc>
      </w:tr>
      <w:tr>
        <w:tc>
          <w:tcPr>
            <w:tcW w:type="dxa" w:w="1728"/>
          </w:tcPr>
          <w:p>
            <w:r>
              <w:t>MVP</w:t>
            </w:r>
          </w:p>
        </w:tc>
        <w:tc>
          <w:tcPr>
            <w:tcW w:type="dxa" w:w="7632"/>
          </w:tcPr>
          <w:p>
            <w:r>
              <w:t>Minimum Viable Product</w:t>
            </w:r>
          </w:p>
        </w:tc>
      </w:tr>
      <w:tr>
        <w:tc>
          <w:tcPr>
            <w:tcW w:type="dxa" w:w="1728"/>
          </w:tcPr>
          <w:p>
            <w:r>
              <w:t>NFR</w:t>
            </w:r>
          </w:p>
        </w:tc>
        <w:tc>
          <w:tcPr>
            <w:tcW w:type="dxa" w:w="7632"/>
          </w:tcPr>
          <w:p>
            <w:r>
              <w:t>Non-Functional Requirement</w:t>
            </w:r>
          </w:p>
        </w:tc>
      </w:tr>
      <w:tr>
        <w:tc>
          <w:tcPr>
            <w:tcW w:type="dxa" w:w="1728"/>
          </w:tcPr>
          <w:p>
            <w:r>
              <w:t>RBAC</w:t>
            </w:r>
          </w:p>
        </w:tc>
        <w:tc>
          <w:tcPr>
            <w:tcW w:type="dxa" w:w="7632"/>
          </w:tcPr>
          <w:p>
            <w:r>
              <w:t>Role-Based Access Control</w:t>
            </w:r>
          </w:p>
        </w:tc>
      </w:tr>
      <w:tr>
        <w:tc>
          <w:tcPr>
            <w:tcW w:type="dxa" w:w="1728"/>
          </w:tcPr>
          <w:p>
            <w:r>
              <w:t>REST</w:t>
            </w:r>
          </w:p>
        </w:tc>
        <w:tc>
          <w:tcPr>
            <w:tcW w:type="dxa" w:w="7632"/>
          </w:tcPr>
          <w:p>
            <w:r>
              <w:t>Representational State Transfer</w:t>
            </w:r>
          </w:p>
        </w:tc>
      </w:tr>
      <w:tr>
        <w:tc>
          <w:tcPr>
            <w:tcW w:type="dxa" w:w="1728"/>
          </w:tcPr>
          <w:p>
            <w:r>
              <w:t>RTL</w:t>
            </w:r>
          </w:p>
        </w:tc>
        <w:tc>
          <w:tcPr>
            <w:tcW w:type="dxa" w:w="7632"/>
          </w:tcPr>
          <w:p>
            <w:r>
              <w:t>Right-To-Left (text direction for Arabic script)</w:t>
            </w:r>
          </w:p>
        </w:tc>
      </w:tr>
      <w:tr>
        <w:tc>
          <w:tcPr>
            <w:tcW w:type="dxa" w:w="1728"/>
          </w:tcPr>
          <w:p>
            <w:r>
              <w:t>RTM</w:t>
            </w:r>
          </w:p>
        </w:tc>
        <w:tc>
          <w:tcPr>
            <w:tcW w:type="dxa" w:w="7632"/>
          </w:tcPr>
          <w:p>
            <w:r>
              <w:t>Requirements Traceability Matrix</w:t>
            </w:r>
          </w:p>
        </w:tc>
      </w:tr>
      <w:tr>
        <w:tc>
          <w:tcPr>
            <w:tcW w:type="dxa" w:w="1728"/>
          </w:tcPr>
          <w:p>
            <w:r>
              <w:t>SLOC</w:t>
            </w:r>
          </w:p>
        </w:tc>
        <w:tc>
          <w:tcPr>
            <w:tcW w:type="dxa" w:w="7632"/>
          </w:tcPr>
          <w:p>
            <w:r>
              <w:t>Source Lines of Code</w:t>
            </w:r>
          </w:p>
        </w:tc>
      </w:tr>
      <w:tr>
        <w:tc>
          <w:tcPr>
            <w:tcW w:type="dxa" w:w="1728"/>
          </w:tcPr>
          <w:p>
            <w:r>
              <w:t>SRS</w:t>
            </w:r>
          </w:p>
        </w:tc>
        <w:tc>
          <w:tcPr>
            <w:tcW w:type="dxa" w:w="7632"/>
          </w:tcPr>
          <w:p>
            <w:r>
              <w:t>Software Requirements Specification</w:t>
            </w:r>
          </w:p>
        </w:tc>
      </w:tr>
      <w:tr>
        <w:tc>
          <w:tcPr>
            <w:tcW w:type="dxa" w:w="1728"/>
          </w:tcPr>
          <w:p>
            <w:r>
              <w:t>SSR</w:t>
            </w:r>
          </w:p>
        </w:tc>
        <w:tc>
          <w:tcPr>
            <w:tcW w:type="dxa" w:w="7632"/>
          </w:tcPr>
          <w:p>
            <w:r>
              <w:t>Server-Side Rendering</w:t>
            </w:r>
          </w:p>
        </w:tc>
      </w:tr>
      <w:tr>
        <w:tc>
          <w:tcPr>
            <w:tcW w:type="dxa" w:w="1728"/>
          </w:tcPr>
          <w:p>
            <w:r>
              <w:t>TSX</w:t>
            </w:r>
          </w:p>
        </w:tc>
        <w:tc>
          <w:tcPr>
            <w:tcW w:type="dxa" w:w="7632"/>
          </w:tcPr>
          <w:p>
            <w:r>
              <w:t>TypeScript JSX — TypeScript files containing React JSX syntax</w:t>
            </w:r>
          </w:p>
        </w:tc>
      </w:tr>
      <w:tr>
        <w:tc>
          <w:tcPr>
            <w:tcW w:type="dxa" w:w="1728"/>
          </w:tcPr>
          <w:p>
            <w:r>
              <w:t>UC</w:t>
            </w:r>
          </w:p>
        </w:tc>
        <w:tc>
          <w:tcPr>
            <w:tcW w:type="dxa" w:w="7632"/>
          </w:tcPr>
          <w:p>
            <w:r>
              <w:t>Use Case</w:t>
            </w:r>
          </w:p>
        </w:tc>
      </w:tr>
      <w:tr>
        <w:tc>
          <w:tcPr>
            <w:tcW w:type="dxa" w:w="1728"/>
          </w:tcPr>
          <w:p>
            <w:r>
              <w:t>UI</w:t>
            </w:r>
          </w:p>
        </w:tc>
        <w:tc>
          <w:tcPr>
            <w:tcW w:type="dxa" w:w="7632"/>
          </w:tcPr>
          <w:p>
            <w:r>
              <w:t>User Interface</w:t>
            </w:r>
          </w:p>
        </w:tc>
      </w:tr>
      <w:tr>
        <w:tc>
          <w:tcPr>
            <w:tcW w:type="dxa" w:w="1728"/>
          </w:tcPr>
          <w:p>
            <w:r>
              <w:t>UML</w:t>
            </w:r>
          </w:p>
        </w:tc>
        <w:tc>
          <w:tcPr>
            <w:tcW w:type="dxa" w:w="7632"/>
          </w:tcPr>
          <w:p>
            <w:r>
              <w:t>Unified Modelling Language</w:t>
            </w:r>
          </w:p>
        </w:tc>
      </w:tr>
    </w:tbl>
    <w:p/>
    <w:p>
      <w:pPr>
        <w:pStyle w:val="Heading3"/>
      </w:pPr>
      <w:r>
        <w:t>Abbreviations</w:t>
      </w:r>
    </w:p>
    <w:tbl>
      <w:tblPr>
        <w:tblStyle w:val="TableGrid"/>
        <w:tblW w:type="auto" w:w="0"/>
        <w:tblLook w:firstColumn="1" w:firstRow="1" w:lastColumn="0" w:lastRow="0" w:noHBand="0" w:noVBand="1" w:val="04A0"/>
      </w:tblPr>
      <w:tblGrid>
        <w:gridCol w:w="4320"/>
        <w:gridCol w:w="4320"/>
      </w:tblGrid>
      <w:tr>
        <w:tc>
          <w:tcPr>
            <w:tcW w:type="dxa" w:w="2160"/>
          </w:tcPr>
          <w:p>
            <w:r>
              <w:rPr>
                <w:b/>
              </w:rPr>
              <w:t>Abbreviation</w:t>
            </w:r>
          </w:p>
        </w:tc>
        <w:tc>
          <w:tcPr>
            <w:tcW w:type="dxa" w:w="7200"/>
          </w:tcPr>
          <w:p>
            <w:r>
              <w:rPr>
                <w:b/>
              </w:rPr>
              <w:t>Meaning</w:t>
            </w:r>
          </w:p>
        </w:tc>
      </w:tr>
      <w:tr>
        <w:tc>
          <w:tcPr>
            <w:tcW w:type="dxa" w:w="2160"/>
          </w:tcPr>
          <w:p>
            <w:r>
              <w:t>AED</w:t>
            </w:r>
          </w:p>
        </w:tc>
        <w:tc>
          <w:tcPr>
            <w:tcW w:type="dxa" w:w="7200"/>
          </w:tcPr>
          <w:p>
            <w:r>
              <w:t>UAE Dirham — currency of the United Arab Emirates</w:t>
            </w:r>
          </w:p>
        </w:tc>
      </w:tr>
      <w:tr>
        <w:tc>
          <w:tcPr>
            <w:tcW w:type="dxa" w:w="2160"/>
          </w:tcPr>
          <w:p>
            <w:r>
              <w:t>AUM</w:t>
            </w:r>
          </w:p>
        </w:tc>
        <w:tc>
          <w:tcPr>
            <w:tcW w:type="dxa" w:w="7200"/>
          </w:tcPr>
          <w:p>
            <w:r>
              <w:t>American University of the Middle East</w:t>
            </w:r>
          </w:p>
        </w:tc>
      </w:tr>
      <w:tr>
        <w:tc>
          <w:tcPr>
            <w:tcW w:type="dxa" w:w="2160"/>
          </w:tcPr>
          <w:p>
            <w:r>
              <w:t>BHD</w:t>
            </w:r>
          </w:p>
        </w:tc>
        <w:tc>
          <w:tcPr>
            <w:tcW w:type="dxa" w:w="7200"/>
          </w:tcPr>
          <w:p>
            <w:r>
              <w:t>Bahraini Dinar — currency of Bahrain</w:t>
            </w:r>
          </w:p>
        </w:tc>
      </w:tr>
      <w:tr>
        <w:tc>
          <w:tcPr>
            <w:tcW w:type="dxa" w:w="2160"/>
          </w:tcPr>
          <w:p>
            <w:r>
              <w:t>CI/CD</w:t>
            </w:r>
          </w:p>
        </w:tc>
        <w:tc>
          <w:tcPr>
            <w:tcW w:type="dxa" w:w="7200"/>
          </w:tcPr>
          <w:p>
            <w:r>
              <w:t>Continuous Integration / Continuous Delivery</w:t>
            </w:r>
          </w:p>
        </w:tc>
      </w:tr>
      <w:tr>
        <w:tc>
          <w:tcPr>
            <w:tcW w:type="dxa" w:w="2160"/>
          </w:tcPr>
          <w:p>
            <w:r>
              <w:t>E2E</w:t>
            </w:r>
          </w:p>
        </w:tc>
        <w:tc>
          <w:tcPr>
            <w:tcW w:type="dxa" w:w="7200"/>
          </w:tcPr>
          <w:p>
            <w:r>
              <w:t>End-to-End (testing methodology)</w:t>
            </w:r>
          </w:p>
        </w:tc>
      </w:tr>
      <w:tr>
        <w:tc>
          <w:tcPr>
            <w:tcW w:type="dxa" w:w="2160"/>
          </w:tcPr>
          <w:p>
            <w:r>
              <w:t>LTR</w:t>
            </w:r>
          </w:p>
        </w:tc>
        <w:tc>
          <w:tcPr>
            <w:tcW w:type="dxa" w:w="7200"/>
          </w:tcPr>
          <w:p>
            <w:r>
              <w:t>Left-To-Right text direction (English layout)</w:t>
            </w:r>
          </w:p>
        </w:tc>
      </w:tr>
      <w:tr>
        <w:tc>
          <w:tcPr>
            <w:tcW w:type="dxa" w:w="2160"/>
          </w:tcPr>
          <w:p>
            <w:r>
              <w:t>PR</w:t>
            </w:r>
          </w:p>
        </w:tc>
        <w:tc>
          <w:tcPr>
            <w:tcW w:type="dxa" w:w="7200"/>
          </w:tcPr>
          <w:p>
            <w:r>
              <w:t>Pull Request — a code review submission in Git</w:t>
            </w:r>
          </w:p>
        </w:tc>
      </w:tr>
      <w:tr>
        <w:tc>
          <w:tcPr>
            <w:tcW w:type="dxa" w:w="2160"/>
          </w:tcPr>
          <w:p>
            <w:r>
              <w:t>QAR</w:t>
            </w:r>
          </w:p>
        </w:tc>
        <w:tc>
          <w:tcPr>
            <w:tcW w:type="dxa" w:w="7200"/>
          </w:tcPr>
          <w:p>
            <w:r>
              <w:t>Qatari Riyal — currency of Qatar</w:t>
            </w:r>
          </w:p>
        </w:tc>
      </w:tr>
      <w:tr>
        <w:tc>
          <w:tcPr>
            <w:tcW w:type="dxa" w:w="2160"/>
          </w:tcPr>
          <w:p>
            <w:r>
              <w:t>RTL</w:t>
            </w:r>
          </w:p>
        </w:tc>
        <w:tc>
          <w:tcPr>
            <w:tcW w:type="dxa" w:w="7200"/>
          </w:tcPr>
          <w:p>
            <w:r>
              <w:t>Right-To-Left text direction (Arabic layout)</w:t>
            </w:r>
          </w:p>
        </w:tc>
      </w:tr>
      <w:tr>
        <w:tc>
          <w:tcPr>
            <w:tcW w:type="dxa" w:w="2160"/>
          </w:tcPr>
          <w:p>
            <w:r>
              <w:t>SAR</w:t>
            </w:r>
          </w:p>
        </w:tc>
        <w:tc>
          <w:tcPr>
            <w:tcW w:type="dxa" w:w="7200"/>
          </w:tcPr>
          <w:p>
            <w:r>
              <w:t>Saudi Riyal — currency of Saudi Arabia</w:t>
            </w:r>
          </w:p>
        </w:tc>
      </w:tr>
      <w:tr>
        <w:tc>
          <w:tcPr>
            <w:tcW w:type="dxa" w:w="2160"/>
          </w:tcPr>
          <w:p>
            <w:r>
              <w:t>v</w:t>
            </w:r>
          </w:p>
        </w:tc>
        <w:tc>
          <w:tcPr>
            <w:tcW w:type="dxa" w:w="7200"/>
          </w:tcPr>
          <w:p>
            <w:r>
              <w:t>Version (as in v1.0.0 or v3.5.2.1)</w:t>
            </w:r>
          </w:p>
        </w:tc>
      </w:tr>
      <w:tr>
        <w:tc>
          <w:tcPr>
            <w:tcW w:type="dxa" w:w="2160"/>
          </w:tcPr>
          <w:p>
            <w:r>
              <w:t>VCS</w:t>
            </w:r>
          </w:p>
        </w:tc>
        <w:tc>
          <w:tcPr>
            <w:tcW w:type="dxa" w:w="7200"/>
          </w:tcPr>
          <w:p>
            <w:r>
              <w:t>Version Control System (Git in this project)</w:t>
            </w:r>
          </w:p>
        </w:tc>
      </w:tr>
    </w:tbl>
    <w:p/>
    <w:p>
      <w:pPr>
        <w:pStyle w:val="Heading3"/>
      </w:pPr>
      <w:r>
        <w:t>Symbols</w:t>
      </w:r>
    </w:p>
    <w:tbl>
      <w:tblPr>
        <w:tblStyle w:val="TableGrid"/>
        <w:tblW w:type="auto" w:w="0"/>
        <w:tblLook w:firstColumn="1" w:firstRow="1" w:lastColumn="0" w:lastRow="0" w:noHBand="0" w:noVBand="1" w:val="04A0"/>
      </w:tblPr>
      <w:tblGrid>
        <w:gridCol w:w="4320"/>
        <w:gridCol w:w="4320"/>
      </w:tblGrid>
      <w:tr>
        <w:tc>
          <w:tcPr>
            <w:tcW w:type="dxa" w:w="1296"/>
          </w:tcPr>
          <w:p>
            <w:r>
              <w:rPr>
                <w:b/>
              </w:rPr>
              <w:t>Symbol</w:t>
            </w:r>
          </w:p>
        </w:tc>
        <w:tc>
          <w:tcPr>
            <w:tcW w:type="dxa" w:w="8064"/>
          </w:tcPr>
          <w:p>
            <w:r>
              <w:rPr>
                <w:b/>
              </w:rPr>
              <w:t>Meaning in This Report</w:t>
            </w:r>
          </w:p>
        </w:tc>
      </w:tr>
      <w:tr>
        <w:tc>
          <w:tcPr>
            <w:tcW w:type="dxa" w:w="1296"/>
          </w:tcPr>
          <w:p>
            <w:r>
              <w:t>→</w:t>
            </w:r>
          </w:p>
        </w:tc>
        <w:tc>
          <w:tcPr>
            <w:tcW w:type="dxa" w:w="8064"/>
          </w:tcPr>
          <w:p>
            <w:r>
              <w:t>State transition or data flow (e.g., pending → approved → completed)</w:t>
            </w:r>
          </w:p>
        </w:tc>
      </w:tr>
      <w:tr>
        <w:tc>
          <w:tcPr>
            <w:tcW w:type="dxa" w:w="1296"/>
          </w:tcPr>
          <w:p>
            <w:r>
              <w:t>≥</w:t>
            </w:r>
          </w:p>
        </w:tc>
        <w:tc>
          <w:tcPr>
            <w:tcW w:type="dxa" w:w="8064"/>
          </w:tcPr>
          <w:p>
            <w:r>
              <w:t>Greater than or equal to (MOQ and threshold expressions)</w:t>
            </w:r>
          </w:p>
        </w:tc>
      </w:tr>
      <w:tr>
        <w:tc>
          <w:tcPr>
            <w:tcW w:type="dxa" w:w="1296"/>
          </w:tcPr>
          <w:p>
            <w:r>
              <w:t>&lt;</w:t>
            </w:r>
          </w:p>
        </w:tc>
        <w:tc>
          <w:tcPr>
            <w:tcW w:type="dxa" w:w="8064"/>
          </w:tcPr>
          <w:p>
            <w:r>
              <w:t>Strictly less than (performance target thresholds)</w:t>
            </w:r>
          </w:p>
        </w:tc>
      </w:tr>
      <w:tr>
        <w:tc>
          <w:tcPr>
            <w:tcW w:type="dxa" w:w="1296"/>
          </w:tcPr>
          <w:p>
            <w:r>
              <w:t>%</w:t>
            </w:r>
          </w:p>
        </w:tc>
        <w:tc>
          <w:tcPr>
            <w:tcW w:type="dxa" w:w="8064"/>
          </w:tcPr>
          <w:p>
            <w:r>
              <w:t>Percentage — completion metrics, chapter weight distribution, code coverage</w:t>
            </w:r>
          </w:p>
        </w:tc>
      </w:tr>
      <w:tr>
        <w:tc>
          <w:tcPr>
            <w:tcW w:type="dxa" w:w="1296"/>
          </w:tcPr>
          <w:p>
            <w:r>
              <w:t>*</w:t>
            </w:r>
          </w:p>
        </w:tc>
        <w:tc>
          <w:tcPr>
            <w:tcW w:type="dxa" w:w="8064"/>
          </w:tcPr>
          <w:p>
            <w:r>
              <w:t>Wildcard in API route path patterns (e.g., /api/*)</w:t>
            </w:r>
          </w:p>
        </w:tc>
      </w:tr>
      <w:tr>
        <w:tc>
          <w:tcPr>
            <w:tcW w:type="dxa" w:w="1296"/>
          </w:tcPr>
          <w:p>
            <w:r>
              <w:t>[ ]</w:t>
            </w:r>
          </w:p>
        </w:tc>
        <w:tc>
          <w:tcPr>
            <w:tcW w:type="dxa" w:w="8064"/>
          </w:tcPr>
          <w:p>
            <w:r>
              <w:t>Array notation — list-typed field (e.g., bulk_pricing_tiers[])</w:t>
            </w:r>
          </w:p>
        </w:tc>
      </w:tr>
      <w:tr>
        <w:tc>
          <w:tcPr>
            <w:tcW w:type="dxa" w:w="1296"/>
          </w:tcPr>
          <w:p>
            <w:r>
              <w:t>~</w:t>
            </w:r>
          </w:p>
        </w:tc>
        <w:tc>
          <w:tcPr>
            <w:tcW w:type="dxa" w:w="8064"/>
          </w:tcPr>
          <w:p>
            <w:r>
              <w:t>Approximately equal to (estimation figures)</w:t>
            </w:r>
          </w:p>
        </w:tc>
      </w:tr>
      <w:tr>
        <w:tc>
          <w:tcPr>
            <w:tcW w:type="dxa" w:w="1296"/>
          </w:tcPr>
          <w:p>
            <w:r>
              <w:t>KD</w:t>
            </w:r>
          </w:p>
        </w:tc>
        <w:tc>
          <w:tcPr>
            <w:tcW w:type="dxa" w:w="8064"/>
          </w:tcPr>
          <w:p>
            <w:r>
              <w:t>Display symbol for Kuwaiti Dinar (ISO code: KWD)</w:t>
            </w:r>
          </w:p>
        </w:tc>
      </w:tr>
      <w:tr>
        <w:tc>
          <w:tcPr>
            <w:tcW w:type="dxa" w:w="1296"/>
          </w:tcPr>
          <w:p>
            <w:r>
              <w:t>/</w:t>
            </w:r>
          </w:p>
        </w:tc>
        <w:tc>
          <w:tcPr>
            <w:tcW w:type="dxa" w:w="8064"/>
          </w:tcPr>
          <w:p>
            <w:r>
              <w:t>File system and URL path separator</w:t>
            </w:r>
          </w:p>
        </w:tc>
      </w:tr>
      <w:tr>
        <w:tc>
          <w:tcPr>
            <w:tcW w:type="dxa" w:w="1296"/>
          </w:tcPr>
          <w:p>
            <w:r>
              <w:t>§</w:t>
            </w:r>
          </w:p>
        </w:tc>
        <w:tc>
          <w:tcPr>
            <w:tcW w:type="dxa" w:w="8064"/>
          </w:tcPr>
          <w:p>
            <w:r>
              <w:t>Section reference (e.g., §2.1 = Section 2.1 of this report)</w:t>
            </w:r>
          </w:p>
        </w:tc>
      </w:tr>
    </w:tbl>
    <w:p/>
    <w:p>
      <w:pPr>
        <w:pStyle w:val="Heading2"/>
      </w:pPr>
      <w:r>
        <w:t>1.4  Intended Readership</w:t>
      </w:r>
    </w:p>
    <w:p>
      <w:pPr/>
      <w:r>
        <w:t>This report is written to serve multiple audiences. The table below identifies the five primary readership groups and the sections of the report most pertinent to each.</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rPr>
              <w:t>Readership Group</w:t>
            </w:r>
          </w:p>
        </w:tc>
        <w:tc>
          <w:tcPr>
            <w:tcW w:type="dxa" w:w="2592"/>
          </w:tcPr>
          <w:p>
            <w:r>
              <w:rPr>
                <w:b/>
              </w:rPr>
              <w:t>Role</w:t>
            </w:r>
          </w:p>
        </w:tc>
        <w:tc>
          <w:tcPr>
            <w:tcW w:type="dxa" w:w="4320"/>
          </w:tcPr>
          <w:p>
            <w:r>
              <w:rPr>
                <w:b/>
              </w:rPr>
              <w:t>Key Sections</w:t>
            </w:r>
          </w:p>
        </w:tc>
      </w:tr>
      <w:tr>
        <w:tc>
          <w:tcPr>
            <w:tcW w:type="dxa" w:w="2448"/>
          </w:tcPr>
          <w:p>
            <w:r>
              <w:t>Platform Administrators</w:t>
            </w:r>
          </w:p>
        </w:tc>
        <w:tc>
          <w:tcPr>
            <w:tcW w:type="dxa" w:w="2592"/>
          </w:tcPr>
          <w:p>
            <w:r>
              <w:t>Operational staff responsible for running the live Kuwait B2B Hub platform post-launch.</w:t>
            </w:r>
          </w:p>
        </w:tc>
        <w:tc>
          <w:tcPr>
            <w:tcW w:type="dxa" w:w="4320"/>
          </w:tcPr>
          <w:p>
            <w:r>
              <w:t>§1.2 (roles &amp; features), §2.2–2.4 (requirements), §4 (implementation), §7 (project management)</w:t>
            </w:r>
          </w:p>
        </w:tc>
      </w:tr>
      <w:tr>
        <w:tc>
          <w:tcPr>
            <w:tcW w:type="dxa" w:w="2448"/>
          </w:tcPr>
          <w:p>
            <w:r>
              <w:t>Brand Owners</w:t>
            </w:r>
          </w:p>
        </w:tc>
        <w:tc>
          <w:tcPr>
            <w:tcW w:type="dxa" w:w="2592"/>
          </w:tcPr>
          <w:p>
            <w:r>
              <w:t>Wholesale suppliers and manufacturers considering or actively using the platform.</w:t>
            </w:r>
          </w:p>
        </w:tc>
        <w:tc>
          <w:tcPr>
            <w:tcW w:type="dxa" w:w="4320"/>
          </w:tcPr>
          <w:p>
            <w:r>
              <w:t>§1.2 (overview), §2.5 (FRS — brand &amp; product subsystems), §4.4 (make/buy analysis)</w:t>
            </w:r>
          </w:p>
        </w:tc>
      </w:tr>
      <w:tr>
        <w:tc>
          <w:tcPr>
            <w:tcW w:type="dxa" w:w="2448"/>
          </w:tcPr>
          <w:p>
            <w:r>
              <w:t>Business Buyers</w:t>
            </w:r>
          </w:p>
        </w:tc>
        <w:tc>
          <w:tcPr>
            <w:tcW w:type="dxa" w:w="2592"/>
          </w:tcPr>
          <w:p>
            <w:r>
              <w:t>Retail and wholesale procurement professionals evaluating the platform for sourcing.</w:t>
            </w:r>
          </w:p>
        </w:tc>
        <w:tc>
          <w:tcPr>
            <w:tcW w:type="dxa" w:w="4320"/>
          </w:tcPr>
          <w:p>
            <w:r>
              <w:t>§1.2 (overview), §2.7 use cases UC-03, UC-05, UC-06, §5 (system evaluation)</w:t>
            </w:r>
          </w:p>
        </w:tc>
      </w:tr>
      <w:tr>
        <w:tc>
          <w:tcPr>
            <w:tcW w:type="dxa" w:w="2448"/>
          </w:tcPr>
          <w:p>
            <w:r>
              <w:t>Dr. Rababaah (Supervisor)</w:t>
            </w:r>
          </w:p>
        </w:tc>
        <w:tc>
          <w:tcPr>
            <w:tcW w:type="dxa" w:w="2592"/>
          </w:tcPr>
          <w:p>
            <w:r>
              <w:t>Academic supervisor assessing the project against Software Engineering course criteria.</w:t>
            </w:r>
          </w:p>
        </w:tc>
        <w:tc>
          <w:tcPr>
            <w:tcW w:type="dxa" w:w="4320"/>
          </w:tcPr>
          <w:p>
            <w:r>
              <w:t>All chapters. Particular focus: §2 (SRS), §3 (design), §4 (implementation), §5 (evaluation), §7 (project management, COCOMO, risk).</w:t>
            </w:r>
          </w:p>
        </w:tc>
      </w:tr>
      <w:tr>
        <w:tc>
          <w:tcPr>
            <w:tcW w:type="dxa" w:w="2448"/>
          </w:tcPr>
          <w:p>
            <w:r>
              <w:t>Future Developers</w:t>
            </w:r>
          </w:p>
        </w:tc>
        <w:tc>
          <w:tcPr>
            <w:tcW w:type="dxa" w:w="2592"/>
          </w:tcPr>
          <w:p>
            <w:r>
              <w:t>Engineers who will extend, maintain, or deploy the platform beyond the academic submission.</w:t>
            </w:r>
          </w:p>
        </w:tc>
        <w:tc>
          <w:tcPr>
            <w:tcW w:type="dxa" w:w="4320"/>
          </w:tcPr>
          <w:p>
            <w:r>
              <w:t>§3 (design), §4 (implementation &amp; deployment spec), §4.5 (configuration management), §6 (system evolution), Appendix B (source file extracts).</w:t>
            </w:r>
          </w:p>
        </w:tc>
      </w:tr>
    </w:tbl>
    <w:p/>
    <w:p>
      <w:pPr>
        <w:pStyle w:val="Heading2"/>
      </w:pPr>
      <w:r>
        <w:t>1.5  Product Scope</w:t>
      </w:r>
    </w:p>
    <w:p>
      <w:pPr>
        <w:pStyle w:val="Heading3"/>
      </w:pPr>
      <w:r>
        <w:t>Functional Scope</w:t>
      </w:r>
    </w:p>
    <w:p>
      <w:pPr/>
      <w:r>
        <w:t>The Kuwait B2B Hub delivers a comprehensive set of functional capabilities organised across five primary subsystems. The Authentication and User Management subsystem provides secure account registration with role selection (buyer or brand owner), login and logout with HTTP-only session cookies persisting for seven days, and role-based route protection enforced at both the Next.js middleware layer and within each API route handler. Admin accounts are created internally by the platform operator.</w:t>
      </w:r>
    </w:p>
    <w:p>
      <w:pPr/>
      <w:r>
        <w:t>The Brand Management subsystem enables brand owners to create and maintain brand profiles, submit listings for administrative verification, achieve one of three verification tiers (Premium, Verified, New), configure WhatsApp contact details with automatic click-count tracking, and set business hours and automated reply messages. The Product and Catalogue Management subsystem allows brand owners to create, edit, and delete product listings with full attributes including images, stock levels, minimum order quantities, and structured bulk-pricing tiers. Brands may bulk-import entire product catalogues from Microsoft Excel (.xlsx) files, reducing manual catalogue population effort significantly.</w:t>
      </w:r>
    </w:p>
    <w:p>
      <w:pPr/>
      <w:r>
        <w:t>The Order Management subsystem supports the full order lifecycle: buyers submit requests with MOQ and stock validation enforced at submission time; brand owners review and approve or reject requests; orders transition through a defined status sequence (pending → approved → completed / rejected); both parties receive targeted in-app notifications at each transition. The Trust, Review, and Notification subsystem provides 1-to-5 star review submission with optional anonymity, brand replies to reviews, admin moderation tools, and a Trust Engine that computes composite trust scores for both brands (response rate, completion rate, average fulfilment days) and buyers (total orders, completion rate, cancellation rate) from historical order data.</w:t>
      </w:r>
    </w:p>
    <w:p>
      <w:pPr>
        <w:pStyle w:val="Heading3"/>
      </w:pPr>
      <w:r>
        <w:t>Non-Functional Scope</w:t>
      </w:r>
    </w:p>
    <w:p>
      <w:pPr/>
      <w:r>
        <w:t>Beyond its functional features, the Kuwait B2B Hub is governed by eight non-functional requirements that define the quality attributes of the system. Performance targets require API response times under 300 milliseconds for standard read operations under normal load. The security posture mandates HTTP-only, SameSite-protected session cookies; HTTPS enforcement via Vercel's edge network; and a mandatory transition from the MVP's plain-text credential storage to Supabase's bcrypt-based authentication before any public deployment. Usability requirements mandate that all primary workflows are operable on mobile viewports as small as 375 pixels wide, supported by a dedicated bottom navigation bar and mobile-optimised top bar. Internationalisation requirements specify that every user-facing string is externalised to locale-specific message files, enabling complete Arabic RTL and English LTR rendering without any hard-coded string literals in component files. Scalability requirements ensure that the data access abstraction layer can be migrated from the JSON prototype store to Supabase PostgreSQL without modifying any API route handler — a key architectural decision that protects the application layer from infrastructure churn during the production transition.</w:t>
      </w:r>
    </w:p>
    <w:p>
      <w:pPr>
        <w:pStyle w:val="Heading2"/>
      </w:pPr>
      <w:r>
        <w:t>1.6  Team Workload Distribution</w:t>
      </w:r>
    </w:p>
    <w:p>
      <w:pPr/>
      <w:r>
        <w:t>The following table documents each team member's authoring responsibilities across the ten chapters of the Final Report. Chapter weights reflect the relative academic and technical significance of each section as a proportion of total report effort. A weight of 25% for Chapter IV (Implementation) reflects its status as the largest technical deliverable, encompassing codebase documentation, architecture evidence, make/buy analysis, configuration management, and deployment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Chapter</w:t>
            </w:r>
          </w:p>
        </w:tc>
        <w:tc>
          <w:tcPr>
            <w:tcW w:type="dxa" w:w="2448"/>
          </w:tcPr>
          <w:p>
            <w:r>
              <w:rPr>
                <w:b/>
              </w:rPr>
              <w:t>Title</w:t>
            </w:r>
          </w:p>
        </w:tc>
        <w:tc>
          <w:tcPr>
            <w:tcW w:type="dxa" w:w="1008"/>
          </w:tcPr>
          <w:p>
            <w:r>
              <w:rPr>
                <w:b/>
              </w:rPr>
              <w:t>Weight</w:t>
            </w:r>
          </w:p>
        </w:tc>
        <w:tc>
          <w:tcPr>
            <w:tcW w:type="dxa" w:w="2448"/>
          </w:tcPr>
          <w:p>
            <w:r>
              <w:rPr>
                <w:b/>
              </w:rPr>
              <w:t>Primary Lead</w:t>
            </w:r>
          </w:p>
        </w:tc>
        <w:tc>
          <w:tcPr>
            <w:tcW w:type="dxa" w:w="2448"/>
          </w:tcPr>
          <w:p>
            <w:r>
              <w:rPr>
                <w:b/>
              </w:rPr>
              <w:t>Support / Contributors</w:t>
            </w:r>
          </w:p>
        </w:tc>
      </w:tr>
      <w:tr>
        <w:tc>
          <w:tcPr>
            <w:tcW w:type="dxa" w:w="1008"/>
          </w:tcPr>
          <w:p>
            <w:r>
              <w:t>Ch I</w:t>
            </w:r>
          </w:p>
        </w:tc>
        <w:tc>
          <w:tcPr>
            <w:tcW w:type="dxa" w:w="2448"/>
          </w:tcPr>
          <w:p>
            <w:r>
              <w:t>Introduction</w:t>
            </w:r>
          </w:p>
        </w:tc>
        <w:tc>
          <w:tcPr>
            <w:tcW w:type="dxa" w:w="1008"/>
          </w:tcPr>
          <w:p>
            <w:r>
              <w:t>7%</w:t>
            </w:r>
          </w:p>
        </w:tc>
        <w:tc>
          <w:tcPr>
            <w:tcW w:type="dxa" w:w="2448"/>
          </w:tcPr>
          <w:p>
            <w:r>
              <w:t>Bader Alnoumas</w:t>
            </w:r>
          </w:p>
        </w:tc>
        <w:tc>
          <w:tcPr>
            <w:tcW w:type="dxa" w:w="2448"/>
          </w:tcPr>
          <w:p>
            <w:r>
              <w:t>Abdullah Abduljaleel</w:t>
            </w:r>
          </w:p>
        </w:tc>
      </w:tr>
      <w:tr>
        <w:tc>
          <w:tcPr>
            <w:tcW w:type="dxa" w:w="1008"/>
          </w:tcPr>
          <w:p>
            <w:r>
              <w:t>Ch II</w:t>
            </w:r>
          </w:p>
        </w:tc>
        <w:tc>
          <w:tcPr>
            <w:tcW w:type="dxa" w:w="2448"/>
          </w:tcPr>
          <w:p>
            <w:r>
              <w:t>SRS</w:t>
            </w:r>
          </w:p>
        </w:tc>
        <w:tc>
          <w:tcPr>
            <w:tcW w:type="dxa" w:w="1008"/>
          </w:tcPr>
          <w:p>
            <w:r>
              <w:t>7%</w:t>
            </w:r>
          </w:p>
        </w:tc>
        <w:tc>
          <w:tcPr>
            <w:tcW w:type="dxa" w:w="2448"/>
          </w:tcPr>
          <w:p>
            <w:r>
              <w:t>Salah Abdulfattah</w:t>
            </w:r>
          </w:p>
        </w:tc>
        <w:tc>
          <w:tcPr>
            <w:tcW w:type="dxa" w:w="2448"/>
          </w:tcPr>
          <w:p>
            <w:r>
              <w:t>Abdullah Subhi</w:t>
            </w:r>
          </w:p>
        </w:tc>
      </w:tr>
      <w:tr>
        <w:tc>
          <w:tcPr>
            <w:tcW w:type="dxa" w:w="1008"/>
          </w:tcPr>
          <w:p>
            <w:r>
              <w:t>Ch III</w:t>
            </w:r>
          </w:p>
        </w:tc>
        <w:tc>
          <w:tcPr>
            <w:tcW w:type="dxa" w:w="2448"/>
          </w:tcPr>
          <w:p>
            <w:r>
              <w:t>System Design</w:t>
            </w:r>
          </w:p>
        </w:tc>
        <w:tc>
          <w:tcPr>
            <w:tcW w:type="dxa" w:w="1008"/>
          </w:tcPr>
          <w:p>
            <w:r>
              <w:t>20%</w:t>
            </w:r>
          </w:p>
        </w:tc>
        <w:tc>
          <w:tcPr>
            <w:tcW w:type="dxa" w:w="2448"/>
          </w:tcPr>
          <w:p>
            <w:r>
              <w:t>Abdullah Abduljaleel</w:t>
            </w:r>
          </w:p>
        </w:tc>
        <w:tc>
          <w:tcPr>
            <w:tcW w:type="dxa" w:w="2448"/>
          </w:tcPr>
          <w:p>
            <w:r>
              <w:t>All members</w:t>
            </w:r>
          </w:p>
        </w:tc>
      </w:tr>
      <w:tr>
        <w:tc>
          <w:tcPr>
            <w:tcW w:type="dxa" w:w="1008"/>
          </w:tcPr>
          <w:p>
            <w:r>
              <w:t>Ch IV</w:t>
            </w:r>
          </w:p>
        </w:tc>
        <w:tc>
          <w:tcPr>
            <w:tcW w:type="dxa" w:w="2448"/>
          </w:tcPr>
          <w:p>
            <w:r>
              <w:t>Implementation</w:t>
            </w:r>
          </w:p>
        </w:tc>
        <w:tc>
          <w:tcPr>
            <w:tcW w:type="dxa" w:w="1008"/>
          </w:tcPr>
          <w:p>
            <w:r>
              <w:t>25%</w:t>
            </w:r>
          </w:p>
        </w:tc>
        <w:tc>
          <w:tcPr>
            <w:tcW w:type="dxa" w:w="2448"/>
          </w:tcPr>
          <w:p>
            <w:r>
              <w:t>Abdullah Subhi</w:t>
            </w:r>
          </w:p>
        </w:tc>
        <w:tc>
          <w:tcPr>
            <w:tcW w:type="dxa" w:w="2448"/>
          </w:tcPr>
          <w:p>
            <w:r>
              <w:t>All members</w:t>
            </w:r>
          </w:p>
        </w:tc>
      </w:tr>
      <w:tr>
        <w:tc>
          <w:tcPr>
            <w:tcW w:type="dxa" w:w="1008"/>
          </w:tcPr>
          <w:p>
            <w:r>
              <w:t>Ch V</w:t>
            </w:r>
          </w:p>
        </w:tc>
        <w:tc>
          <w:tcPr>
            <w:tcW w:type="dxa" w:w="2448"/>
          </w:tcPr>
          <w:p>
            <w:r>
              <w:t>System Evaluation</w:t>
            </w:r>
          </w:p>
        </w:tc>
        <w:tc>
          <w:tcPr>
            <w:tcW w:type="dxa" w:w="1008"/>
          </w:tcPr>
          <w:p>
            <w:r>
              <w:t>15%</w:t>
            </w:r>
          </w:p>
        </w:tc>
        <w:tc>
          <w:tcPr>
            <w:tcW w:type="dxa" w:w="2448"/>
          </w:tcPr>
          <w:p>
            <w:r>
              <w:t>Bader Alnoumas</w:t>
            </w:r>
          </w:p>
        </w:tc>
        <w:tc>
          <w:tcPr>
            <w:tcW w:type="dxa" w:w="2448"/>
          </w:tcPr>
          <w:p>
            <w:r>
              <w:t>Salah Abdulfattah</w:t>
            </w:r>
          </w:p>
        </w:tc>
      </w:tr>
      <w:tr>
        <w:tc>
          <w:tcPr>
            <w:tcW w:type="dxa" w:w="1008"/>
          </w:tcPr>
          <w:p>
            <w:r>
              <w:t>Ch VI</w:t>
            </w:r>
          </w:p>
        </w:tc>
        <w:tc>
          <w:tcPr>
            <w:tcW w:type="dxa" w:w="2448"/>
          </w:tcPr>
          <w:p>
            <w:r>
              <w:t>System Evolution</w:t>
            </w:r>
          </w:p>
        </w:tc>
        <w:tc>
          <w:tcPr>
            <w:tcW w:type="dxa" w:w="1008"/>
          </w:tcPr>
          <w:p>
            <w:r>
              <w:t>10%</w:t>
            </w:r>
          </w:p>
        </w:tc>
        <w:tc>
          <w:tcPr>
            <w:tcW w:type="dxa" w:w="2448"/>
          </w:tcPr>
          <w:p>
            <w:r>
              <w:t>Salah Abdulfattah</w:t>
            </w:r>
          </w:p>
        </w:tc>
        <w:tc>
          <w:tcPr>
            <w:tcW w:type="dxa" w:w="2448"/>
          </w:tcPr>
          <w:p>
            <w:r>
              <w:t>Abdullah Abduljaleel</w:t>
            </w:r>
          </w:p>
        </w:tc>
      </w:tr>
      <w:tr>
        <w:tc>
          <w:tcPr>
            <w:tcW w:type="dxa" w:w="1008"/>
          </w:tcPr>
          <w:p>
            <w:r>
              <w:t>Ch VII</w:t>
            </w:r>
          </w:p>
        </w:tc>
        <w:tc>
          <w:tcPr>
            <w:tcW w:type="dxa" w:w="2448"/>
          </w:tcPr>
          <w:p>
            <w:r>
              <w:t>Project Management</w:t>
            </w:r>
          </w:p>
        </w:tc>
        <w:tc>
          <w:tcPr>
            <w:tcW w:type="dxa" w:w="1008"/>
          </w:tcPr>
          <w:p>
            <w:r>
              <w:t>7%</w:t>
            </w:r>
          </w:p>
        </w:tc>
        <w:tc>
          <w:tcPr>
            <w:tcW w:type="dxa" w:w="2448"/>
          </w:tcPr>
          <w:p>
            <w:r>
              <w:t>Bader Alnoumas</w:t>
            </w:r>
          </w:p>
        </w:tc>
        <w:tc>
          <w:tcPr>
            <w:tcW w:type="dxa" w:w="2448"/>
          </w:tcPr>
          <w:p>
            <w:r>
              <w:t>Abdullah Abduljaleel</w:t>
            </w:r>
          </w:p>
        </w:tc>
      </w:tr>
      <w:tr>
        <w:tc>
          <w:tcPr>
            <w:tcW w:type="dxa" w:w="1008"/>
          </w:tcPr>
          <w:p>
            <w:r>
              <w:t>Ch VIII</w:t>
            </w:r>
          </w:p>
        </w:tc>
        <w:tc>
          <w:tcPr>
            <w:tcW w:type="dxa" w:w="2448"/>
          </w:tcPr>
          <w:p>
            <w:r>
              <w:t>Conclusion</w:t>
            </w:r>
          </w:p>
        </w:tc>
        <w:tc>
          <w:tcPr>
            <w:tcW w:type="dxa" w:w="1008"/>
          </w:tcPr>
          <w:p>
            <w:r>
              <w:t>5%</w:t>
            </w:r>
          </w:p>
        </w:tc>
        <w:tc>
          <w:tcPr>
            <w:tcW w:type="dxa" w:w="2448"/>
          </w:tcPr>
          <w:p>
            <w:r>
              <w:t>Abdullah Subhi</w:t>
            </w:r>
          </w:p>
        </w:tc>
        <w:tc>
          <w:tcPr>
            <w:tcW w:type="dxa" w:w="2448"/>
          </w:tcPr>
          <w:p>
            <w:r>
              <w:t>Bader Alnoumas</w:t>
            </w:r>
          </w:p>
        </w:tc>
      </w:tr>
      <w:tr>
        <w:tc>
          <w:tcPr>
            <w:tcW w:type="dxa" w:w="1008"/>
          </w:tcPr>
          <w:p>
            <w:r>
              <w:t>Ch IX</w:t>
            </w:r>
          </w:p>
        </w:tc>
        <w:tc>
          <w:tcPr>
            <w:tcW w:type="dxa" w:w="2448"/>
          </w:tcPr>
          <w:p>
            <w:r>
              <w:t>References</w:t>
            </w:r>
          </w:p>
        </w:tc>
        <w:tc>
          <w:tcPr>
            <w:tcW w:type="dxa" w:w="1008"/>
          </w:tcPr>
          <w:p>
            <w:r>
              <w:t>2%</w:t>
            </w:r>
          </w:p>
        </w:tc>
        <w:tc>
          <w:tcPr>
            <w:tcW w:type="dxa" w:w="2448"/>
          </w:tcPr>
          <w:p>
            <w:r>
              <w:t>All members</w:t>
            </w:r>
          </w:p>
        </w:tc>
        <w:tc>
          <w:tcPr>
            <w:tcW w:type="dxa" w:w="2448"/>
          </w:tcPr>
          <w:p>
            <w:r>
              <w:t>—</w:t>
            </w:r>
          </w:p>
        </w:tc>
      </w:tr>
      <w:tr>
        <w:tc>
          <w:tcPr>
            <w:tcW w:type="dxa" w:w="1008"/>
          </w:tcPr>
          <w:p>
            <w:r>
              <w:t>Ch X</w:t>
            </w:r>
          </w:p>
        </w:tc>
        <w:tc>
          <w:tcPr>
            <w:tcW w:type="dxa" w:w="2448"/>
          </w:tcPr>
          <w:p>
            <w:r>
              <w:t>Appendices</w:t>
            </w:r>
          </w:p>
        </w:tc>
        <w:tc>
          <w:tcPr>
            <w:tcW w:type="dxa" w:w="1008"/>
          </w:tcPr>
          <w:p>
            <w:r>
              <w:t>2%</w:t>
            </w:r>
          </w:p>
        </w:tc>
        <w:tc>
          <w:tcPr>
            <w:tcW w:type="dxa" w:w="2448"/>
          </w:tcPr>
          <w:p>
            <w:r>
              <w:t>All members</w:t>
            </w:r>
          </w:p>
        </w:tc>
        <w:tc>
          <w:tcPr>
            <w:tcW w:type="dxa" w:w="2448"/>
          </w:tcPr>
          <w:p>
            <w:r>
              <w:t>—</w:t>
            </w:r>
          </w:p>
        </w:tc>
      </w:tr>
    </w:tbl>
    <w:p/>
    <w:p>
      <w:pPr/>
      <w:r>
        <w:t>Team Member Student IDs:</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Member</w:t>
            </w:r>
          </w:p>
        </w:tc>
        <w:tc>
          <w:tcPr>
            <w:tcW w:type="dxa" w:w="1872"/>
          </w:tcPr>
          <w:p>
            <w:r>
              <w:rPr>
                <w:b/>
              </w:rPr>
              <w:t>Student ID</w:t>
            </w:r>
          </w:p>
        </w:tc>
        <w:tc>
          <w:tcPr>
            <w:tcW w:type="dxa" w:w="4896"/>
          </w:tcPr>
          <w:p>
            <w:r>
              <w:rPr>
                <w:b/>
              </w:rPr>
              <w:t>Primary Chapter Responsibilities</w:t>
            </w:r>
          </w:p>
        </w:tc>
      </w:tr>
      <w:tr>
        <w:tc>
          <w:tcPr>
            <w:tcW w:type="dxa" w:w="2592"/>
          </w:tcPr>
          <w:p>
            <w:r>
              <w:t>Bader Alnoumas</w:t>
            </w:r>
          </w:p>
        </w:tc>
        <w:tc>
          <w:tcPr>
            <w:tcW w:type="dxa" w:w="1872"/>
          </w:tcPr>
          <w:p>
            <w:r>
              <w:t>S00059026</w:t>
            </w:r>
          </w:p>
        </w:tc>
        <w:tc>
          <w:tcPr>
            <w:tcW w:type="dxa" w:w="4896"/>
          </w:tcPr>
          <w:p>
            <w:r>
              <w:t>Lead: Ch I, Ch V, Ch VII</w:t>
            </w:r>
          </w:p>
        </w:tc>
      </w:tr>
      <w:tr>
        <w:tc>
          <w:tcPr>
            <w:tcW w:type="dxa" w:w="2592"/>
          </w:tcPr>
          <w:p>
            <w:r>
              <w:t>Abdullah Abduljaleel</w:t>
            </w:r>
          </w:p>
        </w:tc>
        <w:tc>
          <w:tcPr>
            <w:tcW w:type="dxa" w:w="1872"/>
          </w:tcPr>
          <w:p>
            <w:r>
              <w:t>S00056040</w:t>
            </w:r>
          </w:p>
        </w:tc>
        <w:tc>
          <w:tcPr>
            <w:tcW w:type="dxa" w:w="4896"/>
          </w:tcPr>
          <w:p>
            <w:r>
              <w:t>Lead: Ch III; Support: Ch I, Ch VI, Ch VII</w:t>
            </w:r>
          </w:p>
        </w:tc>
      </w:tr>
      <w:tr>
        <w:tc>
          <w:tcPr>
            <w:tcW w:type="dxa" w:w="2592"/>
          </w:tcPr>
          <w:p>
            <w:r>
              <w:t>Abdullah Subhi</w:t>
            </w:r>
          </w:p>
        </w:tc>
        <w:tc>
          <w:tcPr>
            <w:tcW w:type="dxa" w:w="1872"/>
          </w:tcPr>
          <w:p>
            <w:r>
              <w:t>S00054535</w:t>
            </w:r>
          </w:p>
        </w:tc>
        <w:tc>
          <w:tcPr>
            <w:tcW w:type="dxa" w:w="4896"/>
          </w:tcPr>
          <w:p>
            <w:r>
              <w:t>Lead: Ch IV, Ch VIII; Support: Ch II, Ch VI</w:t>
            </w:r>
          </w:p>
        </w:tc>
      </w:tr>
      <w:tr>
        <w:tc>
          <w:tcPr>
            <w:tcW w:type="dxa" w:w="2592"/>
          </w:tcPr>
          <w:p>
            <w:r>
              <w:t>Salah Abdulfattah</w:t>
            </w:r>
          </w:p>
        </w:tc>
        <w:tc>
          <w:tcPr>
            <w:tcW w:type="dxa" w:w="1872"/>
          </w:tcPr>
          <w:p>
            <w:r>
              <w:t>S00052772</w:t>
            </w:r>
          </w:p>
        </w:tc>
        <w:tc>
          <w:tcPr>
            <w:tcW w:type="dxa" w:w="4896"/>
          </w:tcPr>
          <w:p>
            <w:r>
              <w:t>Lead: Ch II, Ch VI; Support: Ch V, Ch VII</w:t>
            </w:r>
          </w:p>
        </w:tc>
      </w:tr>
    </w:tbl>
    <w:p/>
    <w:p>
      <w:r>
        <w:br w:type="page"/>
      </w:r>
    </w:p>
    <w:p>
      <w:pPr>
        <w:pStyle w:val="Heading1"/>
      </w:pPr>
      <w:r>
        <w:t>CHAPTER II — SOFTWARE REQUIREMENTS SPECIFICATION (SRS)</w:t>
      </w:r>
    </w:p>
    <w:p>
      <w:pPr/>
      <w:r>
        <w:t>This chapter presents the complete Software Requirements Specification for the Kuwait B2B Hub. It documents the feasibility analysis across five dimensions, all 17 user requirements, all 20 system requirements, all 8 non-functional requirements, the full Functional Requirements Specification across the five platform subsystems, the context model with external entity definitions, the complete use-case catalogue with five detailed specifications, the preliminary system architecture, and the Requirements Traceability Matrix.</w:t>
      </w:r>
    </w:p>
    <w:p>
      <w:pPr>
        <w:pStyle w:val="Heading2"/>
      </w:pPr>
      <w:r>
        <w:t>2.1  Feasibility Study</w:t>
      </w:r>
    </w:p>
    <w:p>
      <w:pPr/>
      <w:r>
        <w:t>The feasibility of the Kuwait B2B Hub was assessed across five standard dimensions prior to committing to full-scale development. This analysis informed both the technical choices made during implementation and the scope boundaries established in the requirements phase.</w:t>
      </w:r>
    </w:p>
    <w:p>
      <w:pPr>
        <w:pStyle w:val="Heading3"/>
      </w:pPr>
      <w:r>
        <w:t>2.1.1  Technical Feasibility</w:t>
      </w:r>
    </w:p>
    <w:p>
      <w:pPr/>
      <w:r>
        <w:t>Technical feasibility was evaluated by determining whether the required functionality could be delivered within the team's collective skill set, the available open-source tooling, and the time constraints of a single academic semester. The verdict was affirmative on all three dimensions. The Next.js 16 App Router provides a mature, well-documented full-stack framework that unifies server-side rendering, static generation, API route handling, and middleware pipeline management into a single coherent platform. TypeScript's compile-time type system enforces data integrity contracts across all 93 source files, dramatically reducing the risk of runtime type errors in a complex multi-role application with 25 API endpoints. Supabase offers a managed PostgreSQL instance with built-in JWT authentication, real-time subscriptions, and a JavaScript SDK that abstracts database administration complexity. Vercel's first-party Next.js hosting provides zero-configuration deployment, automatic TLS, and a global content delivery network. All selected technologies are open-source or available on free tiers, confirming that no technical licensing barrier exists. The team's proficiency in TypeScript and React, combined with the comprehensive documentation of the chosen stack, supports a finding of High Technical Feasibility.</w:t>
      </w:r>
    </w:p>
    <w:p>
      <w:pPr>
        <w:pStyle w:val="Heading3"/>
      </w:pPr>
      <w:r>
        <w:t>2.1.2  Economic Feasibility</w:t>
      </w:r>
    </w:p>
    <w:p>
      <w:pPr/>
      <w:r>
        <w:t>The Kuwait B2B Hub prototype was developed at zero direct monetary cost. All frameworks — Next.js, React, TypeScript, Zustand, next-intl, Recharts — are MIT-licensed open-source software with no runtime royalties. The Supabase free tier provides a managed PostgreSQL instance, JWT authentication, and real-time infrastructure at a scale appropriate for prototype testing. Vercel's Hobby tier provides production-grade serverless hosting and CI/CD for Next.js at no cost. No proprietary tools or paid SaaS subscriptions were required for development or deployment during the academic phase. The COCOMO estimation documented in §7.5 projects that equivalent commercial development effort would total approximately 30.5 person-months — representing a significant capital cost that was entirely eliminated through academic labour. Commercial viability rests on the proposed brand subscription model of KD 29 per month, which at projected adoption rates would generate sufficient recurring revenue to cover cloud infrastructure costs from as few as 20 paying brand subscribers. Economic feasibility is assessed as High for the prototype phase and Moderate-to-High for the commercial version, subject to successful KNET payment gateway integration.</w:t>
      </w:r>
    </w:p>
    <w:p>
      <w:pPr>
        <w:pStyle w:val="Heading3"/>
      </w:pPr>
      <w:r>
        <w:t>2.1.3  Legal Feasibility</w:t>
      </w:r>
    </w:p>
    <w:p>
      <w:pPr/>
      <w:r>
        <w:t>Legal feasibility for the Kuwait B2B Hub involves compliance with several regulatory frameworks. Kuwait's Personal Data Protection Law (Law No. 20 of 2014) governs the collection, storage, and processing of personal data including names, email addresses, WhatsApp numbers, and company identifiers — all collected at platform registration. The prototype does not currently implement explicit consent mechanisms, a published Privacy Policy, or documented data retention policies; these are identified as near-term evolution requirements in §6.3. Payment processing via the Kuwait national payment network (KNET) is subject to Central Bank of Kuwait approval and PCI-DSS compliance obligations; the current prototype defers all monetary transaction processing and collects no card data. All open-source licences governing the chosen frameworks (MIT, Apache 2.0) permit commercial use without royalty obligations. Legal feasibility is assessed as Moderate — achievable with specific compliance investments — rather than blocked.</w:t>
      </w:r>
    </w:p>
    <w:p>
      <w:pPr>
        <w:pStyle w:val="Heading3"/>
      </w:pPr>
      <w:r>
        <w:t>2.1.4  Operational Feasibility</w:t>
      </w:r>
    </w:p>
    <w:p>
      <w:pPr/>
      <w:r>
        <w:t>Operational feasibility addresses whether the platform can be adopted and used effectively by its intended user base in the Kuwaiti market context. The Kuwait B2B Hub addresses operational viability on multiple dimensions. Full bilingual support — Arabic RTL and English LTR — ensures that native Arabic-speaking brand owners and buyers can operate the platform in their primary language without linguistic barriers. The mobile-first responsive design directly acknowledges that over 78% of Kuwaiti internet users access digital services via mobile devices (CITRA, 2024), and the dedicated BottomNav and MobileTopBar components target this usage pattern. The brand verification workflow and trust scoring system address the core operational challenge of building credibility in a market where informal personal relationships have historically substituted for institutional trust infrastructure. The self-service model — in which brands and buyers register and operate without requiring platform staff intervention for standard transactions — ensures that the platform can scale without proportionate staffing growth. Operational feasibility is assessed as High, contingent on reaching the critical mass of verified brands required to generate a compelling discovery experience for buyers.</w:t>
      </w:r>
    </w:p>
    <w:p>
      <w:pPr>
        <w:pStyle w:val="Heading3"/>
      </w:pPr>
      <w:r>
        <w:t>2.1.5  Schedule Feasibility</w:t>
      </w:r>
    </w:p>
    <w:p>
      <w:pPr/>
      <w:r>
        <w:t>The Kuwait B2B Hub was developed within a single academic semester, from project inception in January 2026 to final submission in June 2026 — approximately five to six months of part-time collaborative development by a four-person team. The Agile sprint model (eight sprints, each delivering a vertical feature slice) proved well-suited to this compressed timeline. Core business workflows — authentication, marketplace, product management, order lifecycle, and trust scoring — were delivered within Sprints 1 through 6. Sprint 7 addressed localisation and quality hardening; Sprint 8 targets production readiness and academic deliverable completion. The COCOMO estimation in §7.5 projects a recommended development timeline of approximately 9.2 months for a team of 3–4 persons; the academic project was completed in roughly 65% of that estimated commercial timeline, an acceleration that is explicable by the reduced MVP scope and the elimination of business overhead. Schedule feasibility is assessed as Achieved for the prototype, with the three Critical post-submission evolution items (PostgreSQL migration, automated test suite, KNET payment integration) requiring an additional 6–9 months of dedicated commercial development effort.</w:t>
      </w:r>
    </w:p>
    <w:p>
      <w:pPr>
        <w:pStyle w:val="Heading2"/>
      </w:pPr>
      <w:r>
        <w:t>2.2  User Requirements</w:t>
      </w:r>
    </w:p>
    <w:p>
      <w:pPr/>
      <w:r>
        <w:t>User Requirements (URs) express what the system must allow users to accomplish, stated in user-facing language without prescribing implementation detail. The following 17 user requirements were derived from stakeholder analysis, the platform's business model, and GCC B2B market research.</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b/>
              </w:rPr>
              <w:t>UR ID</w:t>
            </w:r>
          </w:p>
        </w:tc>
        <w:tc>
          <w:tcPr>
            <w:tcW w:type="dxa" w:w="1872"/>
          </w:tcPr>
          <w:p>
            <w:r>
              <w:rPr>
                <w:b/>
              </w:rPr>
              <w:t>Actor(s)</w:t>
            </w:r>
          </w:p>
        </w:tc>
        <w:tc>
          <w:tcPr>
            <w:tcW w:type="dxa" w:w="5472"/>
          </w:tcPr>
          <w:p>
            <w:r>
              <w:rPr>
                <w:b/>
              </w:rPr>
              <w:t>Requirement Statement</w:t>
            </w:r>
          </w:p>
        </w:tc>
        <w:tc>
          <w:tcPr>
            <w:tcW w:type="dxa" w:w="1008"/>
          </w:tcPr>
          <w:p>
            <w:r>
              <w:rPr>
                <w:b/>
              </w:rPr>
              <w:t>Priority</w:t>
            </w:r>
          </w:p>
        </w:tc>
      </w:tr>
      <w:tr>
        <w:tc>
          <w:tcPr>
            <w:tcW w:type="dxa" w:w="1008"/>
          </w:tcPr>
          <w:p>
            <w:r>
              <w:t>UR-01</w:t>
            </w:r>
          </w:p>
        </w:tc>
        <w:tc>
          <w:tcPr>
            <w:tcW w:type="dxa" w:w="1872"/>
          </w:tcPr>
          <w:p>
            <w:r>
              <w:t>Buyer / Brand Owner / Admin</w:t>
            </w:r>
          </w:p>
        </w:tc>
        <w:tc>
          <w:tcPr>
            <w:tcW w:type="dxa" w:w="5472"/>
          </w:tcPr>
          <w:p>
            <w:r>
              <w:t>A user shall be able to register a new account on the platform by providing their full name, email address, password, company name, and selecting a role (Buyer or Brand Owner). Admin accounts are provisioned internally.</w:t>
            </w:r>
          </w:p>
        </w:tc>
        <w:tc>
          <w:tcPr>
            <w:tcW w:type="dxa" w:w="1008"/>
          </w:tcPr>
          <w:p>
            <w:r>
              <w:t>High</w:t>
            </w:r>
          </w:p>
        </w:tc>
      </w:tr>
      <w:tr>
        <w:tc>
          <w:tcPr>
            <w:tcW w:type="dxa" w:w="1008"/>
          </w:tcPr>
          <w:p>
            <w:r>
              <w:t>UR-02</w:t>
            </w:r>
          </w:p>
        </w:tc>
        <w:tc>
          <w:tcPr>
            <w:tcW w:type="dxa" w:w="1872"/>
          </w:tcPr>
          <w:p>
            <w:r>
              <w:t>Buyer / Brand Owner / Admin</w:t>
            </w:r>
          </w:p>
        </w:tc>
        <w:tc>
          <w:tcPr>
            <w:tcW w:type="dxa" w:w="5472"/>
          </w:tcPr>
          <w:p>
            <w:r>
              <w:t>A registered user shall be able to log in using their email and password, and log out, with their session persisting for up to seven days without requiring re-authentication.</w:t>
            </w:r>
          </w:p>
        </w:tc>
        <w:tc>
          <w:tcPr>
            <w:tcW w:type="dxa" w:w="1008"/>
          </w:tcPr>
          <w:p>
            <w:r>
              <w:t>High</w:t>
            </w:r>
          </w:p>
        </w:tc>
      </w:tr>
      <w:tr>
        <w:tc>
          <w:tcPr>
            <w:tcW w:type="dxa" w:w="1008"/>
          </w:tcPr>
          <w:p>
            <w:r>
              <w:t>UR-03</w:t>
            </w:r>
          </w:p>
        </w:tc>
        <w:tc>
          <w:tcPr>
            <w:tcW w:type="dxa" w:w="1872"/>
          </w:tcPr>
          <w:p>
            <w:r>
              <w:t>Admin</w:t>
            </w:r>
          </w:p>
        </w:tc>
        <w:tc>
          <w:tcPr>
            <w:tcW w:type="dxa" w:w="5472"/>
          </w:tcPr>
          <w:p>
            <w:r>
              <w:t>A platform administrator shall be able to review all pending brand registration applications, approve or reject each, and assign a verification tier (Premium, Verified, or New) to approved brands.</w:t>
            </w:r>
          </w:p>
        </w:tc>
        <w:tc>
          <w:tcPr>
            <w:tcW w:type="dxa" w:w="1008"/>
          </w:tcPr>
          <w:p>
            <w:r>
              <w:t>High</w:t>
            </w:r>
          </w:p>
        </w:tc>
      </w:tr>
      <w:tr>
        <w:tc>
          <w:tcPr>
            <w:tcW w:type="dxa" w:w="1008"/>
          </w:tcPr>
          <w:p>
            <w:r>
              <w:t>UR-04</w:t>
            </w:r>
          </w:p>
        </w:tc>
        <w:tc>
          <w:tcPr>
            <w:tcW w:type="dxa" w:w="1872"/>
          </w:tcPr>
          <w:p>
            <w:r>
              <w:t>Brand Owner</w:t>
            </w:r>
          </w:p>
        </w:tc>
        <w:tc>
          <w:tcPr>
            <w:tcW w:type="dxa" w:w="5472"/>
          </w:tcPr>
          <w:p>
            <w:r>
              <w:t>A brand owner shall be able to create, view, edit, and delete product listings within their brand catalogue, specifying name, description, price, stock level, minimum order quantity, and product image.</w:t>
            </w:r>
          </w:p>
        </w:tc>
        <w:tc>
          <w:tcPr>
            <w:tcW w:type="dxa" w:w="1008"/>
          </w:tcPr>
          <w:p>
            <w:r>
              <w:t>High</w:t>
            </w:r>
          </w:p>
        </w:tc>
      </w:tr>
      <w:tr>
        <w:tc>
          <w:tcPr>
            <w:tcW w:type="dxa" w:w="1008"/>
          </w:tcPr>
          <w:p>
            <w:r>
              <w:t>UR-05</w:t>
            </w:r>
          </w:p>
        </w:tc>
        <w:tc>
          <w:tcPr>
            <w:tcW w:type="dxa" w:w="1872"/>
          </w:tcPr>
          <w:p>
            <w:r>
              <w:t>Brand Owner</w:t>
            </w:r>
          </w:p>
        </w:tc>
        <w:tc>
          <w:tcPr>
            <w:tcW w:type="dxa" w:w="5472"/>
          </w:tcPr>
          <w:p>
            <w:r>
              <w:t>A brand owner shall be able to define multiple bulk-pricing tiers for any product, each specifying a quantity range (min_qty to max_qty) and the corresponding discounted unit price for orders within that range.</w:t>
            </w:r>
          </w:p>
        </w:tc>
        <w:tc>
          <w:tcPr>
            <w:tcW w:type="dxa" w:w="1008"/>
          </w:tcPr>
          <w:p>
            <w:r>
              <w:t>High</w:t>
            </w:r>
          </w:p>
        </w:tc>
      </w:tr>
      <w:tr>
        <w:tc>
          <w:tcPr>
            <w:tcW w:type="dxa" w:w="1008"/>
          </w:tcPr>
          <w:p>
            <w:r>
              <w:t>UR-06</w:t>
            </w:r>
          </w:p>
        </w:tc>
        <w:tc>
          <w:tcPr>
            <w:tcW w:type="dxa" w:w="1872"/>
          </w:tcPr>
          <w:p>
            <w:r>
              <w:t>Buyer</w:t>
            </w:r>
          </w:p>
        </w:tc>
        <w:tc>
          <w:tcPr>
            <w:tcW w:type="dxa" w:w="5472"/>
          </w:tcPr>
          <w:p>
            <w:r>
              <w:t>A buyer shall be able to browse all verified brands on the marketplace, applying filters for category, verification tier, minimum order quantity, and star rating, and shall be able to view each brand's full profile including products and trust metrics.</w:t>
            </w:r>
          </w:p>
        </w:tc>
        <w:tc>
          <w:tcPr>
            <w:tcW w:type="dxa" w:w="1008"/>
          </w:tcPr>
          <w:p>
            <w:r>
              <w:t>High</w:t>
            </w:r>
          </w:p>
        </w:tc>
      </w:tr>
      <w:tr>
        <w:tc>
          <w:tcPr>
            <w:tcW w:type="dxa" w:w="1008"/>
          </w:tcPr>
          <w:p>
            <w:r>
              <w:t>UR-07</w:t>
            </w:r>
          </w:p>
        </w:tc>
        <w:tc>
          <w:tcPr>
            <w:tcW w:type="dxa" w:w="1872"/>
          </w:tcPr>
          <w:p>
            <w:r>
              <w:t>Buyer</w:t>
            </w:r>
          </w:p>
        </w:tc>
        <w:tc>
          <w:tcPr>
            <w:tcW w:type="dxa" w:w="5472"/>
          </w:tcPr>
          <w:p>
            <w:r>
              <w:t>A buyer shall be able to view all product prices displayed in their selected currency (KWD, SAR, AED, or BHD), with amounts automatically converted using the platform's configurable exchange rates.</w:t>
            </w:r>
          </w:p>
        </w:tc>
        <w:tc>
          <w:tcPr>
            <w:tcW w:type="dxa" w:w="1008"/>
          </w:tcPr>
          <w:p>
            <w:r>
              <w:t>Medium</w:t>
            </w:r>
          </w:p>
        </w:tc>
      </w:tr>
      <w:tr>
        <w:tc>
          <w:tcPr>
            <w:tcW w:type="dxa" w:w="1008"/>
          </w:tcPr>
          <w:p>
            <w:r>
              <w:t>UR-08</w:t>
            </w:r>
          </w:p>
        </w:tc>
        <w:tc>
          <w:tcPr>
            <w:tcW w:type="dxa" w:w="1872"/>
          </w:tcPr>
          <w:p>
            <w:r>
              <w:t>Buyer</w:t>
            </w:r>
          </w:p>
        </w:tc>
        <w:tc>
          <w:tcPr>
            <w:tcW w:type="dxa" w:w="5472"/>
          </w:tcPr>
          <w:p>
            <w:r>
              <w:t>A buyer shall be able to submit a bulk order request for one or more products from a single brand. The system shall enforce minimum order quantity and available stock constraints at the time of submission.</w:t>
            </w:r>
          </w:p>
        </w:tc>
        <w:tc>
          <w:tcPr>
            <w:tcW w:type="dxa" w:w="1008"/>
          </w:tcPr>
          <w:p>
            <w:r>
              <w:t>High</w:t>
            </w:r>
          </w:p>
        </w:tc>
      </w:tr>
      <w:tr>
        <w:tc>
          <w:tcPr>
            <w:tcW w:type="dxa" w:w="1008"/>
          </w:tcPr>
          <w:p>
            <w:r>
              <w:t>UR-09</w:t>
            </w:r>
          </w:p>
        </w:tc>
        <w:tc>
          <w:tcPr>
            <w:tcW w:type="dxa" w:w="1872"/>
          </w:tcPr>
          <w:p>
            <w:r>
              <w:t>Brand Owner</w:t>
            </w:r>
          </w:p>
        </w:tc>
        <w:tc>
          <w:tcPr>
            <w:tcW w:type="dxa" w:w="5472"/>
          </w:tcPr>
          <w:p>
            <w:r>
              <w:t>A brand owner shall be able to view all incoming order requests, inspect buyer identity and order details, and approve or reject each order, updating its status accordingly.</w:t>
            </w:r>
          </w:p>
        </w:tc>
        <w:tc>
          <w:tcPr>
            <w:tcW w:type="dxa" w:w="1008"/>
          </w:tcPr>
          <w:p>
            <w:r>
              <w:t>High</w:t>
            </w:r>
          </w:p>
        </w:tc>
      </w:tr>
      <w:tr>
        <w:tc>
          <w:tcPr>
            <w:tcW w:type="dxa" w:w="1008"/>
          </w:tcPr>
          <w:p>
            <w:r>
              <w:t>UR-10</w:t>
            </w:r>
          </w:p>
        </w:tc>
        <w:tc>
          <w:tcPr>
            <w:tcW w:type="dxa" w:w="1872"/>
          </w:tcPr>
          <w:p>
            <w:r>
              <w:t>Buyer / Brand Owner</w:t>
            </w:r>
          </w:p>
        </w:tc>
        <w:tc>
          <w:tcPr>
            <w:tcW w:type="dxa" w:w="5472"/>
          </w:tcPr>
          <w:p>
            <w:r>
              <w:t>Both buyers and brand owners shall be able to view the current status of all their respective orders and monitor all status transitions (pending, approved, completed, rejected) over the full order lifecycle.</w:t>
            </w:r>
          </w:p>
        </w:tc>
        <w:tc>
          <w:tcPr>
            <w:tcW w:type="dxa" w:w="1008"/>
          </w:tcPr>
          <w:p>
            <w:r>
              <w:t>High</w:t>
            </w:r>
          </w:p>
        </w:tc>
      </w:tr>
      <w:tr>
        <w:tc>
          <w:tcPr>
            <w:tcW w:type="dxa" w:w="1008"/>
          </w:tcPr>
          <w:p>
            <w:r>
              <w:t>UR-11</w:t>
            </w:r>
          </w:p>
        </w:tc>
        <w:tc>
          <w:tcPr>
            <w:tcW w:type="dxa" w:w="1872"/>
          </w:tcPr>
          <w:p>
            <w:r>
              <w:t>Buyer</w:t>
            </w:r>
          </w:p>
        </w:tc>
        <w:tc>
          <w:tcPr>
            <w:tcW w:type="dxa" w:w="5472"/>
          </w:tcPr>
          <w:p>
            <w:r>
              <w:t>A buyer shall be able to submit a star rating (1–5 stars) and written review for any brand they have interacted with, with the option to submit the review anonymously.</w:t>
            </w:r>
          </w:p>
        </w:tc>
        <w:tc>
          <w:tcPr>
            <w:tcW w:type="dxa" w:w="1008"/>
          </w:tcPr>
          <w:p>
            <w:r>
              <w:t>Medium</w:t>
            </w:r>
          </w:p>
        </w:tc>
      </w:tr>
      <w:tr>
        <w:tc>
          <w:tcPr>
            <w:tcW w:type="dxa" w:w="1008"/>
          </w:tcPr>
          <w:p>
            <w:r>
              <w:t>UR-12</w:t>
            </w:r>
          </w:p>
        </w:tc>
        <w:tc>
          <w:tcPr>
            <w:tcW w:type="dxa" w:w="1872"/>
          </w:tcPr>
          <w:p>
            <w:r>
              <w:t>Brand Owner</w:t>
            </w:r>
          </w:p>
        </w:tc>
        <w:tc>
          <w:tcPr>
            <w:tcW w:type="dxa" w:w="5472"/>
          </w:tcPr>
          <w:p>
            <w:r>
              <w:t>A brand owner shall be able to post a single written reply to any review submitted for their brand, visible to all platform visitors on the brand's public profile.</w:t>
            </w:r>
          </w:p>
        </w:tc>
        <w:tc>
          <w:tcPr>
            <w:tcW w:type="dxa" w:w="1008"/>
          </w:tcPr>
          <w:p>
            <w:r>
              <w:t>Medium</w:t>
            </w:r>
          </w:p>
        </w:tc>
      </w:tr>
      <w:tr>
        <w:tc>
          <w:tcPr>
            <w:tcW w:type="dxa" w:w="1008"/>
          </w:tcPr>
          <w:p>
            <w:r>
              <w:t>UR-13</w:t>
            </w:r>
          </w:p>
        </w:tc>
        <w:tc>
          <w:tcPr>
            <w:tcW w:type="dxa" w:w="1872"/>
          </w:tcPr>
          <w:p>
            <w:r>
              <w:t>Admin</w:t>
            </w:r>
          </w:p>
        </w:tc>
        <w:tc>
          <w:tcPr>
            <w:tcW w:type="dxa" w:w="5472"/>
          </w:tcPr>
          <w:p>
            <w:r>
              <w:t>A platform administrator shall be able to view all submitted reviews, flag reviews for investigation, and permanently remove reviews that violate the platform's community guidelines.</w:t>
            </w:r>
          </w:p>
        </w:tc>
        <w:tc>
          <w:tcPr>
            <w:tcW w:type="dxa" w:w="1008"/>
          </w:tcPr>
          <w:p>
            <w:r>
              <w:t>Medium</w:t>
            </w:r>
          </w:p>
        </w:tc>
      </w:tr>
      <w:tr>
        <w:tc>
          <w:tcPr>
            <w:tcW w:type="dxa" w:w="1008"/>
          </w:tcPr>
          <w:p>
            <w:r>
              <w:t>UR-14</w:t>
            </w:r>
          </w:p>
        </w:tc>
        <w:tc>
          <w:tcPr>
            <w:tcW w:type="dxa" w:w="1872"/>
          </w:tcPr>
          <w:p>
            <w:r>
              <w:t>All Users</w:t>
            </w:r>
          </w:p>
        </w:tc>
        <w:tc>
          <w:tcPr>
            <w:tcW w:type="dxa" w:w="5472"/>
          </w:tcPr>
          <w:p>
            <w:r>
              <w:t>All authenticated users shall receive in-app notifications for events relevant to their role — including new orders, order status changes, brand approval decisions, and new reviews — with the ability to mark individual notifications as read.</w:t>
            </w:r>
          </w:p>
        </w:tc>
        <w:tc>
          <w:tcPr>
            <w:tcW w:type="dxa" w:w="1008"/>
          </w:tcPr>
          <w:p>
            <w:r>
              <w:t>High</w:t>
            </w:r>
          </w:p>
        </w:tc>
      </w:tr>
      <w:tr>
        <w:tc>
          <w:tcPr>
            <w:tcW w:type="dxa" w:w="1008"/>
          </w:tcPr>
          <w:p>
            <w:r>
              <w:t>UR-15</w:t>
            </w:r>
          </w:p>
        </w:tc>
        <w:tc>
          <w:tcPr>
            <w:tcW w:type="dxa" w:w="1872"/>
          </w:tcPr>
          <w:p>
            <w:r>
              <w:t>All Users</w:t>
            </w:r>
          </w:p>
        </w:tc>
        <w:tc>
          <w:tcPr>
            <w:tcW w:type="dxa" w:w="5472"/>
          </w:tcPr>
          <w:p>
            <w:r>
              <w:t>The platform interface shall be fully available in both English (LTR layout) and Arabic (RTL layout), with users able to toggle between languages at any time without losing current page state.</w:t>
            </w:r>
          </w:p>
        </w:tc>
        <w:tc>
          <w:tcPr>
            <w:tcW w:type="dxa" w:w="1008"/>
          </w:tcPr>
          <w:p>
            <w:r>
              <w:t>High</w:t>
            </w:r>
          </w:p>
        </w:tc>
      </w:tr>
      <w:tr>
        <w:tc>
          <w:tcPr>
            <w:tcW w:type="dxa" w:w="1008"/>
          </w:tcPr>
          <w:p>
            <w:r>
              <w:t>UR-16</w:t>
            </w:r>
          </w:p>
        </w:tc>
        <w:tc>
          <w:tcPr>
            <w:tcW w:type="dxa" w:w="1872"/>
          </w:tcPr>
          <w:p>
            <w:r>
              <w:t>Brand Owner</w:t>
            </w:r>
          </w:p>
        </w:tc>
        <w:tc>
          <w:tcPr>
            <w:tcW w:type="dxa" w:w="5472"/>
          </w:tcPr>
          <w:p>
            <w:r>
              <w:t>A brand owner shall be able to import a product catalogue from a Microsoft Excel (.xlsx) file, with the system parsing the file and creating product records from its contents in a single bulk operation.</w:t>
            </w:r>
          </w:p>
        </w:tc>
        <w:tc>
          <w:tcPr>
            <w:tcW w:type="dxa" w:w="1008"/>
          </w:tcPr>
          <w:p>
            <w:r>
              <w:t>Low</w:t>
            </w:r>
          </w:p>
        </w:tc>
      </w:tr>
      <w:tr>
        <w:tc>
          <w:tcPr>
            <w:tcW w:type="dxa" w:w="1008"/>
          </w:tcPr>
          <w:p>
            <w:r>
              <w:t>UR-17</w:t>
            </w:r>
          </w:p>
        </w:tc>
        <w:tc>
          <w:tcPr>
            <w:tcW w:type="dxa" w:w="1872"/>
          </w:tcPr>
          <w:p>
            <w:r>
              <w:t>Buyer</w:t>
            </w:r>
          </w:p>
        </w:tc>
        <w:tc>
          <w:tcPr>
            <w:tcW w:type="dxa" w:w="5472"/>
          </w:tcPr>
          <w:p>
            <w:r>
              <w:t>A buyer shall be able to contact a brand owner directly via WhatsApp by clicking a platform-provided contact link, and the system shall record each such click event per brand for analytics purposes.</w:t>
            </w:r>
          </w:p>
        </w:tc>
        <w:tc>
          <w:tcPr>
            <w:tcW w:type="dxa" w:w="1008"/>
          </w:tcPr>
          <w:p>
            <w:r>
              <w:t>Low</w:t>
            </w:r>
          </w:p>
        </w:tc>
      </w:tr>
    </w:tbl>
    <w:p/>
    <w:p>
      <w:pPr>
        <w:pStyle w:val="Heading2"/>
      </w:pPr>
      <w:r>
        <w:t>2.3  System Requirements</w:t>
      </w:r>
    </w:p>
    <w:p>
      <w:pPr/>
      <w:r>
        <w:t>System Requirements (SRs) specify the observable behaviour that the software must exhibit in response to inputs, events, or internal states. The following 20 system requirements are derived from the user requirements above and the non-functional constraints of the Kuwait B2B operating context.</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SR ID</w:t>
            </w:r>
          </w:p>
        </w:tc>
        <w:tc>
          <w:tcPr>
            <w:tcW w:type="dxa" w:w="7488"/>
          </w:tcPr>
          <w:p>
            <w:r>
              <w:rPr>
                <w:b/>
              </w:rPr>
              <w:t>Requirement Statement</w:t>
            </w:r>
          </w:p>
        </w:tc>
        <w:tc>
          <w:tcPr>
            <w:tcW w:type="dxa" w:w="1008"/>
          </w:tcPr>
          <w:p>
            <w:r>
              <w:rPr>
                <w:b/>
              </w:rPr>
              <w:t>Priority</w:t>
            </w:r>
          </w:p>
        </w:tc>
      </w:tr>
      <w:tr>
        <w:tc>
          <w:tcPr>
            <w:tcW w:type="dxa" w:w="1008"/>
          </w:tcPr>
          <w:p>
            <w:r>
              <w:t>SR-01</w:t>
            </w:r>
          </w:p>
        </w:tc>
        <w:tc>
          <w:tcPr>
            <w:tcW w:type="dxa" w:w="7488"/>
          </w:tcPr>
          <w:p>
            <w:r>
              <w:t>The system shall enforce role-based access control (RBAC) for all page routes and API endpoints, rejecting unauthorised requests with HTTP 401 (unauthenticated) or HTTP 403 (authenticated but insufficient role) before executing any business logic.</w:t>
            </w:r>
          </w:p>
        </w:tc>
        <w:tc>
          <w:tcPr>
            <w:tcW w:type="dxa" w:w="1008"/>
          </w:tcPr>
          <w:p>
            <w:r>
              <w:t>High</w:t>
            </w:r>
          </w:p>
        </w:tc>
      </w:tr>
      <w:tr>
        <w:tc>
          <w:tcPr>
            <w:tcW w:type="dxa" w:w="1008"/>
          </w:tcPr>
          <w:p>
            <w:r>
              <w:t>SR-02</w:t>
            </w:r>
          </w:p>
        </w:tc>
        <w:tc>
          <w:tcPr>
            <w:tcW w:type="dxa" w:w="7488"/>
          </w:tcPr>
          <w:p>
            <w:r>
              <w:t>The system shall manage user sessions exclusively via HTTP-only, SameSite=Lax cookies with a maximum age of seven days. Session tokens shall never be stored in browser localStorage or sessionStorage.</w:t>
            </w:r>
          </w:p>
        </w:tc>
        <w:tc>
          <w:tcPr>
            <w:tcW w:type="dxa" w:w="1008"/>
          </w:tcPr>
          <w:p>
            <w:r>
              <w:t>High</w:t>
            </w:r>
          </w:p>
        </w:tc>
      </w:tr>
      <w:tr>
        <w:tc>
          <w:tcPr>
            <w:tcW w:type="dxa" w:w="1008"/>
          </w:tcPr>
          <w:p>
            <w:r>
              <w:t>SR-03</w:t>
            </w:r>
          </w:p>
        </w:tc>
        <w:tc>
          <w:tcPr>
            <w:tcW w:type="dxa" w:w="7488"/>
          </w:tcPr>
          <w:p>
            <w:r>
              <w:t>The system shall hash all user passwords using a cryptographic one-way function (bcrypt or argon2id, cost factor ≥ 12) before persisting them to the database. Plain-text passwords shall never be stored or logged.</w:t>
            </w:r>
          </w:p>
        </w:tc>
        <w:tc>
          <w:tcPr>
            <w:tcW w:type="dxa" w:w="1008"/>
          </w:tcPr>
          <w:p>
            <w:r>
              <w:t>Critical</w:t>
            </w:r>
          </w:p>
        </w:tc>
      </w:tr>
      <w:tr>
        <w:tc>
          <w:tcPr>
            <w:tcW w:type="dxa" w:w="1008"/>
          </w:tcPr>
          <w:p>
            <w:r>
              <w:t>SR-04</w:t>
            </w:r>
          </w:p>
        </w:tc>
        <w:tc>
          <w:tcPr>
            <w:tcW w:type="dxa" w:w="7488"/>
          </w:tcPr>
          <w:p>
            <w:r>
              <w:t>The system shall generate globally unique identifiers for all entity records (users, brands, products, orders, reviews, notifications, messages) using a deterministic algorithm that prevents ID collisions under concurrent creation.</w:t>
            </w:r>
          </w:p>
        </w:tc>
        <w:tc>
          <w:tcPr>
            <w:tcW w:type="dxa" w:w="1008"/>
          </w:tcPr>
          <w:p>
            <w:r>
              <w:t>High</w:t>
            </w:r>
          </w:p>
        </w:tc>
      </w:tr>
      <w:tr>
        <w:tc>
          <w:tcPr>
            <w:tcW w:type="dxa" w:w="1008"/>
          </w:tcPr>
          <w:p>
            <w:r>
              <w:t>SR-05</w:t>
            </w:r>
          </w:p>
        </w:tc>
        <w:tc>
          <w:tcPr>
            <w:tcW w:type="dxa" w:w="7488"/>
          </w:tcPr>
          <w:p>
            <w:r>
              <w:t>The system shall validate that each order line item's requested quantity meets or exceeds the product's configured minimum order quantity (MOQ) at submission time, returning a descriptive HTTP 400 error if the constraint is violated.</w:t>
            </w:r>
          </w:p>
        </w:tc>
        <w:tc>
          <w:tcPr>
            <w:tcW w:type="dxa" w:w="1008"/>
          </w:tcPr>
          <w:p>
            <w:r>
              <w:t>High</w:t>
            </w:r>
          </w:p>
        </w:tc>
      </w:tr>
      <w:tr>
        <w:tc>
          <w:tcPr>
            <w:tcW w:type="dxa" w:w="1008"/>
          </w:tcPr>
          <w:p>
            <w:r>
              <w:t>SR-06</w:t>
            </w:r>
          </w:p>
        </w:tc>
        <w:tc>
          <w:tcPr>
            <w:tcW w:type="dxa" w:w="7488"/>
          </w:tcPr>
          <w:p>
            <w:r>
              <w:t>The system shall validate that each order line item's requested quantity does not exceed the product's current available stock level at submission time, returning a descriptive HTTP 400 error if the constraint is violated.</w:t>
            </w:r>
          </w:p>
        </w:tc>
        <w:tc>
          <w:tcPr>
            <w:tcW w:type="dxa" w:w="1008"/>
          </w:tcPr>
          <w:p>
            <w:r>
              <w:t>High</w:t>
            </w:r>
          </w:p>
        </w:tc>
      </w:tr>
      <w:tr>
        <w:tc>
          <w:tcPr>
            <w:tcW w:type="dxa" w:w="1008"/>
          </w:tcPr>
          <w:p>
            <w:r>
              <w:t>SR-07</w:t>
            </w:r>
          </w:p>
        </w:tc>
        <w:tc>
          <w:tcPr>
            <w:tcW w:type="dxa" w:w="7488"/>
          </w:tcPr>
          <w:p>
            <w:r>
              <w:t>The system shall resolve the applicable unit price for each order line item by iterating the product's bulk-pricing tiers, matching the order quantity to the appropriate min_qty / max_qty range, and applying that tier's unit price. If no tier matches, the base product price shall be used.</w:t>
            </w:r>
          </w:p>
        </w:tc>
        <w:tc>
          <w:tcPr>
            <w:tcW w:type="dxa" w:w="1008"/>
          </w:tcPr>
          <w:p>
            <w:r>
              <w:t>High</w:t>
            </w:r>
          </w:p>
        </w:tc>
      </w:tr>
      <w:tr>
        <w:tc>
          <w:tcPr>
            <w:tcW w:type="dxa" w:w="1008"/>
          </w:tcPr>
          <w:p>
            <w:r>
              <w:t>SR-08</w:t>
            </w:r>
          </w:p>
        </w:tc>
        <w:tc>
          <w:tcPr>
            <w:tcW w:type="dxa" w:w="7488"/>
          </w:tcPr>
          <w:p>
            <w:r>
              <w:t>The system shall compute and persist a Brand Trust Score for each approved brand, derived from the brand's order response rate, completion rate, average fulfilment days, and badge threshold criteria.</w:t>
            </w:r>
          </w:p>
        </w:tc>
        <w:tc>
          <w:tcPr>
            <w:tcW w:type="dxa" w:w="1008"/>
          </w:tcPr>
          <w:p>
            <w:r>
              <w:t>Medium</w:t>
            </w:r>
          </w:p>
        </w:tc>
      </w:tr>
      <w:tr>
        <w:tc>
          <w:tcPr>
            <w:tcW w:type="dxa" w:w="1008"/>
          </w:tcPr>
          <w:p>
            <w:r>
              <w:t>SR-09</w:t>
            </w:r>
          </w:p>
        </w:tc>
        <w:tc>
          <w:tcPr>
            <w:tcW w:type="dxa" w:w="7488"/>
          </w:tcPr>
          <w:p>
            <w:r>
              <w:t>The system shall compute and persist a Buyer Trust Score for each buyer, derived from the buyer's total completed order count, order completion rate, and cancellation rate.</w:t>
            </w:r>
          </w:p>
        </w:tc>
        <w:tc>
          <w:tcPr>
            <w:tcW w:type="dxa" w:w="1008"/>
          </w:tcPr>
          <w:p>
            <w:r>
              <w:t>Medium</w:t>
            </w:r>
          </w:p>
        </w:tc>
      </w:tr>
      <w:tr>
        <w:tc>
          <w:tcPr>
            <w:tcW w:type="dxa" w:w="1008"/>
          </w:tcPr>
          <w:p>
            <w:r>
              <w:t>SR-10</w:t>
            </w:r>
          </w:p>
        </w:tc>
        <w:tc>
          <w:tcPr>
            <w:tcW w:type="dxa" w:w="7488"/>
          </w:tcPr>
          <w:p>
            <w:r>
              <w:t>The system shall generate in-app notifications for the appropriate recipient(s) upon each of the following events: new user registration (→ admins), new brand registration (→ admins), brand approval / rejection (→ brand owner), new order (→ brand owner), order status change (→ buyer), new review (→ brand owner), new review reply (→ buyer).</w:t>
            </w:r>
          </w:p>
        </w:tc>
        <w:tc>
          <w:tcPr>
            <w:tcW w:type="dxa" w:w="1008"/>
          </w:tcPr>
          <w:p>
            <w:r>
              <w:t>High</w:t>
            </w:r>
          </w:p>
        </w:tc>
      </w:tr>
      <w:tr>
        <w:tc>
          <w:tcPr>
            <w:tcW w:type="dxa" w:w="1008"/>
          </w:tcPr>
          <w:p>
            <w:r>
              <w:t>SR-11</w:t>
            </w:r>
          </w:p>
        </w:tc>
        <w:tc>
          <w:tcPr>
            <w:tcW w:type="dxa" w:w="7488"/>
          </w:tcPr>
          <w:p>
            <w:r>
              <w:t>The system shall increment a WhatsApp click counter on the brand's database record each time a user activates the platform's WhatsApp contact link for that brand.</w:t>
            </w:r>
          </w:p>
        </w:tc>
        <w:tc>
          <w:tcPr>
            <w:tcW w:type="dxa" w:w="1008"/>
          </w:tcPr>
          <w:p>
            <w:r>
              <w:t>Low</w:t>
            </w:r>
          </w:p>
        </w:tc>
      </w:tr>
      <w:tr>
        <w:tc>
          <w:tcPr>
            <w:tcW w:type="dxa" w:w="1008"/>
          </w:tcPr>
          <w:p>
            <w:r>
              <w:t>SR-12</w:t>
            </w:r>
          </w:p>
        </w:tc>
        <w:tc>
          <w:tcPr>
            <w:tcW w:type="dxa" w:w="7488"/>
          </w:tcPr>
          <w:p>
            <w:r>
              <w:t>The system shall render all user-facing text from locale-specific message files (en.json and ar.json), with Arabic strings displayed in right-to-left layout when the Arabic locale is active.</w:t>
            </w:r>
          </w:p>
        </w:tc>
        <w:tc>
          <w:tcPr>
            <w:tcW w:type="dxa" w:w="1008"/>
          </w:tcPr>
          <w:p>
            <w:r>
              <w:t>High</w:t>
            </w:r>
          </w:p>
        </w:tc>
      </w:tr>
      <w:tr>
        <w:tc>
          <w:tcPr>
            <w:tcW w:type="dxa" w:w="1008"/>
          </w:tcPr>
          <w:p>
            <w:r>
              <w:t>SR-13</w:t>
            </w:r>
          </w:p>
        </w:tc>
        <w:tc>
          <w:tcPr>
            <w:tcW w:type="dxa" w:w="7488"/>
          </w:tcPr>
          <w:p>
            <w:r>
              <w:t>The system shall display all product prices in the buyer's currently selected currency by applying conversion rates from the centralised CURRENCIES configuration registry in src/lib/currencies.ts.</w:t>
            </w:r>
          </w:p>
        </w:tc>
        <w:tc>
          <w:tcPr>
            <w:tcW w:type="dxa" w:w="1008"/>
          </w:tcPr>
          <w:p>
            <w:r>
              <w:t>Medium</w:t>
            </w:r>
          </w:p>
        </w:tc>
      </w:tr>
      <w:tr>
        <w:tc>
          <w:tcPr>
            <w:tcW w:type="dxa" w:w="1008"/>
          </w:tcPr>
          <w:p>
            <w:r>
              <w:t>SR-14</w:t>
            </w:r>
          </w:p>
        </w:tc>
        <w:tc>
          <w:tcPr>
            <w:tcW w:type="dxa" w:w="7488"/>
          </w:tcPr>
          <w:p>
            <w:r>
              <w:t>The system shall restrict all brand verification actions (status update, tier assignment) exclusively to users with the administrator role, returning HTTP 403 for any attempt by a non-admin user.</w:t>
            </w:r>
          </w:p>
        </w:tc>
        <w:tc>
          <w:tcPr>
            <w:tcW w:type="dxa" w:w="1008"/>
          </w:tcPr>
          <w:p>
            <w:r>
              <w:t>High</w:t>
            </w:r>
          </w:p>
        </w:tc>
      </w:tr>
      <w:tr>
        <w:tc>
          <w:tcPr>
            <w:tcW w:type="dxa" w:w="1008"/>
          </w:tcPr>
          <w:p>
            <w:r>
              <w:t>SR-15</w:t>
            </w:r>
          </w:p>
        </w:tc>
        <w:tc>
          <w:tcPr>
            <w:tcW w:type="dxa" w:w="7488"/>
          </w:tcPr>
          <w:p>
            <w:r>
              <w:t>The system shall parse .xlsx files submitted via the bulk catalogue import endpoint, extracting product field values (name, description, price, MOQ, stock, image URL) from a defined column layout and creating corresponding product records in a single operation.</w:t>
            </w:r>
          </w:p>
        </w:tc>
        <w:tc>
          <w:tcPr>
            <w:tcW w:type="dxa" w:w="1008"/>
          </w:tcPr>
          <w:p>
            <w:r>
              <w:t>Low</w:t>
            </w:r>
          </w:p>
        </w:tc>
      </w:tr>
      <w:tr>
        <w:tc>
          <w:tcPr>
            <w:tcW w:type="dxa" w:w="1008"/>
          </w:tcPr>
          <w:p>
            <w:r>
              <w:t>SR-16</w:t>
            </w:r>
          </w:p>
        </w:tc>
        <w:tc>
          <w:tcPr>
            <w:tcW w:type="dxa" w:w="7488"/>
          </w:tcPr>
          <w:p>
            <w:r>
              <w:t>The system shall provide an administrator dashboard displaying real-time platform statistics: total registered user count, total approved brand count, total order volume, pending brand approval queue length, and active review moderation queue.</w:t>
            </w:r>
          </w:p>
        </w:tc>
        <w:tc>
          <w:tcPr>
            <w:tcW w:type="dxa" w:w="1008"/>
          </w:tcPr>
          <w:p>
            <w:r>
              <w:t>Medium</w:t>
            </w:r>
          </w:p>
        </w:tc>
      </w:tr>
      <w:tr>
        <w:tc>
          <w:tcPr>
            <w:tcW w:type="dxa" w:w="1008"/>
          </w:tcPr>
          <w:p>
            <w:r>
              <w:t>SR-17</w:t>
            </w:r>
          </w:p>
        </w:tc>
        <w:tc>
          <w:tcPr>
            <w:tcW w:type="dxa" w:w="7488"/>
          </w:tcPr>
          <w:p>
            <w:r>
              <w:t>The system shall record a timestamped audit entry for each brand verification decision, capturing the previous status, the new status, the acting administrator's ID, and the ISO 8601 timestamp of the change.</w:t>
            </w:r>
          </w:p>
        </w:tc>
        <w:tc>
          <w:tcPr>
            <w:tcW w:type="dxa" w:w="1008"/>
          </w:tcPr>
          <w:p>
            <w:r>
              <w:t>Medium</w:t>
            </w:r>
          </w:p>
        </w:tc>
      </w:tr>
      <w:tr>
        <w:tc>
          <w:tcPr>
            <w:tcW w:type="dxa" w:w="1008"/>
          </w:tcPr>
          <w:p>
            <w:r>
              <w:t>SR-18</w:t>
            </w:r>
          </w:p>
        </w:tc>
        <w:tc>
          <w:tcPr>
            <w:tcW w:type="dxa" w:w="7488"/>
          </w:tcPr>
          <w:p>
            <w:r>
              <w:t>The system shall support assignment of one of three verification tiers — Premium, Verified, or New — to each approved brand, and shall display the assigned tier as a visual badge on all brand-facing UI elements.</w:t>
            </w:r>
          </w:p>
        </w:tc>
        <w:tc>
          <w:tcPr>
            <w:tcW w:type="dxa" w:w="1008"/>
          </w:tcPr>
          <w:p>
            <w:r>
              <w:t>Medium</w:t>
            </w:r>
          </w:p>
        </w:tc>
      </w:tr>
      <w:tr>
        <w:tc>
          <w:tcPr>
            <w:tcW w:type="dxa" w:w="1008"/>
          </w:tcPr>
          <w:p>
            <w:r>
              <w:t>SR-19</w:t>
            </w:r>
          </w:p>
        </w:tc>
        <w:tc>
          <w:tcPr>
            <w:tcW w:type="dxa" w:w="7488"/>
          </w:tcPr>
          <w:p>
            <w:r>
              <w:t>The system shall accept review submissions with an anonymity flag that, when true, suppresses the reviewer's name and company from all public-facing display of that review.</w:t>
            </w:r>
          </w:p>
        </w:tc>
        <w:tc>
          <w:tcPr>
            <w:tcW w:type="dxa" w:w="1008"/>
          </w:tcPr>
          <w:p>
            <w:r>
              <w:t>Medium</w:t>
            </w:r>
          </w:p>
        </w:tc>
      </w:tr>
      <w:tr>
        <w:tc>
          <w:tcPr>
            <w:tcW w:type="dxa" w:w="1008"/>
          </w:tcPr>
          <w:p>
            <w:r>
              <w:t>SR-20</w:t>
            </w:r>
          </w:p>
        </w:tc>
        <w:tc>
          <w:tcPr>
            <w:tcW w:type="dxa" w:w="7488"/>
          </w:tcPr>
          <w:p>
            <w:r>
              <w:t>The system shall store a single brand reply per review and display it alongside the original review in the brand's public profile, attributed to the brand rather than to an individual named user.</w:t>
            </w:r>
          </w:p>
        </w:tc>
        <w:tc>
          <w:tcPr>
            <w:tcW w:type="dxa" w:w="1008"/>
          </w:tcPr>
          <w:p>
            <w:r>
              <w:t>Medium</w:t>
            </w:r>
          </w:p>
        </w:tc>
      </w:tr>
    </w:tbl>
    <w:p/>
    <w:p>
      <w:pPr>
        <w:pStyle w:val="Heading2"/>
      </w:pPr>
      <w:r>
        <w:t>2.4  Non-Functional Requirements</w:t>
      </w:r>
    </w:p>
    <w:p>
      <w:pPr/>
      <w:r>
        <w:t>Non-Functional Requirements (NFRs) define quality attributes that constrain how the system performs its functions. The following eight NFRs govern the Kuwait B2B Hub across the dimensions of performance, security, usability, reliability, maintainability, scalability, internationalisation, and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NFR ID</w:t>
            </w:r>
          </w:p>
        </w:tc>
        <w:tc>
          <w:tcPr>
            <w:tcW w:type="dxa" w:w="1728"/>
          </w:tcPr>
          <w:p>
            <w:r>
              <w:rPr>
                <w:b/>
              </w:rPr>
              <w:t>Category</w:t>
            </w:r>
          </w:p>
        </w:tc>
        <w:tc>
          <w:tcPr>
            <w:tcW w:type="dxa" w:w="5904"/>
          </w:tcPr>
          <w:p>
            <w:r>
              <w:rPr>
                <w:b/>
              </w:rPr>
              <w:t>Requirement Statement</w:t>
            </w:r>
          </w:p>
        </w:tc>
        <w:tc>
          <w:tcPr>
            <w:tcW w:type="dxa" w:w="1152"/>
          </w:tcPr>
          <w:p>
            <w:r>
              <w:rPr>
                <w:b/>
              </w:rPr>
              <w:t>Priority</w:t>
            </w:r>
          </w:p>
        </w:tc>
      </w:tr>
      <w:tr>
        <w:tc>
          <w:tcPr>
            <w:tcW w:type="dxa" w:w="1152"/>
          </w:tcPr>
          <w:p>
            <w:r>
              <w:t>NFR-01</w:t>
            </w:r>
          </w:p>
        </w:tc>
        <w:tc>
          <w:tcPr>
            <w:tcW w:type="dxa" w:w="1728"/>
          </w:tcPr>
          <w:p>
            <w:r>
              <w:t>Performance</w:t>
            </w:r>
          </w:p>
        </w:tc>
        <w:tc>
          <w:tcPr>
            <w:tcW w:type="dxa" w:w="5904"/>
          </w:tcPr>
          <w:p>
            <w:r>
              <w:t>The median API response time for all standard read operations shall be under 300 ms under a load of up to 50 concurrent users. The Marketplace page shall achieve a Largest Contentful Paint (LCP) of under 3 seconds on a 4G mobile connection.</w:t>
            </w:r>
          </w:p>
        </w:tc>
        <w:tc>
          <w:tcPr>
            <w:tcW w:type="dxa" w:w="1152"/>
          </w:tcPr>
          <w:p>
            <w:r>
              <w:t>High</w:t>
            </w:r>
          </w:p>
        </w:tc>
      </w:tr>
      <w:tr>
        <w:tc>
          <w:tcPr>
            <w:tcW w:type="dxa" w:w="1152"/>
          </w:tcPr>
          <w:p>
            <w:r>
              <w:t>NFR-02</w:t>
            </w:r>
          </w:p>
        </w:tc>
        <w:tc>
          <w:tcPr>
            <w:tcW w:type="dxa" w:w="1728"/>
          </w:tcPr>
          <w:p>
            <w:r>
              <w:t>Security</w:t>
            </w:r>
          </w:p>
        </w:tc>
        <w:tc>
          <w:tcPr>
            <w:tcW w:type="dxa" w:w="5904"/>
          </w:tcPr>
          <w:p>
            <w:r>
              <w:t>All session cookies shall carry HttpOnly=true, SameSite=Lax, and Secure=true flags. All network traffic shall be encrypted over HTTPS. User passwords shall be stored using bcrypt or argon2id with a cost factor of ≥ 12. No credential data shall be written to any client-accessible storage mechanism.</w:t>
            </w:r>
          </w:p>
        </w:tc>
        <w:tc>
          <w:tcPr>
            <w:tcW w:type="dxa" w:w="1152"/>
          </w:tcPr>
          <w:p>
            <w:r>
              <w:t>Critical</w:t>
            </w:r>
          </w:p>
        </w:tc>
      </w:tr>
      <w:tr>
        <w:tc>
          <w:tcPr>
            <w:tcW w:type="dxa" w:w="1152"/>
          </w:tcPr>
          <w:p>
            <w:r>
              <w:t>NFR-03</w:t>
            </w:r>
          </w:p>
        </w:tc>
        <w:tc>
          <w:tcPr>
            <w:tcW w:type="dxa" w:w="1728"/>
          </w:tcPr>
          <w:p>
            <w:r>
              <w:t>Usability</w:t>
            </w:r>
          </w:p>
        </w:tc>
        <w:tc>
          <w:tcPr>
            <w:tcW w:type="dxa" w:w="5904"/>
          </w:tcPr>
          <w:p>
            <w:r>
              <w:t>All primary user workflows (registration, marketplace browsing, order submission, order tracking, notification viewing) shall be fully operable on a mobile viewport of 375 px width without horizontal scrolling. All interactive elements shall have a touch target of at least 44 × 44 px.</w:t>
            </w:r>
          </w:p>
        </w:tc>
        <w:tc>
          <w:tcPr>
            <w:tcW w:type="dxa" w:w="1152"/>
          </w:tcPr>
          <w:p>
            <w:r>
              <w:t>High</w:t>
            </w:r>
          </w:p>
        </w:tc>
      </w:tr>
      <w:tr>
        <w:tc>
          <w:tcPr>
            <w:tcW w:type="dxa" w:w="1152"/>
          </w:tcPr>
          <w:p>
            <w:r>
              <w:t>NFR-04</w:t>
            </w:r>
          </w:p>
        </w:tc>
        <w:tc>
          <w:tcPr>
            <w:tcW w:type="dxa" w:w="1728"/>
          </w:tcPr>
          <w:p>
            <w:r>
              <w:t>Reliability</w:t>
            </w:r>
          </w:p>
        </w:tc>
        <w:tc>
          <w:tcPr>
            <w:tcW w:type="dxa" w:w="5904"/>
          </w:tcPr>
          <w:p>
            <w:r>
              <w:t>The production system shall target a monthly uptime of ≥ 99.5%, leveraging Vercel's global edge network SLA and Supabase's managed infrastructure availability guarantees. Unplanned downtime shall not exceed 3.6 hours in any single calendar month.</w:t>
            </w:r>
          </w:p>
        </w:tc>
        <w:tc>
          <w:tcPr>
            <w:tcW w:type="dxa" w:w="1152"/>
          </w:tcPr>
          <w:p>
            <w:r>
              <w:t>High</w:t>
            </w:r>
          </w:p>
        </w:tc>
      </w:tr>
      <w:tr>
        <w:tc>
          <w:tcPr>
            <w:tcW w:type="dxa" w:w="1152"/>
          </w:tcPr>
          <w:p>
            <w:r>
              <w:t>NFR-05</w:t>
            </w:r>
          </w:p>
        </w:tc>
        <w:tc>
          <w:tcPr>
            <w:tcW w:type="dxa" w:w="1728"/>
          </w:tcPr>
          <w:p>
            <w:r>
              <w:t>Maintainability</w:t>
            </w:r>
          </w:p>
        </w:tc>
        <w:tc>
          <w:tcPr>
            <w:tcW w:type="dxa" w:w="5904"/>
          </w:tcPr>
          <w:p>
            <w:r>
              <w:t>The codebase shall pass ESLint (eslint-config-next) with zero errors on every production build. TypeScript strict mode shall remain enabled. All API route handlers shall invoke the getCurrentUser() guard as their first operation before executing any business logic.</w:t>
            </w:r>
          </w:p>
        </w:tc>
        <w:tc>
          <w:tcPr>
            <w:tcW w:type="dxa" w:w="1152"/>
          </w:tcPr>
          <w:p>
            <w:r>
              <w:t>High</w:t>
            </w:r>
          </w:p>
        </w:tc>
      </w:tr>
      <w:tr>
        <w:tc>
          <w:tcPr>
            <w:tcW w:type="dxa" w:w="1152"/>
          </w:tcPr>
          <w:p>
            <w:r>
              <w:t>NFR-06</w:t>
            </w:r>
          </w:p>
        </w:tc>
        <w:tc>
          <w:tcPr>
            <w:tcW w:type="dxa" w:w="1728"/>
          </w:tcPr>
          <w:p>
            <w:r>
              <w:t>Scalability</w:t>
            </w:r>
          </w:p>
        </w:tc>
        <w:tc>
          <w:tcPr>
            <w:tcW w:type="dxa" w:w="5904"/>
          </w:tcPr>
          <w:p>
            <w:r>
              <w:t>The data access layer shall be fully encapsulated behind the readDB() / writeDB() interface, such that migration from the JSON prototype store to Supabase PostgreSQL requires no modifications to any API route handler implementation.</w:t>
            </w:r>
          </w:p>
        </w:tc>
        <w:tc>
          <w:tcPr>
            <w:tcW w:type="dxa" w:w="1152"/>
          </w:tcPr>
          <w:p>
            <w:r>
              <w:t>High</w:t>
            </w:r>
          </w:p>
        </w:tc>
      </w:tr>
      <w:tr>
        <w:tc>
          <w:tcPr>
            <w:tcW w:type="dxa" w:w="1152"/>
          </w:tcPr>
          <w:p>
            <w:r>
              <w:t>NFR-07</w:t>
            </w:r>
          </w:p>
        </w:tc>
        <w:tc>
          <w:tcPr>
            <w:tcW w:type="dxa" w:w="1728"/>
          </w:tcPr>
          <w:p>
            <w:r>
              <w:t>Internationalisation</w:t>
            </w:r>
          </w:p>
        </w:tc>
        <w:tc>
          <w:tcPr>
            <w:tcW w:type="dxa" w:w="5904"/>
          </w:tcPr>
          <w:p>
            <w:r>
              <w:t>All user-facing string literals shall be externalised to locale-specific message files (en.json and ar.json). No hard-coded English or Arabic strings shall appear in .tsx component files. The platform shall render correctly in Arabic RTL layout on all supported pages.</w:t>
            </w:r>
          </w:p>
        </w:tc>
        <w:tc>
          <w:tcPr>
            <w:tcW w:type="dxa" w:w="1152"/>
          </w:tcPr>
          <w:p>
            <w:r>
              <w:t>High</w:t>
            </w:r>
          </w:p>
        </w:tc>
      </w:tr>
      <w:tr>
        <w:tc>
          <w:tcPr>
            <w:tcW w:type="dxa" w:w="1152"/>
          </w:tcPr>
          <w:p>
            <w:r>
              <w:t>NFR-08</w:t>
            </w:r>
          </w:p>
        </w:tc>
        <w:tc>
          <w:tcPr>
            <w:tcW w:type="dxa" w:w="1728"/>
          </w:tcPr>
          <w:p>
            <w:r>
              <w:t>Compliance</w:t>
            </w:r>
          </w:p>
        </w:tc>
        <w:tc>
          <w:tcPr>
            <w:tcW w:type="dxa" w:w="5904"/>
          </w:tcPr>
          <w:p>
            <w:r>
              <w:t>The platform shall not process, transmit, or store raw payment card data under any circumstances. All in-platform payment flows shall be delegated to a PCI-DSS-certified gateway aggregator. User data collection shall be limited to the minimum necessary for platform operation.</w:t>
            </w:r>
          </w:p>
        </w:tc>
        <w:tc>
          <w:tcPr>
            <w:tcW w:type="dxa" w:w="1152"/>
          </w:tcPr>
          <w:p>
            <w:r>
              <w:t>Critical</w:t>
            </w:r>
          </w:p>
        </w:tc>
      </w:tr>
    </w:tbl>
    <w:p/>
    <w:p>
      <w:pPr>
        <w:pStyle w:val="Heading2"/>
      </w:pPr>
      <w:r>
        <w:t>2.5  Functional Requirements Specification (FRS)</w:t>
      </w:r>
    </w:p>
    <w:p>
      <w:pPr/>
      <w:r>
        <w:t>The following section presents the complete Functional Requirements Specification across the five platform subsystems. Each of the 25 functions is described with its input, processing logic, output, and priority classification.</w:t>
      </w:r>
    </w:p>
    <w:p>
      <w:pPr>
        <w:pStyle w:val="Heading3"/>
      </w:pPr>
      <w:r>
        <w:t>2.5.1  Subsystem 1 — Authentication &amp; User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F-001</w:t>
            </w:r>
          </w:p>
        </w:tc>
        <w:tc>
          <w:tcPr>
            <w:tcW w:type="dxa" w:w="1584"/>
          </w:tcPr>
          <w:p>
            <w:r>
              <w:t>User Registration</w:t>
            </w:r>
          </w:p>
        </w:tc>
        <w:tc>
          <w:tcPr>
            <w:tcW w:type="dxa" w:w="2016"/>
          </w:tcPr>
          <w:p>
            <w:r>
              <w:t>POST /api/auth/register: {name, email, password, role, company_name}</w:t>
            </w:r>
          </w:p>
        </w:tc>
        <w:tc>
          <w:tcPr>
            <w:tcW w:type="dxa" w:w="2880"/>
          </w:tcPr>
          <w:p>
            <w:r>
              <w:t>Validate all fields present; check email uniqueness (409 if duplicate); create user record; if brand_owner → create pending brand + notify admins; set verification_status = approved (buyer) or pending (brand_owner); create session cookies.</w:t>
            </w:r>
          </w:p>
        </w:tc>
        <w:tc>
          <w:tcPr>
            <w:tcW w:type="dxa" w:w="2016"/>
          </w:tcPr>
          <w:p>
            <w:r>
              <w:t>201 user object + two session cookies (b2b_user_id httpOnly, b2b_user_role); admin notification(s) created.</w:t>
            </w:r>
          </w:p>
        </w:tc>
        <w:tc>
          <w:tcPr>
            <w:tcW w:type="dxa" w:w="1008"/>
          </w:tcPr>
          <w:p>
            <w:r>
              <w:t>High</w:t>
            </w:r>
          </w:p>
        </w:tc>
      </w:tr>
      <w:tr>
        <w:tc>
          <w:tcPr>
            <w:tcW w:type="dxa" w:w="864"/>
          </w:tcPr>
          <w:p>
            <w:r>
              <w:t>F-002</w:t>
            </w:r>
          </w:p>
        </w:tc>
        <w:tc>
          <w:tcPr>
            <w:tcW w:type="dxa" w:w="1584"/>
          </w:tcPr>
          <w:p>
            <w:r>
              <w:t>User Login</w:t>
            </w:r>
          </w:p>
        </w:tc>
        <w:tc>
          <w:tcPr>
            <w:tcW w:type="dxa" w:w="2016"/>
          </w:tcPr>
          <w:p>
            <w:r>
              <w:t>POST /api/auth/login: {email, password}</w:t>
            </w:r>
          </w:p>
        </w:tc>
        <w:tc>
          <w:tcPr>
            <w:tcW w:type="dxa" w:w="2880"/>
          </w:tcPr>
          <w:p>
            <w:r>
              <w:t>Validate fields present; find user by email; compare credential; if match → set session cookie pair with 7-day maxAge.</w:t>
            </w:r>
          </w:p>
        </w:tc>
        <w:tc>
          <w:tcPr>
            <w:tcW w:type="dxa" w:w="2016"/>
          </w:tcPr>
          <w:p>
            <w:r>
              <w:t>200 user object + two session cookies; or 401 Invalid credentials.</w:t>
            </w:r>
          </w:p>
        </w:tc>
        <w:tc>
          <w:tcPr>
            <w:tcW w:type="dxa" w:w="1008"/>
          </w:tcPr>
          <w:p>
            <w:r>
              <w:t>High</w:t>
            </w:r>
          </w:p>
        </w:tc>
      </w:tr>
      <w:tr>
        <w:tc>
          <w:tcPr>
            <w:tcW w:type="dxa" w:w="864"/>
          </w:tcPr>
          <w:p>
            <w:r>
              <w:t>F-003</w:t>
            </w:r>
          </w:p>
        </w:tc>
        <w:tc>
          <w:tcPr>
            <w:tcW w:type="dxa" w:w="1584"/>
          </w:tcPr>
          <w:p>
            <w:r>
              <w:t>User Logout</w:t>
            </w:r>
          </w:p>
        </w:tc>
        <w:tc>
          <w:tcPr>
            <w:tcW w:type="dxa" w:w="2016"/>
          </w:tcPr>
          <w:p>
            <w:r>
              <w:t>POST /api/auth/logout (authenticated session required)</w:t>
            </w:r>
          </w:p>
        </w:tc>
        <w:tc>
          <w:tcPr>
            <w:tcW w:type="dxa" w:w="2880"/>
          </w:tcPr>
          <w:p>
            <w:r>
              <w:t>Expire b2b_user_id and b2b_user_role cookies by setting maxAge=0 on NextResponse.</w:t>
            </w:r>
          </w:p>
        </w:tc>
        <w:tc>
          <w:tcPr>
            <w:tcW w:type="dxa" w:w="2016"/>
          </w:tcPr>
          <w:p>
            <w:r>
              <w:t>200 success; both cookies cleared in client browser.</w:t>
            </w:r>
          </w:p>
        </w:tc>
        <w:tc>
          <w:tcPr>
            <w:tcW w:type="dxa" w:w="1008"/>
          </w:tcPr>
          <w:p>
            <w:r>
              <w:t>High</w:t>
            </w:r>
          </w:p>
        </w:tc>
      </w:tr>
      <w:tr>
        <w:tc>
          <w:tcPr>
            <w:tcW w:type="dxa" w:w="864"/>
          </w:tcPr>
          <w:p>
            <w:r>
              <w:t>F-004</w:t>
            </w:r>
          </w:p>
        </w:tc>
        <w:tc>
          <w:tcPr>
            <w:tcW w:type="dxa" w:w="1584"/>
          </w:tcPr>
          <w:p>
            <w:r>
              <w:t>Session Validation</w:t>
            </w:r>
          </w:p>
        </w:tc>
        <w:tc>
          <w:tcPr>
            <w:tcW w:type="dxa" w:w="2016"/>
          </w:tcPr>
          <w:p>
            <w:r>
              <w:t>GET /api/auth/me (cookie-authenticated)</w:t>
            </w:r>
          </w:p>
        </w:tc>
        <w:tc>
          <w:tcPr>
            <w:tcW w:type="dxa" w:w="2880"/>
          </w:tcPr>
          <w:p>
            <w:r>
              <w:t>Read b2b_user_id cookie; locate user profile in database; return profile or HTTP 401 if not found.</w:t>
            </w:r>
          </w:p>
        </w:tc>
        <w:tc>
          <w:tcPr>
            <w:tcW w:type="dxa" w:w="2016"/>
          </w:tcPr>
          <w:p>
            <w:r>
              <w:t>200 user profile object; or 401 Unauthorized.</w:t>
            </w:r>
          </w:p>
        </w:tc>
        <w:tc>
          <w:tcPr>
            <w:tcW w:type="dxa" w:w="1008"/>
          </w:tcPr>
          <w:p>
            <w:r>
              <w:t>High</w:t>
            </w:r>
          </w:p>
        </w:tc>
      </w:tr>
      <w:tr>
        <w:tc>
          <w:tcPr>
            <w:tcW w:type="dxa" w:w="864"/>
          </w:tcPr>
          <w:p>
            <w:r>
              <w:t>F-005</w:t>
            </w:r>
          </w:p>
        </w:tc>
        <w:tc>
          <w:tcPr>
            <w:tcW w:type="dxa" w:w="1584"/>
          </w:tcPr>
          <w:p>
            <w:r>
              <w:t>User Management (Admin)</w:t>
            </w:r>
          </w:p>
        </w:tc>
        <w:tc>
          <w:tcPr>
            <w:tcW w:type="dxa" w:w="2016"/>
          </w:tcPr>
          <w:p>
            <w:r>
              <w:t>GET /api/admin/users; PATCH /api/admin/users/:id: {role?, verification_status?}</w:t>
            </w:r>
          </w:p>
        </w:tc>
        <w:tc>
          <w:tcPr>
            <w:tcW w:type="dxa" w:w="2880"/>
          </w:tcPr>
          <w:p>
            <w:r>
              <w:t>RBAC guard confirms admin role; return full user list (GET) or apply field updates (PATCH) to specified user record.</w:t>
            </w:r>
          </w:p>
        </w:tc>
        <w:tc>
          <w:tcPr>
            <w:tcW w:type="dxa" w:w="2016"/>
          </w:tcPr>
          <w:p>
            <w:r>
              <w:t>200 user list or updated user object; 403 Forbidden if non-admin.</w:t>
            </w:r>
          </w:p>
        </w:tc>
        <w:tc>
          <w:tcPr>
            <w:tcW w:type="dxa" w:w="1008"/>
          </w:tcPr>
          <w:p>
            <w:r>
              <w:t>Medium</w:t>
            </w:r>
          </w:p>
        </w:tc>
      </w:tr>
    </w:tbl>
    <w:p/>
    <w:p>
      <w:pPr>
        <w:pStyle w:val="Heading3"/>
      </w:pPr>
      <w:r>
        <w:t>2.5.2  Subsystem 2 — Brand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F-006</w:t>
            </w:r>
          </w:p>
        </w:tc>
        <w:tc>
          <w:tcPr>
            <w:tcW w:type="dxa" w:w="1584"/>
          </w:tcPr>
          <w:p>
            <w:r>
              <w:t>Brand Profile Creation</w:t>
            </w:r>
          </w:p>
        </w:tc>
        <w:tc>
          <w:tcPr>
            <w:tcW w:type="dxa" w:w="2016"/>
          </w:tcPr>
          <w:p>
            <w:r>
              <w:t>Triggered automatically on brand_owner registration (F-001)</w:t>
            </w:r>
          </w:p>
        </w:tc>
        <w:tc>
          <w:tcPr>
            <w:tcW w:type="dxa" w:w="2880"/>
          </w:tcPr>
          <w:p>
            <w:r>
              <w:t>Create brand record: status='pending', owner_id=userId, logo_url from UI-Avatars API. Persist to database.</w:t>
            </w:r>
          </w:p>
        </w:tc>
        <w:tc>
          <w:tcPr>
            <w:tcW w:type="dxa" w:w="2016"/>
          </w:tcPr>
          <w:p>
            <w:r>
              <w:t>Brand record created; admin notified of new brand awaiting approval.</w:t>
            </w:r>
          </w:p>
        </w:tc>
        <w:tc>
          <w:tcPr>
            <w:tcW w:type="dxa" w:w="1008"/>
          </w:tcPr>
          <w:p>
            <w:r>
              <w:t>High</w:t>
            </w:r>
          </w:p>
        </w:tc>
      </w:tr>
      <w:tr>
        <w:tc>
          <w:tcPr>
            <w:tcW w:type="dxa" w:w="864"/>
          </w:tcPr>
          <w:p>
            <w:r>
              <w:t>F-007</w:t>
            </w:r>
          </w:p>
        </w:tc>
        <w:tc>
          <w:tcPr>
            <w:tcW w:type="dxa" w:w="1584"/>
          </w:tcPr>
          <w:p>
            <w:r>
              <w:t>Brand Profile Update</w:t>
            </w:r>
          </w:p>
        </w:tc>
        <w:tc>
          <w:tcPr>
            <w:tcW w:type="dxa" w:w="2016"/>
          </w:tcPr>
          <w:p>
            <w:r>
              <w:t>PATCH /api/brands/:id: {brand_name?, description?, logo_url?, whatsapp_number?, business_hours?, auto_reply_message?} (brand_owner)</w:t>
            </w:r>
          </w:p>
        </w:tc>
        <w:tc>
          <w:tcPr>
            <w:tcW w:type="dxa" w:w="2880"/>
          </w:tcPr>
          <w:p>
            <w:r>
              <w:t>Validate brand.owner_id = current user; update specified fields; persist.</w:t>
            </w:r>
          </w:p>
        </w:tc>
        <w:tc>
          <w:tcPr>
            <w:tcW w:type="dxa" w:w="2016"/>
          </w:tcPr>
          <w:p>
            <w:r>
              <w:t>200 updated brand object; 403 if not owner.</w:t>
            </w:r>
          </w:p>
        </w:tc>
        <w:tc>
          <w:tcPr>
            <w:tcW w:type="dxa" w:w="1008"/>
          </w:tcPr>
          <w:p>
            <w:r>
              <w:t>High</w:t>
            </w:r>
          </w:p>
        </w:tc>
      </w:tr>
      <w:tr>
        <w:tc>
          <w:tcPr>
            <w:tcW w:type="dxa" w:w="864"/>
          </w:tcPr>
          <w:p>
            <w:r>
              <w:t>F-008</w:t>
            </w:r>
          </w:p>
        </w:tc>
        <w:tc>
          <w:tcPr>
            <w:tcW w:type="dxa" w:w="1584"/>
          </w:tcPr>
          <w:p>
            <w:r>
              <w:t>Brand Verification</w:t>
            </w:r>
          </w:p>
        </w:tc>
        <w:tc>
          <w:tcPr>
            <w:tcW w:type="dxa" w:w="2016"/>
          </w:tcPr>
          <w:p>
            <w:r>
              <w:t>PATCH /api/admin/brands/:id: {status, verification_tier?} (admin only)</w:t>
            </w:r>
          </w:p>
        </w:tc>
        <w:tc>
          <w:tcPr>
            <w:tcW w:type="dxa" w:w="2880"/>
          </w:tcPr>
          <w:p>
            <w:r>
              <w:t>Validate admin role; validate status ∈ {approved, rejected}; update brand.status and owner.verification_status atomically; optionally set tier; notify brand owner and (on approval) all buyers.</w:t>
            </w:r>
          </w:p>
        </w:tc>
        <w:tc>
          <w:tcPr>
            <w:tcW w:type="dxa" w:w="2016"/>
          </w:tcPr>
          <w:p>
            <w:r>
              <w:t>200 updated brand; notifications dispatched; 400/403/404 on error.</w:t>
            </w:r>
          </w:p>
        </w:tc>
        <w:tc>
          <w:tcPr>
            <w:tcW w:type="dxa" w:w="1008"/>
          </w:tcPr>
          <w:p>
            <w:r>
              <w:t>High</w:t>
            </w:r>
          </w:p>
        </w:tc>
      </w:tr>
      <w:tr>
        <w:tc>
          <w:tcPr>
            <w:tcW w:type="dxa" w:w="864"/>
          </w:tcPr>
          <w:p>
            <w:r>
              <w:t>F-009</w:t>
            </w:r>
          </w:p>
        </w:tc>
        <w:tc>
          <w:tcPr>
            <w:tcW w:type="dxa" w:w="1584"/>
          </w:tcPr>
          <w:p>
            <w:r>
              <w:t>WhatsApp Click Tracking</w:t>
            </w:r>
          </w:p>
        </w:tc>
        <w:tc>
          <w:tcPr>
            <w:tcW w:type="dxa" w:w="2016"/>
          </w:tcPr>
          <w:p>
            <w:r>
              <w:t>POST /api/brands/whatsapp-click: {brand_id}</w:t>
            </w:r>
          </w:p>
        </w:tc>
        <w:tc>
          <w:tcPr>
            <w:tcW w:type="dxa" w:w="2880"/>
          </w:tcPr>
          <w:p>
            <w:r>
              <w:t>Increment brand.whatsapp_clicks counter in database.</w:t>
            </w:r>
          </w:p>
        </w:tc>
        <w:tc>
          <w:tcPr>
            <w:tcW w:type="dxa" w:w="2016"/>
          </w:tcPr>
          <w:p>
            <w:r>
              <w:t>200 success with updated click count.</w:t>
            </w:r>
          </w:p>
        </w:tc>
        <w:tc>
          <w:tcPr>
            <w:tcW w:type="dxa" w:w="1008"/>
          </w:tcPr>
          <w:p>
            <w:r>
              <w:t>Low</w:t>
            </w:r>
          </w:p>
        </w:tc>
      </w:tr>
      <w:tr>
        <w:tc>
          <w:tcPr>
            <w:tcW w:type="dxa" w:w="864"/>
          </w:tcPr>
          <w:p>
            <w:r>
              <w:t>F-010</w:t>
            </w:r>
          </w:p>
        </w:tc>
        <w:tc>
          <w:tcPr>
            <w:tcW w:type="dxa" w:w="1584"/>
          </w:tcPr>
          <w:p>
            <w:r>
              <w:t>Brand Discovery</w:t>
            </w:r>
          </w:p>
        </w:tc>
        <w:tc>
          <w:tcPr>
            <w:tcW w:type="dxa" w:w="2016"/>
          </w:tcPr>
          <w:p>
            <w:r>
              <w:t>GET /api/brands: {search?, category?, minRating?, verification_tier?}</w:t>
            </w:r>
          </w:p>
        </w:tc>
        <w:tc>
          <w:tcPr>
            <w:tcW w:type="dxa" w:w="2880"/>
          </w:tcPr>
          <w:p>
            <w:r>
              <w:t>Return all brands with status='approved'; apply optional filter parameters; sort by rating or relevance.</w:t>
            </w:r>
          </w:p>
        </w:tc>
        <w:tc>
          <w:tcPr>
            <w:tcW w:type="dxa" w:w="2016"/>
          </w:tcPr>
          <w:p>
            <w:r>
              <w:t>200 array of approved brand objects matching filters.</w:t>
            </w:r>
          </w:p>
        </w:tc>
        <w:tc>
          <w:tcPr>
            <w:tcW w:type="dxa" w:w="1008"/>
          </w:tcPr>
          <w:p>
            <w:r>
              <w:t>High</w:t>
            </w:r>
          </w:p>
        </w:tc>
      </w:tr>
    </w:tbl>
    <w:p/>
    <w:p>
      <w:pPr>
        <w:pStyle w:val="Heading3"/>
      </w:pPr>
      <w:r>
        <w:t>2.5.3  Subsystem 3 — Product &amp; Catalogue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F-011</w:t>
            </w:r>
          </w:p>
        </w:tc>
        <w:tc>
          <w:tcPr>
            <w:tcW w:type="dxa" w:w="1584"/>
          </w:tcPr>
          <w:p>
            <w:r>
              <w:t>Product Creation</w:t>
            </w:r>
          </w:p>
        </w:tc>
        <w:tc>
          <w:tcPr>
            <w:tcW w:type="dxa" w:w="2016"/>
          </w:tcPr>
          <w:p>
            <w:r>
              <w:t>POST /api/products: {brand_id, name, description, price, moq, stock, image_url, bulk_pricing_tiers[]} (brand_owner)</w:t>
            </w:r>
          </w:p>
        </w:tc>
        <w:tc>
          <w:tcPr>
            <w:tcW w:type="dxa" w:w="2880"/>
          </w:tcPr>
          <w:p>
            <w:r>
              <w:t>Validate brand ownership; create product record with all specified fields; persist bulk_pricing_tiers[] as embedded array.</w:t>
            </w:r>
          </w:p>
        </w:tc>
        <w:tc>
          <w:tcPr>
            <w:tcW w:type="dxa" w:w="2016"/>
          </w:tcPr>
          <w:p>
            <w:r>
              <w:t>201 created product object.</w:t>
            </w:r>
          </w:p>
        </w:tc>
        <w:tc>
          <w:tcPr>
            <w:tcW w:type="dxa" w:w="1008"/>
          </w:tcPr>
          <w:p>
            <w:r>
              <w:t>High</w:t>
            </w:r>
          </w:p>
        </w:tc>
      </w:tr>
      <w:tr>
        <w:tc>
          <w:tcPr>
            <w:tcW w:type="dxa" w:w="864"/>
          </w:tcPr>
          <w:p>
            <w:r>
              <w:t>F-012</w:t>
            </w:r>
          </w:p>
        </w:tc>
        <w:tc>
          <w:tcPr>
            <w:tcW w:type="dxa" w:w="1584"/>
          </w:tcPr>
          <w:p>
            <w:r>
              <w:t>Product Edit &amp; Delete</w:t>
            </w:r>
          </w:p>
        </w:tc>
        <w:tc>
          <w:tcPr>
            <w:tcW w:type="dxa" w:w="2016"/>
          </w:tcPr>
          <w:p>
            <w:r>
              <w:t>PATCH/DELETE /api/products/:id (brand_owner)</w:t>
            </w:r>
          </w:p>
        </w:tc>
        <w:tc>
          <w:tcPr>
            <w:tcW w:type="dxa" w:w="2880"/>
          </w:tcPr>
          <w:p>
            <w:r>
              <w:t>Validate brand ownership for the product's parent brand; update specified fields (PATCH) or remove record (DELETE).</w:t>
            </w:r>
          </w:p>
        </w:tc>
        <w:tc>
          <w:tcPr>
            <w:tcW w:type="dxa" w:w="2016"/>
          </w:tcPr>
          <w:p>
            <w:r>
              <w:t>200 updated product; 204 on delete; 403/404 on error.</w:t>
            </w:r>
          </w:p>
        </w:tc>
        <w:tc>
          <w:tcPr>
            <w:tcW w:type="dxa" w:w="1008"/>
          </w:tcPr>
          <w:p>
            <w:r>
              <w:t>High</w:t>
            </w:r>
          </w:p>
        </w:tc>
      </w:tr>
      <w:tr>
        <w:tc>
          <w:tcPr>
            <w:tcW w:type="dxa" w:w="864"/>
          </w:tcPr>
          <w:p>
            <w:r>
              <w:t>F-013</w:t>
            </w:r>
          </w:p>
        </w:tc>
        <w:tc>
          <w:tcPr>
            <w:tcW w:type="dxa" w:w="1584"/>
          </w:tcPr>
          <w:p>
            <w:r>
              <w:t>Bulk Pricing Tier Management</w:t>
            </w:r>
          </w:p>
        </w:tc>
        <w:tc>
          <w:tcPr>
            <w:tcW w:type="dxa" w:w="2016"/>
          </w:tcPr>
          <w:p>
            <w:r>
              <w:t>Included in F-011 / F-012: bulk_pricing_tiers: [{min_qty, max_qty, price}]</w:t>
            </w:r>
          </w:p>
        </w:tc>
        <w:tc>
          <w:tcPr>
            <w:tcW w:type="dxa" w:w="2880"/>
          </w:tcPr>
          <w:p>
            <w:r>
              <w:t>Validate tier ranges are logically valid (non-overlapping); replace existing tier array with the submitted one on each product update.</w:t>
            </w:r>
          </w:p>
        </w:tc>
        <w:tc>
          <w:tcPr>
            <w:tcW w:type="dxa" w:w="2016"/>
          </w:tcPr>
          <w:p>
            <w:r>
              <w:t>Updated product with new bulk_pricing_tiers[] array persisted.</w:t>
            </w:r>
          </w:p>
        </w:tc>
        <w:tc>
          <w:tcPr>
            <w:tcW w:type="dxa" w:w="1008"/>
          </w:tcPr>
          <w:p>
            <w:r>
              <w:t>High</w:t>
            </w:r>
          </w:p>
        </w:tc>
      </w:tr>
      <w:tr>
        <w:tc>
          <w:tcPr>
            <w:tcW w:type="dxa" w:w="864"/>
          </w:tcPr>
          <w:p>
            <w:r>
              <w:t>F-014</w:t>
            </w:r>
          </w:p>
        </w:tc>
        <w:tc>
          <w:tcPr>
            <w:tcW w:type="dxa" w:w="1584"/>
          </w:tcPr>
          <w:p>
            <w:r>
              <w:t>Product Browsing</w:t>
            </w:r>
          </w:p>
        </w:tc>
        <w:tc>
          <w:tcPr>
            <w:tcW w:type="dxa" w:w="2016"/>
          </w:tcPr>
          <w:p>
            <w:r>
              <w:t>GET /api/products?brand_id=X or GET /api/products/:id</w:t>
            </w:r>
          </w:p>
        </w:tc>
        <w:tc>
          <w:tcPr>
            <w:tcW w:type="dxa" w:w="2880"/>
          </w:tcPr>
          <w:p>
            <w:r>
              <w:t>Return all products for a brand (filtered by brand_id) or a single product by ID, including bulk_pricing_tiers.</w:t>
            </w:r>
          </w:p>
        </w:tc>
        <w:tc>
          <w:tcPr>
            <w:tcW w:type="dxa" w:w="2016"/>
          </w:tcPr>
          <w:p>
            <w:r>
              <w:t>200 array of products or single product object.</w:t>
            </w:r>
          </w:p>
        </w:tc>
        <w:tc>
          <w:tcPr>
            <w:tcW w:type="dxa" w:w="1008"/>
          </w:tcPr>
          <w:p>
            <w:r>
              <w:t>High</w:t>
            </w:r>
          </w:p>
        </w:tc>
      </w:tr>
      <w:tr>
        <w:tc>
          <w:tcPr>
            <w:tcW w:type="dxa" w:w="864"/>
          </w:tcPr>
          <w:p>
            <w:r>
              <w:t>F-015</w:t>
            </w:r>
          </w:p>
        </w:tc>
        <w:tc>
          <w:tcPr>
            <w:tcW w:type="dxa" w:w="1584"/>
          </w:tcPr>
          <w:p>
            <w:r>
              <w:t>Excel Catalogue Import</w:t>
            </w:r>
          </w:p>
        </w:tc>
        <w:tc>
          <w:tcPr>
            <w:tcW w:type="dxa" w:w="2016"/>
          </w:tcPr>
          <w:p>
            <w:r>
              <w:t>POST /api/products/bulk: multipart .xlsx file upload (brand_owner)</w:t>
            </w:r>
          </w:p>
        </w:tc>
        <w:tc>
          <w:tcPr>
            <w:tcW w:type="dxa" w:w="2880"/>
          </w:tcPr>
          <w:p>
            <w:r>
              <w:t>Parse .xlsx using xlsx library; extract product rows; validate each row against required fields; create product records in batch; report outcome.</w:t>
            </w:r>
          </w:p>
        </w:tc>
        <w:tc>
          <w:tcPr>
            <w:tcW w:type="dxa" w:w="2016"/>
          </w:tcPr>
          <w:p>
            <w:r>
              <w:t>200 import summary: {created: N, errors: [{row, reason}]}.</w:t>
            </w:r>
          </w:p>
        </w:tc>
        <w:tc>
          <w:tcPr>
            <w:tcW w:type="dxa" w:w="1008"/>
          </w:tcPr>
          <w:p>
            <w:r>
              <w:t>Low</w:t>
            </w:r>
          </w:p>
        </w:tc>
      </w:tr>
    </w:tbl>
    <w:p/>
    <w:p>
      <w:pPr>
        <w:pStyle w:val="Heading3"/>
      </w:pPr>
      <w:r>
        <w:t>2.5.4  Subsystem 4 — Order Management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F-016</w:t>
            </w:r>
          </w:p>
        </w:tc>
        <w:tc>
          <w:tcPr>
            <w:tcW w:type="dxa" w:w="1584"/>
          </w:tcPr>
          <w:p>
            <w:r>
              <w:t>Order Submission</w:t>
            </w:r>
          </w:p>
        </w:tc>
        <w:tc>
          <w:tcPr>
            <w:tcW w:type="dxa" w:w="2016"/>
          </w:tcPr>
          <w:p>
            <w:r>
              <w:t>POST /api/orders: {brand_id, items: [{product_id, quantity}]} (buyer)</w:t>
            </w:r>
          </w:p>
        </w:tc>
        <w:tc>
          <w:tcPr>
            <w:tcW w:type="dxa" w:w="2880"/>
          </w:tcPr>
          <w:p>
            <w:r>
              <w:t>Validate buyer role; locate approved brand; for each item: check product belongs to brand, validate qty ≥ MOQ (SR-05), validate qty ≤ stock (SR-06), resolve bulk-pricing unit_price (SR-07); compute total_amount; INSERT order + order_items; notify brand owner.</w:t>
            </w:r>
          </w:p>
        </w:tc>
        <w:tc>
          <w:tcPr>
            <w:tcW w:type="dxa" w:w="2016"/>
          </w:tcPr>
          <w:p>
            <w:r>
              <w:t>201 created order with items; brand owner notification dispatched.</w:t>
            </w:r>
          </w:p>
        </w:tc>
        <w:tc>
          <w:tcPr>
            <w:tcW w:type="dxa" w:w="1008"/>
          </w:tcPr>
          <w:p>
            <w:r>
              <w:t>High</w:t>
            </w:r>
          </w:p>
        </w:tc>
      </w:tr>
      <w:tr>
        <w:tc>
          <w:tcPr>
            <w:tcW w:type="dxa" w:w="864"/>
          </w:tcPr>
          <w:p>
            <w:r>
              <w:t>F-017</w:t>
            </w:r>
          </w:p>
        </w:tc>
        <w:tc>
          <w:tcPr>
            <w:tcW w:type="dxa" w:w="1584"/>
          </w:tcPr>
          <w:p>
            <w:r>
              <w:t>Order Status Update</w:t>
            </w:r>
          </w:p>
        </w:tc>
        <w:tc>
          <w:tcPr>
            <w:tcW w:type="dxa" w:w="2016"/>
          </w:tcPr>
          <w:p>
            <w:r>
              <w:t>PATCH /api/orders/:id: {status: approved|rejected|completed} (brand_owner or admin)</w:t>
            </w:r>
          </w:p>
        </w:tc>
        <w:tc>
          <w:tcPr>
            <w:tcW w:type="dxa" w:w="2880"/>
          </w:tcPr>
          <w:p>
            <w:r>
              <w:t>Validate role; brand_owner: verify order.brand_id matches owner's brand; update order.status; create buyer notification based on new status value.</w:t>
            </w:r>
          </w:p>
        </w:tc>
        <w:tc>
          <w:tcPr>
            <w:tcW w:type="dxa" w:w="2016"/>
          </w:tcPr>
          <w:p>
            <w:r>
              <w:t>200 updated order; buyer notification; 403/404 on error.</w:t>
            </w:r>
          </w:p>
        </w:tc>
        <w:tc>
          <w:tcPr>
            <w:tcW w:type="dxa" w:w="1008"/>
          </w:tcPr>
          <w:p>
            <w:r>
              <w:t>High</w:t>
            </w:r>
          </w:p>
        </w:tc>
      </w:tr>
      <w:tr>
        <w:tc>
          <w:tcPr>
            <w:tcW w:type="dxa" w:w="864"/>
          </w:tcPr>
          <w:p>
            <w:r>
              <w:t>F-018</w:t>
            </w:r>
          </w:p>
        </w:tc>
        <w:tc>
          <w:tcPr>
            <w:tcW w:type="dxa" w:w="1584"/>
          </w:tcPr>
          <w:p>
            <w:r>
              <w:t>Order Listing</w:t>
            </w:r>
          </w:p>
        </w:tc>
        <w:tc>
          <w:tcPr>
            <w:tcW w:type="dxa" w:w="2016"/>
          </w:tcPr>
          <w:p>
            <w:r>
              <w:t>GET /api/orders (authenticated)</w:t>
            </w:r>
          </w:p>
        </w:tc>
        <w:tc>
          <w:tcPr>
            <w:tcW w:type="dxa" w:w="2880"/>
          </w:tcPr>
          <w:p>
            <w:r>
              <w:t>Apply role-based data filter: buyers → own orders only; brand_owners → orders for their brand only; admins → all orders.</w:t>
            </w:r>
          </w:p>
        </w:tc>
        <w:tc>
          <w:tcPr>
            <w:tcW w:type="dxa" w:w="2016"/>
          </w:tcPr>
          <w:p>
            <w:r>
              <w:t>200 array of order objects including items.</w:t>
            </w:r>
          </w:p>
        </w:tc>
        <w:tc>
          <w:tcPr>
            <w:tcW w:type="dxa" w:w="1008"/>
          </w:tcPr>
          <w:p>
            <w:r>
              <w:t>High</w:t>
            </w:r>
          </w:p>
        </w:tc>
      </w:tr>
      <w:tr>
        <w:tc>
          <w:tcPr>
            <w:tcW w:type="dxa" w:w="864"/>
          </w:tcPr>
          <w:p>
            <w:r>
              <w:t>F-019</w:t>
            </w:r>
          </w:p>
        </w:tc>
        <w:tc>
          <w:tcPr>
            <w:tcW w:type="dxa" w:w="1584"/>
          </w:tcPr>
          <w:p>
            <w:r>
              <w:t>Order Detail View</w:t>
            </w:r>
          </w:p>
        </w:tc>
        <w:tc>
          <w:tcPr>
            <w:tcW w:type="dxa" w:w="2016"/>
          </w:tcPr>
          <w:p>
            <w:r>
              <w:t>GET /api/orders/:id (authenticated)</w:t>
            </w:r>
          </w:p>
        </w:tc>
        <w:tc>
          <w:tcPr>
            <w:tcW w:type="dxa" w:w="2880"/>
          </w:tcPr>
          <w:p>
            <w:r>
              <w:t>Return single order with full item detail; apply role-based ownership check before returning data.</w:t>
            </w:r>
          </w:p>
        </w:tc>
        <w:tc>
          <w:tcPr>
            <w:tcW w:type="dxa" w:w="2016"/>
          </w:tcPr>
          <w:p>
            <w:r>
              <w:t>200 order object with items; 403 if not authorised to view.</w:t>
            </w:r>
          </w:p>
        </w:tc>
        <w:tc>
          <w:tcPr>
            <w:tcW w:type="dxa" w:w="1008"/>
          </w:tcPr>
          <w:p>
            <w:r>
              <w:t>High</w:t>
            </w:r>
          </w:p>
        </w:tc>
      </w:tr>
      <w:tr>
        <w:tc>
          <w:tcPr>
            <w:tcW w:type="dxa" w:w="864"/>
          </w:tcPr>
          <w:p>
            <w:r>
              <w:t>F-020</w:t>
            </w:r>
          </w:p>
        </w:tc>
        <w:tc>
          <w:tcPr>
            <w:tcW w:type="dxa" w:w="1584"/>
          </w:tcPr>
          <w:p>
            <w:r>
              <w:t>Admin Order Analytics</w:t>
            </w:r>
          </w:p>
        </w:tc>
        <w:tc>
          <w:tcPr>
            <w:tcW w:type="dxa" w:w="2016"/>
          </w:tcPr>
          <w:p>
            <w:r>
              <w:t>GET /api/admin/orders (admin only)</w:t>
            </w:r>
          </w:p>
        </w:tc>
        <w:tc>
          <w:tcPr>
            <w:tcW w:type="dxa" w:w="2880"/>
          </w:tcPr>
          <w:p>
            <w:r>
              <w:t>Validate admin role; aggregate platform-wide order statistics: total count, total revenue, status distribution, recent order list.</w:t>
            </w:r>
          </w:p>
        </w:tc>
        <w:tc>
          <w:tcPr>
            <w:tcW w:type="dxa" w:w="2016"/>
          </w:tcPr>
          <w:p>
            <w:r>
              <w:t>200 analytics payload; 403 if non-admin.</w:t>
            </w:r>
          </w:p>
        </w:tc>
        <w:tc>
          <w:tcPr>
            <w:tcW w:type="dxa" w:w="1008"/>
          </w:tcPr>
          <w:p>
            <w:r>
              <w:t>Medium</w:t>
            </w:r>
          </w:p>
        </w:tc>
      </w:tr>
    </w:tbl>
    <w:p/>
    <w:p>
      <w:pPr>
        <w:pStyle w:val="Heading3"/>
      </w:pPr>
      <w:r>
        <w:t>2.5.5  Subsystem 5 — Trust, Reviews &amp; Notifications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1584"/>
          </w:tcPr>
          <w:p>
            <w:r>
              <w:rPr>
                <w:b/>
              </w:rPr>
              <w:t>Function</w:t>
            </w:r>
          </w:p>
        </w:tc>
        <w:tc>
          <w:tcPr>
            <w:tcW w:type="dxa" w:w="2016"/>
          </w:tcPr>
          <w:p>
            <w:r>
              <w:rPr>
                <w:b/>
              </w:rPr>
              <w:t>Input</w:t>
            </w:r>
          </w:p>
        </w:tc>
        <w:tc>
          <w:tcPr>
            <w:tcW w:type="dxa" w:w="2880"/>
          </w:tcPr>
          <w:p>
            <w:r>
              <w:rPr>
                <w:b/>
              </w:rPr>
              <w:t>Process</w:t>
            </w:r>
          </w:p>
        </w:tc>
        <w:tc>
          <w:tcPr>
            <w:tcW w:type="dxa" w:w="2016"/>
          </w:tcPr>
          <w:p>
            <w:r>
              <w:rPr>
                <w:b/>
              </w:rPr>
              <w:t>Output</w:t>
            </w:r>
          </w:p>
        </w:tc>
        <w:tc>
          <w:tcPr>
            <w:tcW w:type="dxa" w:w="1008"/>
          </w:tcPr>
          <w:p>
            <w:r>
              <w:rPr>
                <w:b/>
              </w:rPr>
              <w:t>Priority</w:t>
            </w:r>
          </w:p>
        </w:tc>
      </w:tr>
      <w:tr>
        <w:tc>
          <w:tcPr>
            <w:tcW w:type="dxa" w:w="864"/>
          </w:tcPr>
          <w:p>
            <w:r>
              <w:t>F-021</w:t>
            </w:r>
          </w:p>
        </w:tc>
        <w:tc>
          <w:tcPr>
            <w:tcW w:type="dxa" w:w="1584"/>
          </w:tcPr>
          <w:p>
            <w:r>
              <w:t>Review Submission</w:t>
            </w:r>
          </w:p>
        </w:tc>
        <w:tc>
          <w:tcPr>
            <w:tcW w:type="dxa" w:w="2016"/>
          </w:tcPr>
          <w:p>
            <w:r>
              <w:t>POST /api/reviews: {brand_id, order_id?, rating, content, anonymous} (buyer)</w:t>
            </w:r>
          </w:p>
        </w:tc>
        <w:tc>
          <w:tcPr>
            <w:tcW w:type="dxa" w:w="2880"/>
          </w:tcPr>
          <w:p>
            <w:r>
              <w:t>Validate buyer role; validate rating ∈ [1, 5]; create review with status='active' and anonymous flag; persist; notify brand owner.</w:t>
            </w:r>
          </w:p>
        </w:tc>
        <w:tc>
          <w:tcPr>
            <w:tcW w:type="dxa" w:w="2016"/>
          </w:tcPr>
          <w:p>
            <w:r>
              <w:t>201 created review object; brand owner notification.</w:t>
            </w:r>
          </w:p>
        </w:tc>
        <w:tc>
          <w:tcPr>
            <w:tcW w:type="dxa" w:w="1008"/>
          </w:tcPr>
          <w:p>
            <w:r>
              <w:t>Medium</w:t>
            </w:r>
          </w:p>
        </w:tc>
      </w:tr>
      <w:tr>
        <w:tc>
          <w:tcPr>
            <w:tcW w:type="dxa" w:w="864"/>
          </w:tcPr>
          <w:p>
            <w:r>
              <w:t>F-022</w:t>
            </w:r>
          </w:p>
        </w:tc>
        <w:tc>
          <w:tcPr>
            <w:tcW w:type="dxa" w:w="1584"/>
          </w:tcPr>
          <w:p>
            <w:r>
              <w:t>Brand Reply to Review</w:t>
            </w:r>
          </w:p>
        </w:tc>
        <w:tc>
          <w:tcPr>
            <w:tcW w:type="dxa" w:w="2016"/>
          </w:tcPr>
          <w:p>
            <w:r>
              <w:t>PATCH /api/reviews/:id/reply: {brand_reply} (brand_owner)</w:t>
            </w:r>
          </w:p>
        </w:tc>
        <w:tc>
          <w:tcPr>
            <w:tcW w:type="dxa" w:w="2880"/>
          </w:tcPr>
          <w:p>
            <w:r>
              <w:t>Validate brand ownership (review.brand_id = current user's brand); update review.brand_reply field; persist; notify review author.</w:t>
            </w:r>
          </w:p>
        </w:tc>
        <w:tc>
          <w:tcPr>
            <w:tcW w:type="dxa" w:w="2016"/>
          </w:tcPr>
          <w:p>
            <w:r>
              <w:t>200 updated review with brand_reply text.</w:t>
            </w:r>
          </w:p>
        </w:tc>
        <w:tc>
          <w:tcPr>
            <w:tcW w:type="dxa" w:w="1008"/>
          </w:tcPr>
          <w:p>
            <w:r>
              <w:t>Medium</w:t>
            </w:r>
          </w:p>
        </w:tc>
      </w:tr>
      <w:tr>
        <w:tc>
          <w:tcPr>
            <w:tcW w:type="dxa" w:w="864"/>
          </w:tcPr>
          <w:p>
            <w:r>
              <w:t>F-023</w:t>
            </w:r>
          </w:p>
        </w:tc>
        <w:tc>
          <w:tcPr>
            <w:tcW w:type="dxa" w:w="1584"/>
          </w:tcPr>
          <w:p>
            <w:r>
              <w:t>Admin Review Moderation</w:t>
            </w:r>
          </w:p>
        </w:tc>
        <w:tc>
          <w:tcPr>
            <w:tcW w:type="dxa" w:w="2016"/>
          </w:tcPr>
          <w:p>
            <w:r>
              <w:t>PATCH /api/admin/reviews/:id: {status?, flagged?} (admin)</w:t>
            </w:r>
          </w:p>
        </w:tc>
        <w:tc>
          <w:tcPr>
            <w:tcW w:type="dxa" w:w="2880"/>
          </w:tcPr>
          <w:p>
            <w:r>
              <w:t>Validate admin role; update review.status (active / removed) and/or review.flagged boolean as specified.</w:t>
            </w:r>
          </w:p>
        </w:tc>
        <w:tc>
          <w:tcPr>
            <w:tcW w:type="dxa" w:w="2016"/>
          </w:tcPr>
          <w:p>
            <w:r>
              <w:t>200 updated review object; 403 if non-admin.</w:t>
            </w:r>
          </w:p>
        </w:tc>
        <w:tc>
          <w:tcPr>
            <w:tcW w:type="dxa" w:w="1008"/>
          </w:tcPr>
          <w:p>
            <w:r>
              <w:t>Medium</w:t>
            </w:r>
          </w:p>
        </w:tc>
      </w:tr>
      <w:tr>
        <w:tc>
          <w:tcPr>
            <w:tcW w:type="dxa" w:w="864"/>
          </w:tcPr>
          <w:p>
            <w:r>
              <w:t>F-024</w:t>
            </w:r>
          </w:p>
        </w:tc>
        <w:tc>
          <w:tcPr>
            <w:tcW w:type="dxa" w:w="1584"/>
          </w:tcPr>
          <w:p>
            <w:r>
              <w:t>Trust Score Computation</w:t>
            </w:r>
          </w:p>
        </w:tc>
        <w:tc>
          <w:tcPr>
            <w:tcW w:type="dxa" w:w="2016"/>
          </w:tcPr>
          <w:p>
            <w:r>
              <w:t>GET /api/trust/:id or triggered on order status change</w:t>
            </w:r>
          </w:p>
        </w:tc>
        <w:tc>
          <w:tcPr>
            <w:tcW w:type="dxa" w:w="2880"/>
          </w:tcPr>
          <w:p>
            <w:r>
              <w:t>Calculate BrandTrust: response_rate = responded / total; completion_rate = completed / total; avg_fulfillment_days from order timestamps; assign badge tier by threshold. Calculate BuyerTrust: completion_rate, cancellation_rate from order history.</w:t>
            </w:r>
          </w:p>
        </w:tc>
        <w:tc>
          <w:tcPr>
            <w:tcW w:type="dxa" w:w="2016"/>
          </w:tcPr>
          <w:p>
            <w:r>
              <w:t>200 BrandTrust or BuyerTrust object; persisted to database.</w:t>
            </w:r>
          </w:p>
        </w:tc>
        <w:tc>
          <w:tcPr>
            <w:tcW w:type="dxa" w:w="1008"/>
          </w:tcPr>
          <w:p>
            <w:r>
              <w:t>Medium</w:t>
            </w:r>
          </w:p>
        </w:tc>
      </w:tr>
      <w:tr>
        <w:tc>
          <w:tcPr>
            <w:tcW w:type="dxa" w:w="864"/>
          </w:tcPr>
          <w:p>
            <w:r>
              <w:t>F-025</w:t>
            </w:r>
          </w:p>
        </w:tc>
        <w:tc>
          <w:tcPr>
            <w:tcW w:type="dxa" w:w="1584"/>
          </w:tcPr>
          <w:p>
            <w:r>
              <w:t>Notification Management</w:t>
            </w:r>
          </w:p>
        </w:tc>
        <w:tc>
          <w:tcPr>
            <w:tcW w:type="dxa" w:w="2016"/>
          </w:tcPr>
          <w:p>
            <w:r>
              <w:t>GET /api/notifications; PATCH /api/notifications/:id: {read: true}</w:t>
            </w:r>
          </w:p>
        </w:tc>
        <w:tc>
          <w:tcPr>
            <w:tcW w:type="dxa" w:w="2880"/>
          </w:tcPr>
          <w:p>
            <w:r>
              <w:t>GET: return all notifications for current user ordered by created_at DESC. PATCH: mark specified notification record as read.</w:t>
            </w:r>
          </w:p>
        </w:tc>
        <w:tc>
          <w:tcPr>
            <w:tcW w:type="dxa" w:w="2016"/>
          </w:tcPr>
          <w:p>
            <w:r>
              <w:t>200 notification array (GET); 200 updated notification (PATCH).</w:t>
            </w:r>
          </w:p>
        </w:tc>
        <w:tc>
          <w:tcPr>
            <w:tcW w:type="dxa" w:w="1008"/>
          </w:tcPr>
          <w:p>
            <w:r>
              <w:t>High</w:t>
            </w:r>
          </w:p>
        </w:tc>
      </w:tr>
    </w:tbl>
    <w:p/>
    <w:p>
      <w:pPr>
        <w:pStyle w:val="Heading2"/>
      </w:pPr>
      <w:r>
        <w:t>2.6  Context Model</w:t>
      </w:r>
    </w:p>
    <w:p>
      <w:pPr/>
      <w:r>
        <w:t>The Context Model defines the boundary of the Kuwait B2B Hub system and identifies the external entities that interact with it across that boundary. The system boundary encompasses all Next.js App Router page routes, the 25 serverless API route handlers, the Zustand notification store, the currency configuration module, and the data access abstraction layer. Everything outside this boundary is an external entity that communicates with the system via defined interfaces.</w:t>
      </w:r>
    </w:p>
    <w:p>
      <w:pPr/>
      <w:r>
        <w:t>The system interfaces with four external entity categories, each described in the table below. Data flows across the boundary include: user input (HTTP requests from browsers), platform events (notifications dispatched to the notification service), authentication tokens (JWT sessions exchanged with Supabase Auth), financial exchange data (currency rates from an external API), and deployment and serving (all static and dynamic assets served via Vercel's edge network).</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4752"/>
          </w:tcPr>
          <w:p>
            <w:r>
              <w:rPr>
                <w:b/>
              </w:rPr>
              <w:t>Role &amp; Interaction</w:t>
            </w:r>
          </w:p>
        </w:tc>
        <w:tc>
          <w:tcPr>
            <w:tcW w:type="dxa" w:w="2592"/>
          </w:tcPr>
          <w:p>
            <w:r>
              <w:rPr>
                <w:b/>
              </w:rPr>
              <w:t>Interface</w:t>
            </w:r>
          </w:p>
        </w:tc>
      </w:tr>
      <w:tr>
        <w:tc>
          <w:tcPr>
            <w:tcW w:type="dxa" w:w="2016"/>
          </w:tcPr>
          <w:p>
            <w:r>
              <w:t>Business Buyers</w:t>
            </w:r>
          </w:p>
        </w:tc>
        <w:tc>
          <w:tcPr>
            <w:tcW w:type="dxa" w:w="4752"/>
          </w:tcPr>
          <w:p>
            <w:r>
              <w:t>Human actors who register accounts, browse brand catalogues, submit bulk orders, track order status, submit reviews, and view notifications. They interact exclusively via the browser-rendered Next.js UI.</w:t>
            </w:r>
          </w:p>
        </w:tc>
        <w:tc>
          <w:tcPr>
            <w:tcW w:type="dxa" w:w="2592"/>
          </w:tcPr>
          <w:p>
            <w:r>
              <w:t>HTTPS (browser → Vercel edge → Next.js SSR + API routes)</w:t>
            </w:r>
          </w:p>
        </w:tc>
      </w:tr>
      <w:tr>
        <w:tc>
          <w:tcPr>
            <w:tcW w:type="dxa" w:w="2016"/>
          </w:tcPr>
          <w:p>
            <w:r>
              <w:t>Brand Owners</w:t>
            </w:r>
          </w:p>
        </w:tc>
        <w:tc>
          <w:tcPr>
            <w:tcW w:type="dxa" w:w="4752"/>
          </w:tcPr>
          <w:p>
            <w:r>
              <w:t>Human actors who register brand profiles, manage product catalogues, process incoming orders, reply to reviews, and view brand analytics dashboards. Interact via the /brand/* portal routes.</w:t>
            </w:r>
          </w:p>
        </w:tc>
        <w:tc>
          <w:tcPr>
            <w:tcW w:type="dxa" w:w="2592"/>
          </w:tcPr>
          <w:p>
            <w:r>
              <w:t>HTTPS (browser → Vercel edge → Next.js SSR + API routes)</w:t>
            </w:r>
          </w:p>
        </w:tc>
      </w:tr>
      <w:tr>
        <w:tc>
          <w:tcPr>
            <w:tcW w:type="dxa" w:w="2016"/>
          </w:tcPr>
          <w:p>
            <w:r>
              <w:t>Admin Users</w:t>
            </w:r>
          </w:p>
        </w:tc>
        <w:tc>
          <w:tcPr>
            <w:tcW w:type="dxa" w:w="4752"/>
          </w:tcPr>
          <w:p>
            <w:r>
              <w:t>Internal platform operators who approve/reject brands, moderate reviews, manage user accounts, and access platform-wide analytics. Confined to the /admin/* route namespace.</w:t>
            </w:r>
          </w:p>
        </w:tc>
        <w:tc>
          <w:tcPr>
            <w:tcW w:type="dxa" w:w="2592"/>
          </w:tcPr>
          <w:p>
            <w:r>
              <w:t>HTTPS (browser → Vercel edge → /admin/* routes)</w:t>
            </w:r>
          </w:p>
        </w:tc>
      </w:tr>
      <w:tr>
        <w:tc>
          <w:tcPr>
            <w:tcW w:type="dxa" w:w="2016"/>
          </w:tcPr>
          <w:p>
            <w:r>
              <w:t>External Services</w:t>
            </w:r>
          </w:p>
        </w:tc>
        <w:tc>
          <w:tcPr>
            <w:tcW w:type="dxa" w:w="4752"/>
          </w:tcPr>
          <w:p>
            <w:r>
              <w:t>Four cloud platforms the system depends on: (1) Supabase — provides JWT session validation via supabase.auth.getUser() and managed PostgreSQL storage; (2) Vercel — serverless execution environment and global CDN; (3) WhatsApp Business — receives buyer contact intent via platform-generated deep links; (4) Exchange Rate API — supplies live GCC currency rates consumed by CurrencyContext.</w:t>
            </w:r>
          </w:p>
        </w:tc>
        <w:tc>
          <w:tcPr>
            <w:tcW w:type="dxa" w:w="2592"/>
          </w:tcPr>
          <w:p>
            <w:r>
              <w:t>HTTPS/WebSocket (Supabase), Git webhook (Vercel CI/CD), URI deep-link (WhatsApp), REST (Exchange Rate API)</w:t>
            </w:r>
          </w:p>
        </w:tc>
      </w:tr>
    </w:tbl>
    <w:p/>
    <w:p>
      <w:pPr>
        <w:pStyle w:val="Heading2"/>
      </w:pPr>
      <w:r>
        <w:t>2.7  Use Cases</w:t>
      </w:r>
    </w:p>
    <w:p>
      <w:pPr/>
      <w:r>
        <w:t>The table below summarises all 16 use cases identified for the Kuwait B2B Hub. Detailed specifications for five representative use cases (UC-01, UC-03, UC-07, UC-12, UC-14) are provided in §2.7.1–2.7.5.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UC ID</w:t>
            </w:r>
          </w:p>
        </w:tc>
        <w:tc>
          <w:tcPr>
            <w:tcW w:type="dxa" w:w="2304"/>
          </w:tcPr>
          <w:p>
            <w:r>
              <w:rPr>
                <w:b/>
              </w:rPr>
              <w:t>Use Case Name</w:t>
            </w:r>
          </w:p>
        </w:tc>
        <w:tc>
          <w:tcPr>
            <w:tcW w:type="dxa" w:w="1872"/>
          </w:tcPr>
          <w:p>
            <w:r>
              <w:rPr>
                <w:b/>
              </w:rPr>
              <w:t>Primary Actor</w:t>
            </w:r>
          </w:p>
        </w:tc>
        <w:tc>
          <w:tcPr>
            <w:tcW w:type="dxa" w:w="3744"/>
          </w:tcPr>
          <w:p>
            <w:r>
              <w:rPr>
                <w:b/>
              </w:rPr>
              <w:t>Brief Description</w:t>
            </w:r>
          </w:p>
        </w:tc>
        <w:tc>
          <w:tcPr>
            <w:tcW w:type="dxa" w:w="1008"/>
          </w:tcPr>
          <w:p>
            <w:r>
              <w:rPr>
                <w:b/>
              </w:rPr>
              <w:t>Priority</w:t>
            </w:r>
          </w:p>
        </w:tc>
      </w:tr>
      <w:tr>
        <w:tc>
          <w:tcPr>
            <w:tcW w:type="dxa" w:w="1008"/>
          </w:tcPr>
          <w:p>
            <w:r>
              <w:t>UC-01</w:t>
            </w:r>
          </w:p>
        </w:tc>
        <w:tc>
          <w:tcPr>
            <w:tcW w:type="dxa" w:w="2304"/>
          </w:tcPr>
          <w:p>
            <w:r>
              <w:t>Register Account</w:t>
            </w:r>
          </w:p>
        </w:tc>
        <w:tc>
          <w:tcPr>
            <w:tcW w:type="dxa" w:w="1872"/>
          </w:tcPr>
          <w:p>
            <w:r>
              <w:t>Buyer / Brand Owner</w:t>
            </w:r>
          </w:p>
        </w:tc>
        <w:tc>
          <w:tcPr>
            <w:tcW w:type="dxa" w:w="3744"/>
          </w:tcPr>
          <w:p>
            <w:r>
              <w:t>User creates a new platform account with role selection and receives a session.</w:t>
            </w:r>
          </w:p>
        </w:tc>
        <w:tc>
          <w:tcPr>
            <w:tcW w:type="dxa" w:w="1008"/>
          </w:tcPr>
          <w:p>
            <w:r>
              <w:t>High</w:t>
            </w:r>
          </w:p>
        </w:tc>
      </w:tr>
      <w:tr>
        <w:tc>
          <w:tcPr>
            <w:tcW w:type="dxa" w:w="1008"/>
          </w:tcPr>
          <w:p>
            <w:r>
              <w:t>UC-02</w:t>
            </w:r>
          </w:p>
        </w:tc>
        <w:tc>
          <w:tcPr>
            <w:tcW w:type="dxa" w:w="2304"/>
          </w:tcPr>
          <w:p>
            <w:r>
              <w:t>Login &amp; Logout</w:t>
            </w:r>
          </w:p>
        </w:tc>
        <w:tc>
          <w:tcPr>
            <w:tcW w:type="dxa" w:w="1872"/>
          </w:tcPr>
          <w:p>
            <w:r>
              <w:t>All Users</w:t>
            </w:r>
          </w:p>
        </w:tc>
        <w:tc>
          <w:tcPr>
            <w:tcW w:type="dxa" w:w="3744"/>
          </w:tcPr>
          <w:p>
            <w:r>
              <w:t>Authenticated user establishes or terminates a persistent session.</w:t>
            </w:r>
          </w:p>
        </w:tc>
        <w:tc>
          <w:tcPr>
            <w:tcW w:type="dxa" w:w="1008"/>
          </w:tcPr>
          <w:p>
            <w:r>
              <w:t>High</w:t>
            </w:r>
          </w:p>
        </w:tc>
      </w:tr>
      <w:tr>
        <w:tc>
          <w:tcPr>
            <w:tcW w:type="dxa" w:w="1008"/>
          </w:tcPr>
          <w:p>
            <w:r>
              <w:t>UC-03</w:t>
            </w:r>
          </w:p>
        </w:tc>
        <w:tc>
          <w:tcPr>
            <w:tcW w:type="dxa" w:w="2304"/>
          </w:tcPr>
          <w:p>
            <w:r>
              <w:t>Browse &amp; Search Brands</w:t>
            </w:r>
          </w:p>
        </w:tc>
        <w:tc>
          <w:tcPr>
            <w:tcW w:type="dxa" w:w="1872"/>
          </w:tcPr>
          <w:p>
            <w:r>
              <w:t>Buyer</w:t>
            </w:r>
          </w:p>
        </w:tc>
        <w:tc>
          <w:tcPr>
            <w:tcW w:type="dxa" w:w="3744"/>
          </w:tcPr>
          <w:p>
            <w:r>
              <w:t>Buyer discovers verified brands on the marketplace using search and filter controls.</w:t>
            </w:r>
          </w:p>
        </w:tc>
        <w:tc>
          <w:tcPr>
            <w:tcW w:type="dxa" w:w="1008"/>
          </w:tcPr>
          <w:p>
            <w:r>
              <w:t>High</w:t>
            </w:r>
          </w:p>
        </w:tc>
      </w:tr>
      <w:tr>
        <w:tc>
          <w:tcPr>
            <w:tcW w:type="dxa" w:w="1008"/>
          </w:tcPr>
          <w:p>
            <w:r>
              <w:t>UC-04</w:t>
            </w:r>
          </w:p>
        </w:tc>
        <w:tc>
          <w:tcPr>
            <w:tcW w:type="dxa" w:w="2304"/>
          </w:tcPr>
          <w:p>
            <w:r>
              <w:t>View Product Catalogue</w:t>
            </w:r>
          </w:p>
        </w:tc>
        <w:tc>
          <w:tcPr>
            <w:tcW w:type="dxa" w:w="1872"/>
          </w:tcPr>
          <w:p>
            <w:r>
              <w:t>Buyer</w:t>
            </w:r>
          </w:p>
        </w:tc>
        <w:tc>
          <w:tcPr>
            <w:tcW w:type="dxa" w:w="3744"/>
          </w:tcPr>
          <w:p>
            <w:r>
              <w:t>Buyer views a brand's product listing with pricing and bulk-pricing tiers.</w:t>
            </w:r>
          </w:p>
        </w:tc>
        <w:tc>
          <w:tcPr>
            <w:tcW w:type="dxa" w:w="1008"/>
          </w:tcPr>
          <w:p>
            <w:r>
              <w:t>High</w:t>
            </w:r>
          </w:p>
        </w:tc>
      </w:tr>
      <w:tr>
        <w:tc>
          <w:tcPr>
            <w:tcW w:type="dxa" w:w="1008"/>
          </w:tcPr>
          <w:p>
            <w:r>
              <w:t>UC-05</w:t>
            </w:r>
          </w:p>
        </w:tc>
        <w:tc>
          <w:tcPr>
            <w:tcW w:type="dxa" w:w="2304"/>
          </w:tcPr>
          <w:p>
            <w:r>
              <w:t>Submit Bulk Order</w:t>
            </w:r>
          </w:p>
        </w:tc>
        <w:tc>
          <w:tcPr>
            <w:tcW w:type="dxa" w:w="1872"/>
          </w:tcPr>
          <w:p>
            <w:r>
              <w:t>Buyer</w:t>
            </w:r>
          </w:p>
        </w:tc>
        <w:tc>
          <w:tcPr>
            <w:tcW w:type="dxa" w:w="3744"/>
          </w:tcPr>
          <w:p>
            <w:r>
              <w:t>Buyer submits an order request; system enforces MOQ, stock, and pricing rules.</w:t>
            </w:r>
          </w:p>
        </w:tc>
        <w:tc>
          <w:tcPr>
            <w:tcW w:type="dxa" w:w="1008"/>
          </w:tcPr>
          <w:p>
            <w:r>
              <w:t>High</w:t>
            </w:r>
          </w:p>
        </w:tc>
      </w:tr>
      <w:tr>
        <w:tc>
          <w:tcPr>
            <w:tcW w:type="dxa" w:w="1008"/>
          </w:tcPr>
          <w:p>
            <w:r>
              <w:t>UC-06</w:t>
            </w:r>
          </w:p>
        </w:tc>
        <w:tc>
          <w:tcPr>
            <w:tcW w:type="dxa" w:w="2304"/>
          </w:tcPr>
          <w:p>
            <w:r>
              <w:t>Track Order Status</w:t>
            </w:r>
          </w:p>
        </w:tc>
        <w:tc>
          <w:tcPr>
            <w:tcW w:type="dxa" w:w="1872"/>
          </w:tcPr>
          <w:p>
            <w:r>
              <w:t>Buyer / Brand Owner</w:t>
            </w:r>
          </w:p>
        </w:tc>
        <w:tc>
          <w:tcPr>
            <w:tcW w:type="dxa" w:w="3744"/>
          </w:tcPr>
          <w:p>
            <w:r>
              <w:t>User monitors the full order lifecycle from pending through to completion.</w:t>
            </w:r>
          </w:p>
        </w:tc>
        <w:tc>
          <w:tcPr>
            <w:tcW w:type="dxa" w:w="1008"/>
          </w:tcPr>
          <w:p>
            <w:r>
              <w:t>High</w:t>
            </w:r>
          </w:p>
        </w:tc>
      </w:tr>
      <w:tr>
        <w:tc>
          <w:tcPr>
            <w:tcW w:type="dxa" w:w="1008"/>
          </w:tcPr>
          <w:p>
            <w:r>
              <w:t>UC-07</w:t>
            </w:r>
          </w:p>
        </w:tc>
        <w:tc>
          <w:tcPr>
            <w:tcW w:type="dxa" w:w="2304"/>
          </w:tcPr>
          <w:p>
            <w:r>
              <w:t>Verify Brand (Admin)</w:t>
            </w:r>
          </w:p>
        </w:tc>
        <w:tc>
          <w:tcPr>
            <w:tcW w:type="dxa" w:w="1872"/>
          </w:tcPr>
          <w:p>
            <w:r>
              <w:t>Admin</w:t>
            </w:r>
          </w:p>
        </w:tc>
        <w:tc>
          <w:tcPr>
            <w:tcW w:type="dxa" w:w="3744"/>
          </w:tcPr>
          <w:p>
            <w:r>
              <w:t>Admin reviews a pending brand application, approves or rejects, and sets tier.</w:t>
            </w:r>
          </w:p>
        </w:tc>
        <w:tc>
          <w:tcPr>
            <w:tcW w:type="dxa" w:w="1008"/>
          </w:tcPr>
          <w:p>
            <w:r>
              <w:t>High</w:t>
            </w:r>
          </w:p>
        </w:tc>
      </w:tr>
      <w:tr>
        <w:tc>
          <w:tcPr>
            <w:tcW w:type="dxa" w:w="1008"/>
          </w:tcPr>
          <w:p>
            <w:r>
              <w:t>UC-08</w:t>
            </w:r>
          </w:p>
        </w:tc>
        <w:tc>
          <w:tcPr>
            <w:tcW w:type="dxa" w:w="2304"/>
          </w:tcPr>
          <w:p>
            <w:r>
              <w:t>Approve / Reject Order</w:t>
            </w:r>
          </w:p>
        </w:tc>
        <w:tc>
          <w:tcPr>
            <w:tcW w:type="dxa" w:w="1872"/>
          </w:tcPr>
          <w:p>
            <w:r>
              <w:t>Brand Owner</w:t>
            </w:r>
          </w:p>
        </w:tc>
        <w:tc>
          <w:tcPr>
            <w:tcW w:type="dxa" w:w="3744"/>
          </w:tcPr>
          <w:p>
            <w:r>
              <w:t>Brand owner reviews an incoming order and updates its status.</w:t>
            </w:r>
          </w:p>
        </w:tc>
        <w:tc>
          <w:tcPr>
            <w:tcW w:type="dxa" w:w="1008"/>
          </w:tcPr>
          <w:p>
            <w:r>
              <w:t>High</w:t>
            </w:r>
          </w:p>
        </w:tc>
      </w:tr>
      <w:tr>
        <w:tc>
          <w:tcPr>
            <w:tcW w:type="dxa" w:w="1008"/>
          </w:tcPr>
          <w:p>
            <w:r>
              <w:t>UC-09</w:t>
            </w:r>
          </w:p>
        </w:tc>
        <w:tc>
          <w:tcPr>
            <w:tcW w:type="dxa" w:w="2304"/>
          </w:tcPr>
          <w:p>
            <w:r>
              <w:t>Manage Product Listings</w:t>
            </w:r>
          </w:p>
        </w:tc>
        <w:tc>
          <w:tcPr>
            <w:tcW w:type="dxa" w:w="1872"/>
          </w:tcPr>
          <w:p>
            <w:r>
              <w:t>Brand Owner</w:t>
            </w:r>
          </w:p>
        </w:tc>
        <w:tc>
          <w:tcPr>
            <w:tcW w:type="dxa" w:w="3744"/>
          </w:tcPr>
          <w:p>
            <w:r>
              <w:t>Brand owner creates, edits, or deletes product entries in their catalogue.</w:t>
            </w:r>
          </w:p>
        </w:tc>
        <w:tc>
          <w:tcPr>
            <w:tcW w:type="dxa" w:w="1008"/>
          </w:tcPr>
          <w:p>
            <w:r>
              <w:t>High</w:t>
            </w:r>
          </w:p>
        </w:tc>
      </w:tr>
      <w:tr>
        <w:tc>
          <w:tcPr>
            <w:tcW w:type="dxa" w:w="1008"/>
          </w:tcPr>
          <w:p>
            <w:r>
              <w:t>UC-10</w:t>
            </w:r>
          </w:p>
        </w:tc>
        <w:tc>
          <w:tcPr>
            <w:tcW w:type="dxa" w:w="2304"/>
          </w:tcPr>
          <w:p>
            <w:r>
              <w:t>Bulk Import Catalogue</w:t>
            </w:r>
          </w:p>
        </w:tc>
        <w:tc>
          <w:tcPr>
            <w:tcW w:type="dxa" w:w="1872"/>
          </w:tcPr>
          <w:p>
            <w:r>
              <w:t>Brand Owner</w:t>
            </w:r>
          </w:p>
        </w:tc>
        <w:tc>
          <w:tcPr>
            <w:tcW w:type="dxa" w:w="3744"/>
          </w:tcPr>
          <w:p>
            <w:r>
              <w:t>Brand owner uploads an Excel file; system creates product records in batch.</w:t>
            </w:r>
          </w:p>
        </w:tc>
        <w:tc>
          <w:tcPr>
            <w:tcW w:type="dxa" w:w="1008"/>
          </w:tcPr>
          <w:p>
            <w:r>
              <w:t>Low</w:t>
            </w:r>
          </w:p>
        </w:tc>
      </w:tr>
      <w:tr>
        <w:tc>
          <w:tcPr>
            <w:tcW w:type="dxa" w:w="1008"/>
          </w:tcPr>
          <w:p>
            <w:r>
              <w:t>UC-11</w:t>
            </w:r>
          </w:p>
        </w:tc>
        <w:tc>
          <w:tcPr>
            <w:tcW w:type="dxa" w:w="2304"/>
          </w:tcPr>
          <w:p>
            <w:r>
              <w:t>Submit Review</w:t>
            </w:r>
          </w:p>
        </w:tc>
        <w:tc>
          <w:tcPr>
            <w:tcW w:type="dxa" w:w="1872"/>
          </w:tcPr>
          <w:p>
            <w:r>
              <w:t>Buyer</w:t>
            </w:r>
          </w:p>
        </w:tc>
        <w:tc>
          <w:tcPr>
            <w:tcW w:type="dxa" w:w="3744"/>
          </w:tcPr>
          <w:p>
            <w:r>
              <w:t>Buyer submits a star rating and written review for a brand, optionally anonymously.</w:t>
            </w:r>
          </w:p>
        </w:tc>
        <w:tc>
          <w:tcPr>
            <w:tcW w:type="dxa" w:w="1008"/>
          </w:tcPr>
          <w:p>
            <w:r>
              <w:t>Medium</w:t>
            </w:r>
          </w:p>
        </w:tc>
      </w:tr>
      <w:tr>
        <w:tc>
          <w:tcPr>
            <w:tcW w:type="dxa" w:w="1008"/>
          </w:tcPr>
          <w:p>
            <w:r>
              <w:t>UC-12</w:t>
            </w:r>
          </w:p>
        </w:tc>
        <w:tc>
          <w:tcPr>
            <w:tcW w:type="dxa" w:w="2304"/>
          </w:tcPr>
          <w:p>
            <w:r>
              <w:t>Reply to Review</w:t>
            </w:r>
          </w:p>
        </w:tc>
        <w:tc>
          <w:tcPr>
            <w:tcW w:type="dxa" w:w="1872"/>
          </w:tcPr>
          <w:p>
            <w:r>
              <w:t>Brand Owner</w:t>
            </w:r>
          </w:p>
        </w:tc>
        <w:tc>
          <w:tcPr>
            <w:tcW w:type="dxa" w:w="3744"/>
          </w:tcPr>
          <w:p>
            <w:r>
              <w:t>Brand owner posts a written response to a review on their brand profile.</w:t>
            </w:r>
          </w:p>
        </w:tc>
        <w:tc>
          <w:tcPr>
            <w:tcW w:type="dxa" w:w="1008"/>
          </w:tcPr>
          <w:p>
            <w:r>
              <w:t>Medium</w:t>
            </w:r>
          </w:p>
        </w:tc>
      </w:tr>
      <w:tr>
        <w:tc>
          <w:tcPr>
            <w:tcW w:type="dxa" w:w="1008"/>
          </w:tcPr>
          <w:p>
            <w:r>
              <w:t>UC-13</w:t>
            </w:r>
          </w:p>
        </w:tc>
        <w:tc>
          <w:tcPr>
            <w:tcW w:type="dxa" w:w="2304"/>
          </w:tcPr>
          <w:p>
            <w:r>
              <w:t>Moderate Review</w:t>
            </w:r>
          </w:p>
        </w:tc>
        <w:tc>
          <w:tcPr>
            <w:tcW w:type="dxa" w:w="1872"/>
          </w:tcPr>
          <w:p>
            <w:r>
              <w:t>Admin</w:t>
            </w:r>
          </w:p>
        </w:tc>
        <w:tc>
          <w:tcPr>
            <w:tcW w:type="dxa" w:w="3744"/>
          </w:tcPr>
          <w:p>
            <w:r>
              <w:t>Admin removes or flags a review that violates platform community guidelines.</w:t>
            </w:r>
          </w:p>
        </w:tc>
        <w:tc>
          <w:tcPr>
            <w:tcW w:type="dxa" w:w="1008"/>
          </w:tcPr>
          <w:p>
            <w:r>
              <w:t>Medium</w:t>
            </w:r>
          </w:p>
        </w:tc>
      </w:tr>
      <w:tr>
        <w:tc>
          <w:tcPr>
            <w:tcW w:type="dxa" w:w="1008"/>
          </w:tcPr>
          <w:p>
            <w:r>
              <w:t>UC-14</w:t>
            </w:r>
          </w:p>
        </w:tc>
        <w:tc>
          <w:tcPr>
            <w:tcW w:type="dxa" w:w="2304"/>
          </w:tcPr>
          <w:p>
            <w:r>
              <w:t>Manage Notifications</w:t>
            </w:r>
          </w:p>
        </w:tc>
        <w:tc>
          <w:tcPr>
            <w:tcW w:type="dxa" w:w="1872"/>
          </w:tcPr>
          <w:p>
            <w:r>
              <w:t>All Users</w:t>
            </w:r>
          </w:p>
        </w:tc>
        <w:tc>
          <w:tcPr>
            <w:tcW w:type="dxa" w:w="3744"/>
          </w:tcPr>
          <w:p>
            <w:r>
              <w:t>User opens the notification panel and marks notifications as read.</w:t>
            </w:r>
          </w:p>
        </w:tc>
        <w:tc>
          <w:tcPr>
            <w:tcW w:type="dxa" w:w="1008"/>
          </w:tcPr>
          <w:p>
            <w:r>
              <w:t>High</w:t>
            </w:r>
          </w:p>
        </w:tc>
      </w:tr>
      <w:tr>
        <w:tc>
          <w:tcPr>
            <w:tcW w:type="dxa" w:w="1008"/>
          </w:tcPr>
          <w:p>
            <w:r>
              <w:t>UC-15</w:t>
            </w:r>
          </w:p>
        </w:tc>
        <w:tc>
          <w:tcPr>
            <w:tcW w:type="dxa" w:w="2304"/>
          </w:tcPr>
          <w:p>
            <w:r>
              <w:t>Switch Language &amp; Currency</w:t>
            </w:r>
          </w:p>
        </w:tc>
        <w:tc>
          <w:tcPr>
            <w:tcW w:type="dxa" w:w="1872"/>
          </w:tcPr>
          <w:p>
            <w:r>
              <w:t>All Users</w:t>
            </w:r>
          </w:p>
        </w:tc>
        <w:tc>
          <w:tcPr>
            <w:tcW w:type="dxa" w:w="3744"/>
          </w:tcPr>
          <w:p>
            <w:r>
              <w:t>User toggles the interface language (EN/AR) and selects a display currency.</w:t>
            </w:r>
          </w:p>
        </w:tc>
        <w:tc>
          <w:tcPr>
            <w:tcW w:type="dxa" w:w="1008"/>
          </w:tcPr>
          <w:p>
            <w:r>
              <w:t>Medium</w:t>
            </w:r>
          </w:p>
        </w:tc>
      </w:tr>
      <w:tr>
        <w:tc>
          <w:tcPr>
            <w:tcW w:type="dxa" w:w="1008"/>
          </w:tcPr>
          <w:p>
            <w:r>
              <w:t>UC-16</w:t>
            </w:r>
          </w:p>
        </w:tc>
        <w:tc>
          <w:tcPr>
            <w:tcW w:type="dxa" w:w="2304"/>
          </w:tcPr>
          <w:p>
            <w:r>
              <w:t>View Trust Scores &amp; Badges</w:t>
            </w:r>
          </w:p>
        </w:tc>
        <w:tc>
          <w:tcPr>
            <w:tcW w:type="dxa" w:w="1872"/>
          </w:tcPr>
          <w:p>
            <w:r>
              <w:t>Buyer / Brand Owner</w:t>
            </w:r>
          </w:p>
        </w:tc>
        <w:tc>
          <w:tcPr>
            <w:tcW w:type="dxa" w:w="3744"/>
          </w:tcPr>
          <w:p>
            <w:r>
              <w:t>User inspects trust metrics and earned reputation badges for brands and buyers.</w:t>
            </w:r>
          </w:p>
        </w:tc>
        <w:tc>
          <w:tcPr>
            <w:tcW w:type="dxa" w:w="1008"/>
          </w:tcPr>
          <w:p>
            <w:r>
              <w:t>Medium</w:t>
            </w:r>
          </w:p>
        </w:tc>
      </w:tr>
    </w:tbl>
    <w:p/>
    <w:p>
      <w:pPr>
        <w:pStyle w:val="Heading3"/>
      </w:pPr>
      <w:r>
        <w:t>2.7.1  Use Case Specification: UC-01 — Register Account</w:t>
      </w:r>
    </w:p>
    <w:p>
      <w:r>
        <w:rPr>
          <w:b/>
        </w:rPr>
        <w:t xml:space="preserve">Use Case ID: </w:t>
      </w:r>
      <w:r>
        <w:t>UC-01</w:t>
      </w:r>
    </w:p>
    <w:p>
      <w:r>
        <w:rPr>
          <w:b/>
        </w:rPr>
        <w:t xml:space="preserve">Use Case Name: </w:t>
      </w:r>
      <w:r>
        <w:t>Register Account</w:t>
      </w:r>
    </w:p>
    <w:p>
      <w:r>
        <w:rPr>
          <w:b/>
        </w:rPr>
        <w:t xml:space="preserve">Primary Actor: </w:t>
      </w:r>
      <w:r>
        <w:t>Buyer / Brand Owner</w:t>
      </w:r>
    </w:p>
    <w:p>
      <w:r>
        <w:rPr>
          <w:b/>
        </w:rPr>
        <w:t xml:space="preserve">Secondary Actors: </w:t>
      </w:r>
      <w:r>
        <w:t>Platform Notification Service; Admin Users (notified on completion)</w:t>
      </w:r>
    </w:p>
    <w:p>
      <w:r>
        <w:rPr>
          <w:b/>
        </w:rPr>
        <w:t xml:space="preserve">Trigger: </w:t>
      </w:r>
      <w:r>
        <w:t>Unauthenticated user navigates to /register and submits the registration form</w:t>
      </w:r>
    </w:p>
    <w:p>
      <w:r>
        <w:rPr>
          <w:b/>
        </w:rPr>
        <w:t xml:space="preserve">Pre-conditions: </w:t>
      </w:r>
      <w:r>
        <w:t>No existing account uses the provided email address. The platform is accessible.</w:t>
      </w:r>
    </w:p>
    <w:p>
      <w:r>
        <w:rPr>
          <w:b/>
        </w:rPr>
        <w:t xml:space="preserve">Main Flow: </w:t>
      </w:r>
      <w:r>
        <w:t>1. User selects a role: Buyer or Brand Owner.</w:t>
        <w:br/>
        <w:t>2. User enters full name, email address, password, and company name.</w:t>
        <w:br/>
        <w:t>3. System validates all five fields are present and non-empty (HTTP 400 if not).</w:t>
        <w:br/>
        <w:t>4. System checks that no existing user record has the provided email (HTTP 409 if duplicate).</w:t>
        <w:br/>
        <w:t>5. System creates a user record with the submitted details.</w:t>
        <w:br/>
        <w:t>6. If role = brand_owner: system creates a brand record with status='pending' and owner_id = new user's ID.</w:t>
        <w:br/>
        <w:t>7. System sets verification_status = 'approved' for buyers; 'pending' for brand owners.</w:t>
        <w:br/>
        <w:t>8. System sets two session cookies on the response (b2b_user_id httpOnly, b2b_user_role) with a 7-day maxAge.</w:t>
        <w:br/>
        <w:t>9. System dispatches admin notification: 'New User Registration'.</w:t>
        <w:br/>
        <w:t>10. If brand_owner: system dispatches second admin notification: 'New Brand Awaiting Approval'.</w:t>
      </w:r>
    </w:p>
    <w:p>
      <w:r>
        <w:rPr>
          <w:b/>
        </w:rPr>
        <w:t xml:space="preserve">Alternative Flow A: </w:t>
      </w:r>
      <w:r>
        <w:t>Step 4: Email already registered → HTTP 409 Conflict; user redirected to login page.</w:t>
      </w:r>
    </w:p>
    <w:p>
      <w:r>
        <w:rPr>
          <w:b/>
        </w:rPr>
        <w:t xml:space="preserve">Alternative Flow B: </w:t>
      </w:r>
      <w:r>
        <w:t>Step 3: Any required field empty → HTTP 400 Bad Request; form field error displayed.</w:t>
      </w:r>
    </w:p>
    <w:p>
      <w:r>
        <w:rPr>
          <w:b/>
        </w:rPr>
        <w:t xml:space="preserve">Post-conditions: </w:t>
      </w:r>
      <w:r>
        <w:t>New user record exists in the database. If brand_owner: a pending brand record also exists. At least one admin notification created. User is logged in with an active 7-day session.</w:t>
      </w:r>
    </w:p>
    <w:p>
      <w:r>
        <w:rPr>
          <w:b/>
        </w:rPr>
        <w:t xml:space="preserve">Priority: </w:t>
      </w:r>
      <w:r>
        <w:t>High</w:t>
      </w:r>
    </w:p>
    <w:p>
      <w:r>
        <w:rPr>
          <w:b/>
        </w:rPr>
        <w:t xml:space="preserve">Related Requirements: </w:t>
      </w:r>
      <w:r>
        <w:t>SR-01, SR-02, SR-03, SR-04, SR-10; UR-01</w:t>
      </w:r>
    </w:p>
    <w:p/>
    <w:p>
      <w:pPr>
        <w:pStyle w:val="Heading3"/>
      </w:pPr>
      <w:r>
        <w:t>2.7.2  Use Case Specification: UC-03 — Browse &amp; Search Brands</w:t>
      </w:r>
    </w:p>
    <w:p>
      <w:r>
        <w:rPr>
          <w:b/>
        </w:rPr>
        <w:t xml:space="preserve">Use Case ID: </w:t>
      </w:r>
      <w:r>
        <w:t>UC-03</w:t>
      </w:r>
    </w:p>
    <w:p>
      <w:r>
        <w:rPr>
          <w:b/>
        </w:rPr>
        <w:t xml:space="preserve">Use Case Name: </w:t>
      </w:r>
      <w:r>
        <w:t>Browse &amp; Search Brands</w:t>
      </w:r>
    </w:p>
    <w:p>
      <w:r>
        <w:rPr>
          <w:b/>
        </w:rPr>
        <w:t xml:space="preserve">Primary Actor: </w:t>
      </w:r>
      <w:r>
        <w:t>Buyer</w:t>
      </w:r>
    </w:p>
    <w:p>
      <w:r>
        <w:rPr>
          <w:b/>
        </w:rPr>
        <w:t xml:space="preserve">Secondary Actors: </w:t>
      </w:r>
      <w:r>
        <w:t>None</w:t>
      </w:r>
    </w:p>
    <w:p>
      <w:r>
        <w:rPr>
          <w:b/>
        </w:rPr>
        <w:t xml:space="preserve">Trigger: </w:t>
      </w:r>
      <w:r>
        <w:t>Buyer navigates to /marketplace</w:t>
      </w:r>
    </w:p>
    <w:p>
      <w:r>
        <w:rPr>
          <w:b/>
        </w:rPr>
        <w:t xml:space="preserve">Pre-conditions: </w:t>
      </w:r>
      <w:r>
        <w:t>At least one brand with status='approved' exists. Buyer is authenticated.</w:t>
      </w:r>
    </w:p>
    <w:p>
      <w:r>
        <w:rPr>
          <w:b/>
        </w:rPr>
        <w:t xml:space="preserve">Main Flow: </w:t>
      </w:r>
      <w:r>
        <w:t>1. Buyer accesses the Marketplace page via the navigation bar.</w:t>
        <w:br/>
        <w:t>2. System calls GET /api/brands and retrieves all brands with status='approved'.</w:t>
        <w:br/>
        <w:t>3. System renders brand cards, each showing brand name, logo, verification tier badge, average star rating, and minimum order quantity.</w:t>
        <w:br/>
        <w:t>4. Buyer optionally enters a keyword in the search field; system filters brands by name and description in real time.</w:t>
        <w:br/>
        <w:t>5. Buyer optionally selects one or more filters: category, verification tier, minimum rating, minimum MOQ.</w:t>
        <w:br/>
        <w:t>6. System updates the displayed brand list instantly as each filter is applied.</w:t>
        <w:br/>
        <w:t>7. Buyer clicks a brand card to navigate to that brand's full profile page (/brands/:id).</w:t>
      </w:r>
    </w:p>
    <w:p>
      <w:r>
        <w:rPr>
          <w:b/>
        </w:rPr>
        <w:t xml:space="preserve">Alternative Flow A: </w:t>
      </w:r>
      <w:r>
        <w:t>Step 2: No approved brands exist → system displays an empty-state message with a prompt.</w:t>
      </w:r>
    </w:p>
    <w:p>
      <w:r>
        <w:rPr>
          <w:b/>
        </w:rPr>
        <w:t xml:space="preserve">Alternative Flow B: </w:t>
      </w:r>
      <w:r>
        <w:t>Step 5: Applied filters yield zero matching brands → system displays 'No results found' with a 'Clear filters' affordance.</w:t>
      </w:r>
    </w:p>
    <w:p>
      <w:r>
        <w:rPr>
          <w:b/>
        </w:rPr>
        <w:t xml:space="preserve">Post-conditions: </w:t>
      </w:r>
      <w:r>
        <w:t>Buyer is viewing the filtered brand marketplace. No database state is modified.</w:t>
      </w:r>
    </w:p>
    <w:p>
      <w:r>
        <w:rPr>
          <w:b/>
        </w:rPr>
        <w:t xml:space="preserve">Priority: </w:t>
      </w:r>
      <w:r>
        <w:t>High</w:t>
      </w:r>
    </w:p>
    <w:p>
      <w:r>
        <w:rPr>
          <w:b/>
        </w:rPr>
        <w:t xml:space="preserve">Related Requirements: </w:t>
      </w:r>
      <w:r>
        <w:t>SR-01, SR-13, SR-18; UR-06, UR-07</w:t>
      </w:r>
    </w:p>
    <w:p/>
    <w:p>
      <w:pPr>
        <w:pStyle w:val="Heading3"/>
      </w:pPr>
      <w:r>
        <w:t>2.7.3  Use Case Specification: UC-07 — Verify Brand (Admin)</w:t>
      </w:r>
    </w:p>
    <w:p>
      <w:r>
        <w:rPr>
          <w:b/>
        </w:rPr>
        <w:t xml:space="preserve">Use Case ID: </w:t>
      </w:r>
      <w:r>
        <w:t>UC-07</w:t>
      </w:r>
    </w:p>
    <w:p>
      <w:r>
        <w:rPr>
          <w:b/>
        </w:rPr>
        <w:t xml:space="preserve">Use Case Name: </w:t>
      </w:r>
      <w:r>
        <w:t>Verify Brand (Admin)</w:t>
      </w:r>
    </w:p>
    <w:p>
      <w:r>
        <w:rPr>
          <w:b/>
        </w:rPr>
        <w:t xml:space="preserve">Primary Actor: </w:t>
      </w:r>
      <w:r>
        <w:t>Admin</w:t>
      </w:r>
    </w:p>
    <w:p>
      <w:r>
        <w:rPr>
          <w:b/>
        </w:rPr>
        <w:t xml:space="preserve">Secondary Actors: </w:t>
      </w:r>
      <w:r>
        <w:t>Brand Owner (notified); All active Buyers (notified on approval)</w:t>
      </w:r>
    </w:p>
    <w:p>
      <w:r>
        <w:rPr>
          <w:b/>
        </w:rPr>
        <w:t xml:space="preserve">Trigger: </w:t>
      </w:r>
      <w:r>
        <w:t>Admin navigates to the Admin Dashboard and opens the Pending Brands queue</w:t>
      </w:r>
    </w:p>
    <w:p>
      <w:r>
        <w:rPr>
          <w:b/>
        </w:rPr>
        <w:t xml:space="preserve">Pre-conditions: </w:t>
      </w:r>
      <w:r>
        <w:t>At least one brand with status='pending' exists. Admin is authenticated with the admin role.</w:t>
      </w:r>
    </w:p>
    <w:p>
      <w:r>
        <w:rPr>
          <w:b/>
        </w:rPr>
        <w:t xml:space="preserve">Main Flow: </w:t>
      </w:r>
      <w:r>
        <w:t>1. Admin navigates to Admin Dashboard → Brands → Pending queue.</w:t>
        <w:br/>
        <w:t>2. System displays all brands with status='pending', sorted by registration date.</w:t>
        <w:br/>
        <w:t>3. Admin selects a brand to review; system displays brand details and owner information.</w:t>
        <w:br/>
        <w:t>4. Admin optionally assigns a verification tier (Premium, Verified, or New) from a dropdown.</w:t>
        <w:br/>
        <w:t>5. Admin clicks 'Approve'.</w:t>
        <w:br/>
        <w:t>6. System sends PATCH /api/admin/brands/:id {status: 'approved', verification_tier?}.</w:t>
        <w:br/>
        <w:t>7. System validates admin role (HTTP 403 if not admin).</w:t>
        <w:br/>
        <w:t>8. System updates brand.status = 'approved' and brand_owner.verification_status = 'approved' atomically in the database.</w:t>
        <w:br/>
        <w:t>9. System creates an 'account_approved' notification for the brand owner.</w:t>
        <w:br/>
        <w:t>10. System creates a 'new_brand' notification for all active buyer accounts.</w:t>
        <w:br/>
        <w:t>11. Brand becomes visible on the marketplace.</w:t>
      </w:r>
    </w:p>
    <w:p>
      <w:r>
        <w:rPr>
          <w:b/>
        </w:rPr>
        <w:t xml:space="preserve">Alternative Flow A: </w:t>
      </w:r>
      <w:r>
        <w:t>Step 5: Admin clicks 'Reject' → system sends status='rejected'; updates both records; creates 'account_rejected' notification for brand owner; skips buyer notifications.</w:t>
      </w:r>
    </w:p>
    <w:p>
      <w:r>
        <w:rPr>
          <w:b/>
        </w:rPr>
        <w:t xml:space="preserve">Alternative Flow B: </w:t>
      </w:r>
      <w:r>
        <w:t>Step 7: status value not in {approved, rejected} → system returns HTTP 400 Bad Request.</w:t>
      </w:r>
    </w:p>
    <w:p>
      <w:r>
        <w:rPr>
          <w:b/>
        </w:rPr>
        <w:t xml:space="preserve">Alternative Flow C: </w:t>
      </w:r>
      <w:r>
        <w:t>Step 7: brand ID not found → system returns HTTP 404 Not Found.</w:t>
      </w:r>
    </w:p>
    <w:p>
      <w:r>
        <w:rPr>
          <w:b/>
        </w:rPr>
        <w:t xml:space="preserve">Post-conditions: </w:t>
      </w:r>
      <w:r>
        <w:t>Brand and brand owner verification statuses updated. Notifications dispatched. Approved brand visible on marketplace; rejected brand hidden.</w:t>
      </w:r>
    </w:p>
    <w:p>
      <w:r>
        <w:rPr>
          <w:b/>
        </w:rPr>
        <w:t xml:space="preserve">Priority: </w:t>
      </w:r>
      <w:r>
        <w:t>High</w:t>
      </w:r>
    </w:p>
    <w:p>
      <w:r>
        <w:rPr>
          <w:b/>
        </w:rPr>
        <w:t xml:space="preserve">Related Requirements: </w:t>
      </w:r>
      <w:r>
        <w:t>SR-01, SR-10, SR-14, SR-17, SR-18; UR-03</w:t>
      </w:r>
    </w:p>
    <w:p/>
    <w:p>
      <w:pPr>
        <w:pStyle w:val="Heading3"/>
      </w:pPr>
      <w:r>
        <w:t>2.7.4  Use Case Specification: UC-12 — Reply to Review</w:t>
      </w:r>
    </w:p>
    <w:p>
      <w:r>
        <w:rPr>
          <w:b/>
        </w:rPr>
        <w:t xml:space="preserve">Use Case ID: </w:t>
      </w:r>
      <w:r>
        <w:t>UC-12</w:t>
      </w:r>
    </w:p>
    <w:p>
      <w:r>
        <w:rPr>
          <w:b/>
        </w:rPr>
        <w:t xml:space="preserve">Use Case Name: </w:t>
      </w:r>
      <w:r>
        <w:t>Reply to Review</w:t>
      </w:r>
    </w:p>
    <w:p>
      <w:r>
        <w:rPr>
          <w:b/>
        </w:rPr>
        <w:t xml:space="preserve">Primary Actor: </w:t>
      </w:r>
      <w:r>
        <w:t>Brand Owner</w:t>
      </w:r>
    </w:p>
    <w:p>
      <w:r>
        <w:rPr>
          <w:b/>
        </w:rPr>
        <w:t xml:space="preserve">Secondary Actors: </w:t>
      </w:r>
      <w:r>
        <w:t>Original Reviewer / Buyer (notified)</w:t>
      </w:r>
    </w:p>
    <w:p>
      <w:r>
        <w:rPr>
          <w:b/>
        </w:rPr>
        <w:t xml:space="preserve">Trigger: </w:t>
      </w:r>
      <w:r>
        <w:t>Brand owner views a review on their brand profile and chooses to respond</w:t>
      </w:r>
    </w:p>
    <w:p>
      <w:r>
        <w:rPr>
          <w:b/>
        </w:rPr>
        <w:t xml:space="preserve">Pre-conditions: </w:t>
      </w:r>
      <w:r>
        <w:t>A review with status='active' exists for the brand. Brand owner is authenticated. The review does not already have a brand reply (or the owner wishes to update an existing one).</w:t>
      </w:r>
    </w:p>
    <w:p>
      <w:r>
        <w:rPr>
          <w:b/>
        </w:rPr>
        <w:t xml:space="preserve">Main Flow: </w:t>
      </w:r>
      <w:r>
        <w:t>1. Brand owner navigates to their Brand Dashboard → Reviews section.</w:t>
        <w:br/>
        <w:t>2. System displays all reviews for the brand, with rating, content, date, and reviewer identity (suppressed if anonymous).</w:t>
        <w:br/>
        <w:t>3. Brand owner locates the review to respond to and clicks 'Reply'.</w:t>
        <w:br/>
        <w:t>4. Brand owner enters reply text in the reply input field.</w:t>
        <w:br/>
        <w:t>5. Brand owner submits via PATCH /api/reviews/:id/reply {brand_reply: 'text'}.</w:t>
        <w:br/>
        <w:t>6. System validates that the review's brand_id matches the authenticated user's brand (HTTP 403 if not).</w:t>
        <w:br/>
        <w:t>7. System updates review.brand_reply with the submitted text and persists the change.</w:t>
        <w:br/>
        <w:t>8. System creates a notification for the original reviewer: 'Brand replied to your review'.</w:t>
      </w:r>
    </w:p>
    <w:p>
      <w:r>
        <w:rPr>
          <w:b/>
        </w:rPr>
        <w:t xml:space="preserve">Alternative Flow A: </w:t>
      </w:r>
      <w:r>
        <w:t>Step 6: Review does not belong to this brand owner → HTTP 403 Forbidden; no change persisted.</w:t>
      </w:r>
    </w:p>
    <w:p>
      <w:r>
        <w:rPr>
          <w:b/>
        </w:rPr>
        <w:t xml:space="preserve">Alternative Flow B: </w:t>
      </w:r>
      <w:r>
        <w:t>Step 3: Review already has a brand_reply → existing reply is overwritten with new text (most recent reply is displayed).</w:t>
      </w:r>
    </w:p>
    <w:p>
      <w:r>
        <w:rPr>
          <w:b/>
        </w:rPr>
        <w:t xml:space="preserve">Post-conditions: </w:t>
      </w:r>
      <w:r>
        <w:t>review.brand_reply updated in the database. Reviewer notification created. Reply visible on the brand's public profile page.</w:t>
      </w:r>
    </w:p>
    <w:p>
      <w:r>
        <w:rPr>
          <w:b/>
        </w:rPr>
        <w:t xml:space="preserve">Priority: </w:t>
      </w:r>
      <w:r>
        <w:t>Medium</w:t>
      </w:r>
    </w:p>
    <w:p>
      <w:r>
        <w:rPr>
          <w:b/>
        </w:rPr>
        <w:t xml:space="preserve">Related Requirements: </w:t>
      </w:r>
      <w:r>
        <w:t>SR-01, SR-10, SR-19, SR-20; UR-12</w:t>
      </w:r>
    </w:p>
    <w:p/>
    <w:p>
      <w:pPr>
        <w:pStyle w:val="Heading3"/>
      </w:pPr>
      <w:r>
        <w:t>2.7.5  Use Case Specification: UC-14 — Manage Notifications</w:t>
      </w:r>
    </w:p>
    <w:p>
      <w:r>
        <w:rPr>
          <w:b/>
        </w:rPr>
        <w:t xml:space="preserve">Use Case ID: </w:t>
      </w:r>
      <w:r>
        <w:t>UC-14</w:t>
      </w:r>
    </w:p>
    <w:p>
      <w:r>
        <w:rPr>
          <w:b/>
        </w:rPr>
        <w:t xml:space="preserve">Use Case Name: </w:t>
      </w:r>
      <w:r>
        <w:t>Manage Notifications</w:t>
      </w:r>
    </w:p>
    <w:p>
      <w:r>
        <w:rPr>
          <w:b/>
        </w:rPr>
        <w:t xml:space="preserve">Primary Actor: </w:t>
      </w:r>
      <w:r>
        <w:t>All Users (Buyer / Brand Owner / Admin)</w:t>
      </w:r>
    </w:p>
    <w:p>
      <w:r>
        <w:rPr>
          <w:b/>
        </w:rPr>
        <w:t xml:space="preserve">Secondary Actors: </w:t>
      </w:r>
      <w:r>
        <w:t>None</w:t>
      </w:r>
    </w:p>
    <w:p>
      <w:r>
        <w:rPr>
          <w:b/>
        </w:rPr>
        <w:t xml:space="preserve">Trigger: </w:t>
      </w:r>
      <w:r>
        <w:t>User clicks the notification bell icon in the top navigation bar</w:t>
      </w:r>
    </w:p>
    <w:p>
      <w:r>
        <w:rPr>
          <w:b/>
        </w:rPr>
        <w:t xml:space="preserve">Pre-conditions: </w:t>
      </w:r>
      <w:r>
        <w:t>User is authenticated. One or more notifications exist for the current user.</w:t>
      </w:r>
    </w:p>
    <w:p>
      <w:r>
        <w:rPr>
          <w:b/>
        </w:rPr>
        <w:t xml:space="preserve">Main Flow: </w:t>
      </w:r>
      <w:r>
        <w:t>1. User clicks the notification bell icon (NotificationBell.tsx).</w:t>
        <w:br/>
        <w:t>2. System calls GET /api/notifications and fetches all notifications for the current user, ordered by created_at descending.</w:t>
        <w:br/>
        <w:t>3. System renders the notification panel, displaying title, body, timestamp, and read/unread indicator for each item.</w:t>
        <w:br/>
        <w:t>4. System displays the unread count as a badge on the bell icon.</w:t>
        <w:br/>
        <w:t>5. User clicks a specific notification item.</w:t>
        <w:br/>
        <w:t>6. System sends PATCH /api/notifications/:id {read: true}.</w:t>
        <w:br/>
        <w:t>7. System updates the notification record and decrements the unread count badge.</w:t>
        <w:br/>
        <w:t>8. If the notification carries an action_url, the system navigates the user to that page.</w:t>
      </w:r>
    </w:p>
    <w:p>
      <w:r>
        <w:rPr>
          <w:b/>
        </w:rPr>
        <w:t xml:space="preserve">Alternative Flow A: </w:t>
      </w:r>
      <w:r>
        <w:t>Step 2: No notifications exist → panel displays 'No notifications yet' empty-state message.</w:t>
      </w:r>
    </w:p>
    <w:p>
      <w:r>
        <w:rPr>
          <w:b/>
        </w:rPr>
        <w:t xml:space="preserve">Alternative Flow B: </w:t>
      </w:r>
      <w:r>
        <w:t>User activates 'Mark all as read' control → system sends batch PATCH requests for all unread notifications; badge count resets to zero.</w:t>
      </w:r>
    </w:p>
    <w:p>
      <w:r>
        <w:rPr>
          <w:b/>
        </w:rPr>
        <w:t xml:space="preserve">Post-conditions: </w:t>
      </w:r>
      <w:r>
        <w:t>Selected notification(s) marked as read in the database. Unread count badge updated in UI. If action_url present: user navigated to the relevant platform page.</w:t>
      </w:r>
    </w:p>
    <w:p>
      <w:r>
        <w:rPr>
          <w:b/>
        </w:rPr>
        <w:t xml:space="preserve">Priority: </w:t>
      </w:r>
      <w:r>
        <w:t>High</w:t>
      </w:r>
    </w:p>
    <w:p>
      <w:r>
        <w:rPr>
          <w:b/>
        </w:rPr>
        <w:t xml:space="preserve">Related Requirements: </w:t>
      </w:r>
      <w:r>
        <w:t>SR-01, SR-10; F-025; UR-14</w:t>
      </w:r>
    </w:p>
    <w:p/>
    <w:p>
      <w:pPr>
        <w:pStyle w:val="Heading3"/>
      </w:pPr>
      <w:r>
        <w:t>2.7.6  Preliminary System Architecture</w:t>
      </w:r>
    </w:p>
    <w:p>
      <w:pPr/>
      <w:r>
        <w:t>The Kuwait B2B Hub is structured as a four-layer architecture that enforces a strict separation of concerns between interface rendering, API-mediated business logic, data access abstraction, and external service integration. The architecture was designed to permit independent evolution of each layer — in particular, to allow the data access layer to migrate from the JSON prototype store to Supabase PostgreSQL without any changes to the API route handlers above it.</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Layer</w:t>
            </w:r>
          </w:p>
        </w:tc>
        <w:tc>
          <w:tcPr>
            <w:tcW w:type="dxa" w:w="3168"/>
          </w:tcPr>
          <w:p>
            <w:r>
              <w:rPr>
                <w:b/>
              </w:rPr>
              <w:t>Responsibilities</w:t>
            </w:r>
          </w:p>
        </w:tc>
        <w:tc>
          <w:tcPr>
            <w:tcW w:type="dxa" w:w="2880"/>
          </w:tcPr>
          <w:p>
            <w:r>
              <w:rPr>
                <w:b/>
              </w:rPr>
              <w:t>Key Components</w:t>
            </w:r>
          </w:p>
        </w:tc>
        <w:tc>
          <w:tcPr>
            <w:tcW w:type="dxa" w:w="1584"/>
          </w:tcPr>
          <w:p>
            <w:r>
              <w:rPr>
                <w:b/>
              </w:rPr>
              <w:t>Runtime</w:t>
            </w:r>
          </w:p>
        </w:tc>
      </w:tr>
      <w:tr>
        <w:tc>
          <w:tcPr>
            <w:tcW w:type="dxa" w:w="1728"/>
          </w:tcPr>
          <w:p>
            <w:r>
              <w:t>L1 — Presentation</w:t>
            </w:r>
          </w:p>
        </w:tc>
        <w:tc>
          <w:tcPr>
            <w:tcW w:type="dxa" w:w="3168"/>
          </w:tcPr>
          <w:p>
            <w:r>
              <w:t>Renders SSR HTML pages via Next.js App Router; provides client-side interactivity via React hydration; manages notification and currency state client-side.</w:t>
            </w:r>
          </w:p>
        </w:tc>
        <w:tc>
          <w:tcPr>
            <w:tcW w:type="dxa" w:w="2880"/>
          </w:tcPr>
          <w:p>
            <w:r>
              <w:t>24 UI components (src/components/*); 15 page routes (src/app/**/*page.tsx); Zustand notificationStore; CurrencyContext</w:t>
            </w:r>
          </w:p>
        </w:tc>
        <w:tc>
          <w:tcPr>
            <w:tcW w:type="dxa" w:w="1584"/>
          </w:tcPr>
          <w:p>
            <w:r>
              <w:t>Browser + Next.js SSR (Vercel)</w:t>
            </w:r>
          </w:p>
        </w:tc>
      </w:tr>
      <w:tr>
        <w:tc>
          <w:tcPr>
            <w:tcW w:type="dxa" w:w="1728"/>
          </w:tcPr>
          <w:p>
            <w:r>
              <w:t>L2 — Application / API</w:t>
            </w:r>
          </w:p>
        </w:tc>
        <w:tc>
          <w:tcPr>
            <w:tcW w:type="dxa" w:w="3168"/>
          </w:tcPr>
          <w:p>
            <w:r>
              <w:t>Processes all business logic; enforces RBAC via getCurrentUser() guard pattern; validates inputs; orchestrates data reads/writes and notification dispatch.</w:t>
            </w:r>
          </w:p>
        </w:tc>
        <w:tc>
          <w:tcPr>
            <w:tcW w:type="dxa" w:w="2880"/>
          </w:tcPr>
          <w:p>
            <w:r>
              <w:t>25 API route handlers (src/app/api/**/*route.ts); src/lib/auth.ts; src/lib/notifications.ts; src/middleware.ts</w:t>
            </w:r>
          </w:p>
        </w:tc>
        <w:tc>
          <w:tcPr>
            <w:tcW w:type="dxa" w:w="1584"/>
          </w:tcPr>
          <w:p>
            <w:r>
              <w:t>Vercel Serverless Functions</w:t>
            </w:r>
          </w:p>
        </w:tc>
      </w:tr>
      <w:tr>
        <w:tc>
          <w:tcPr>
            <w:tcW w:type="dxa" w:w="1728"/>
          </w:tcPr>
          <w:p>
            <w:r>
              <w:t>L3 — Data Access</w:t>
            </w:r>
          </w:p>
        </w:tc>
        <w:tc>
          <w:tcPr>
            <w:tcW w:type="dxa" w:w="3168"/>
          </w:tcPr>
          <w:p>
            <w:r>
              <w:t>Abstracts all database operations behind a uniform interface; isolates API handlers from the underlying storage technology.</w:t>
            </w:r>
          </w:p>
        </w:tc>
        <w:tc>
          <w:tcPr>
            <w:tcW w:type="dxa" w:w="2880"/>
          </w:tcPr>
          <w:p>
            <w:r>
              <w:t>src/lib/db.ts: readDB(), writeDB(), generateId(); src/data/db.json (MVP) → Supabase PostgreSQL (production)</w:t>
            </w:r>
          </w:p>
        </w:tc>
        <w:tc>
          <w:tcPr>
            <w:tcW w:type="dxa" w:w="1584"/>
          </w:tcPr>
          <w:p>
            <w:r>
              <w:t>Node.js file I/O (MVP) / Supabase SDK (production)</w:t>
            </w:r>
          </w:p>
        </w:tc>
      </w:tr>
      <w:tr>
        <w:tc>
          <w:tcPr>
            <w:tcW w:type="dxa" w:w="1728"/>
          </w:tcPr>
          <w:p>
            <w:r>
              <w:t>L4 — External Services</w:t>
            </w:r>
          </w:p>
        </w:tc>
        <w:tc>
          <w:tcPr>
            <w:tcW w:type="dxa" w:w="3168"/>
          </w:tcPr>
          <w:p>
            <w:r>
              <w:t>Provides authentication (Supabase Auth), hosting and CDN (Vercel), buyer-to-brand communication (WhatsApp), and live currency rates (Exchange Rate API).</w:t>
            </w:r>
          </w:p>
        </w:tc>
        <w:tc>
          <w:tcPr>
            <w:tcW w:type="dxa" w:w="2880"/>
          </w:tcPr>
          <w:p>
            <w:r>
              <w:t>src/utils/supabase/server.ts; src/lib/currencies.ts; Vercel edge network; WhatsApp Business deep-links</w:t>
            </w:r>
          </w:p>
        </w:tc>
        <w:tc>
          <w:tcPr>
            <w:tcW w:type="dxa" w:w="1584"/>
          </w:tcPr>
          <w:p>
            <w:r>
              <w:t>Supabase Cloud, Vercel Edge, WhatsApp, External REST API</w:t>
            </w:r>
          </w:p>
        </w:tc>
      </w:tr>
    </w:tbl>
    <w:p/>
    <w:p>
      <w:pPr>
        <w:pStyle w:val="Heading2"/>
      </w:pPr>
      <w:r>
        <w:t>2.8  Requirements Traceability Matrix (RTM)</w:t>
      </w:r>
    </w:p>
    <w:p>
      <w:pPr/>
      <w:r>
        <w:t>The following RTM maps each of the 20 system requirements to its originating source, the design artefact that realises it, the primary implementation file(s), the current implementation status, an associated test case identifier, and the test result. This matrix provides full traceability from requirement statement to delivery evidence.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864"/>
          </w:tcPr>
          <w:p>
            <w:r>
              <w:rPr>
                <w:b/>
              </w:rPr>
              <w:t>Req ID</w:t>
            </w:r>
          </w:p>
        </w:tc>
        <w:tc>
          <w:tcPr>
            <w:tcW w:type="dxa" w:w="2160"/>
          </w:tcPr>
          <w:p>
            <w:r>
              <w:rPr>
                <w:b/>
              </w:rPr>
              <w:t>Requirement Summary</w:t>
            </w:r>
          </w:p>
        </w:tc>
        <w:tc>
          <w:tcPr>
            <w:tcW w:type="dxa" w:w="1008"/>
          </w:tcPr>
          <w:p>
            <w:r>
              <w:rPr>
                <w:b/>
              </w:rPr>
              <w:t>Priority</w:t>
            </w:r>
          </w:p>
        </w:tc>
        <w:tc>
          <w:tcPr>
            <w:tcW w:type="dxa" w:w="1152"/>
          </w:tcPr>
          <w:p>
            <w:r>
              <w:rPr>
                <w:b/>
              </w:rPr>
              <w:t>Source</w:t>
            </w:r>
          </w:p>
        </w:tc>
        <w:tc>
          <w:tcPr>
            <w:tcW w:type="dxa" w:w="1728"/>
          </w:tcPr>
          <w:p>
            <w:r>
              <w:rPr>
                <w:b/>
              </w:rPr>
              <w:t>Design Artefact</w:t>
            </w:r>
          </w:p>
        </w:tc>
        <w:tc>
          <w:tcPr>
            <w:tcW w:type="dxa" w:w="2160"/>
          </w:tcPr>
          <w:p>
            <w:r>
              <w:rPr>
                <w:b/>
              </w:rPr>
              <w:t>Implementation File</w:t>
            </w:r>
          </w:p>
        </w:tc>
        <w:tc>
          <w:tcPr>
            <w:tcW w:type="dxa" w:w="1152"/>
          </w:tcPr>
          <w:p>
            <w:r>
              <w:rPr>
                <w:b/>
              </w:rPr>
              <w:t>Status</w:t>
            </w:r>
          </w:p>
        </w:tc>
        <w:tc>
          <w:tcPr>
            <w:tcW w:type="dxa" w:w="720"/>
          </w:tcPr>
          <w:p>
            <w:r>
              <w:rPr>
                <w:b/>
              </w:rPr>
              <w:t>TC ID</w:t>
            </w:r>
          </w:p>
        </w:tc>
        <w:tc>
          <w:tcPr>
            <w:tcW w:type="dxa" w:w="1296"/>
          </w:tcPr>
          <w:p>
            <w:r>
              <w:rPr>
                <w:b/>
              </w:rPr>
              <w:t>Test Result</w:t>
            </w:r>
          </w:p>
        </w:tc>
      </w:tr>
      <w:tr>
        <w:tc>
          <w:tcPr>
            <w:tcW w:type="dxa" w:w="864"/>
          </w:tcPr>
          <w:p>
            <w:r>
              <w:t>SR-01</w:t>
            </w:r>
          </w:p>
        </w:tc>
        <w:tc>
          <w:tcPr>
            <w:tcW w:type="dxa" w:w="2160"/>
          </w:tcPr>
          <w:p>
            <w:r>
              <w:t>RBAC on all routes/endpoints</w:t>
            </w:r>
          </w:p>
        </w:tc>
        <w:tc>
          <w:tcPr>
            <w:tcW w:type="dxa" w:w="1008"/>
          </w:tcPr>
          <w:p>
            <w:r>
              <w:t>High</w:t>
            </w:r>
          </w:p>
        </w:tc>
        <w:tc>
          <w:tcPr>
            <w:tcW w:type="dxa" w:w="1152"/>
          </w:tcPr>
          <w:p>
            <w:r>
              <w:t>UC-01–16</w:t>
            </w:r>
          </w:p>
        </w:tc>
        <w:tc>
          <w:tcPr>
            <w:tcW w:type="dxa" w:w="1728"/>
          </w:tcPr>
          <w:p>
            <w:r>
              <w:t>RBAC guard pattern</w:t>
            </w:r>
          </w:p>
        </w:tc>
        <w:tc>
          <w:tcPr>
            <w:tcW w:type="dxa" w:w="2160"/>
          </w:tcPr>
          <w:p>
            <w:r>
              <w:t>src/middleware.ts; all route.ts files</w:t>
            </w:r>
          </w:p>
        </w:tc>
        <w:tc>
          <w:tcPr>
            <w:tcW w:type="dxa" w:w="1152"/>
          </w:tcPr>
          <w:p>
            <w:r>
              <w:t>Complete</w:t>
            </w:r>
          </w:p>
        </w:tc>
        <w:tc>
          <w:tcPr>
            <w:tcW w:type="dxa" w:w="720"/>
          </w:tcPr>
          <w:p>
            <w:r>
              <w:t>TC-01</w:t>
            </w:r>
          </w:p>
        </w:tc>
        <w:tc>
          <w:tcPr>
            <w:tcW w:type="dxa" w:w="1296"/>
          </w:tcPr>
          <w:p>
            <w:r>
              <w:t>Pass</w:t>
            </w:r>
          </w:p>
        </w:tc>
      </w:tr>
      <w:tr>
        <w:tc>
          <w:tcPr>
            <w:tcW w:type="dxa" w:w="864"/>
          </w:tcPr>
          <w:p>
            <w:r>
              <w:t>SR-02</w:t>
            </w:r>
          </w:p>
        </w:tc>
        <w:tc>
          <w:tcPr>
            <w:tcW w:type="dxa" w:w="2160"/>
          </w:tcPr>
          <w:p>
            <w:r>
              <w:t>HTTP-only session cookies</w:t>
            </w:r>
          </w:p>
        </w:tc>
        <w:tc>
          <w:tcPr>
            <w:tcW w:type="dxa" w:w="1008"/>
          </w:tcPr>
          <w:p>
            <w:r>
              <w:t>High</w:t>
            </w:r>
          </w:p>
        </w:tc>
        <w:tc>
          <w:tcPr>
            <w:tcW w:type="dxa" w:w="1152"/>
          </w:tcPr>
          <w:p>
            <w:r>
              <w:t>UC-01, UC-02</w:t>
            </w:r>
          </w:p>
        </w:tc>
        <w:tc>
          <w:tcPr>
            <w:tcW w:type="dxa" w:w="1728"/>
          </w:tcPr>
          <w:p>
            <w:r>
              <w:t>Cookie spec (httpOnly, Lax)</w:t>
            </w:r>
          </w:p>
        </w:tc>
        <w:tc>
          <w:tcPr>
            <w:tcW w:type="dxa" w:w="2160"/>
          </w:tcPr>
          <w:p>
            <w:r>
              <w:t>api/auth/login/route.ts; register/route.ts</w:t>
            </w:r>
          </w:p>
        </w:tc>
        <w:tc>
          <w:tcPr>
            <w:tcW w:type="dxa" w:w="1152"/>
          </w:tcPr>
          <w:p>
            <w:r>
              <w:t>Complete</w:t>
            </w:r>
          </w:p>
        </w:tc>
        <w:tc>
          <w:tcPr>
            <w:tcW w:type="dxa" w:w="720"/>
          </w:tcPr>
          <w:p>
            <w:r>
              <w:t>TC-02</w:t>
            </w:r>
          </w:p>
        </w:tc>
        <w:tc>
          <w:tcPr>
            <w:tcW w:type="dxa" w:w="1296"/>
          </w:tcPr>
          <w:p>
            <w:r>
              <w:t>Pass</w:t>
            </w:r>
          </w:p>
        </w:tc>
      </w:tr>
      <w:tr>
        <w:tc>
          <w:tcPr>
            <w:tcW w:type="dxa" w:w="864"/>
          </w:tcPr>
          <w:p>
            <w:r>
              <w:t>SR-03</w:t>
            </w:r>
          </w:p>
        </w:tc>
        <w:tc>
          <w:tcPr>
            <w:tcW w:type="dxa" w:w="2160"/>
          </w:tcPr>
          <w:p>
            <w:r>
              <w:t>Password hashing (bcrypt/argon2)</w:t>
            </w:r>
          </w:p>
        </w:tc>
        <w:tc>
          <w:tcPr>
            <w:tcW w:type="dxa" w:w="1008"/>
          </w:tcPr>
          <w:p>
            <w:r>
              <w:t>Critical</w:t>
            </w:r>
          </w:p>
        </w:tc>
        <w:tc>
          <w:tcPr>
            <w:tcW w:type="dxa" w:w="1152"/>
          </w:tcPr>
          <w:p>
            <w:r>
              <w:t>UC-01, UC-02</w:t>
            </w:r>
          </w:p>
        </w:tc>
        <w:tc>
          <w:tcPr>
            <w:tcW w:type="dxa" w:w="1728"/>
          </w:tcPr>
          <w:p>
            <w:r>
              <w:t>Auth architecture</w:t>
            </w:r>
          </w:p>
        </w:tc>
        <w:tc>
          <w:tcPr>
            <w:tcW w:type="dxa" w:w="2160"/>
          </w:tcPr>
          <w:p>
            <w:r>
              <w:t>api/auth/register/route.ts</w:t>
            </w:r>
          </w:p>
        </w:tc>
        <w:tc>
          <w:tcPr>
            <w:tcW w:type="dxa" w:w="1152"/>
          </w:tcPr>
          <w:p>
            <w:r>
              <w:t>Partial</w:t>
            </w:r>
          </w:p>
        </w:tc>
        <w:tc>
          <w:tcPr>
            <w:tcW w:type="dxa" w:w="720"/>
          </w:tcPr>
          <w:p>
            <w:r>
              <w:t>TC-03</w:t>
            </w:r>
          </w:p>
        </w:tc>
        <w:tc>
          <w:tcPr>
            <w:tcW w:type="dxa" w:w="1296"/>
          </w:tcPr>
          <w:p>
            <w:r>
              <w:t>Blocked</w:t>
            </w:r>
          </w:p>
        </w:tc>
      </w:tr>
      <w:tr>
        <w:tc>
          <w:tcPr>
            <w:tcW w:type="dxa" w:w="864"/>
          </w:tcPr>
          <w:p>
            <w:r>
              <w:t>SR-04</w:t>
            </w:r>
          </w:p>
        </w:tc>
        <w:tc>
          <w:tcPr>
            <w:tcW w:type="dxa" w:w="2160"/>
          </w:tcPr>
          <w:p>
            <w:r>
              <w:t>Unique ID generation</w:t>
            </w:r>
          </w:p>
        </w:tc>
        <w:tc>
          <w:tcPr>
            <w:tcW w:type="dxa" w:w="1008"/>
          </w:tcPr>
          <w:p>
            <w:r>
              <w:t>High</w:t>
            </w:r>
          </w:p>
        </w:tc>
        <w:tc>
          <w:tcPr>
            <w:tcW w:type="dxa" w:w="1152"/>
          </w:tcPr>
          <w:p>
            <w:r>
              <w:t>UC-01–16</w:t>
            </w:r>
          </w:p>
        </w:tc>
        <w:tc>
          <w:tcPr>
            <w:tcW w:type="dxa" w:w="1728"/>
          </w:tcPr>
          <w:p>
            <w:r>
              <w:t>generateId() utility</w:t>
            </w:r>
          </w:p>
        </w:tc>
        <w:tc>
          <w:tcPr>
            <w:tcW w:type="dxa" w:w="2160"/>
          </w:tcPr>
          <w:p>
            <w:r>
              <w:t>src/lib/db.ts</w:t>
            </w:r>
          </w:p>
        </w:tc>
        <w:tc>
          <w:tcPr>
            <w:tcW w:type="dxa" w:w="1152"/>
          </w:tcPr>
          <w:p>
            <w:r>
              <w:t>Complete</w:t>
            </w:r>
          </w:p>
        </w:tc>
        <w:tc>
          <w:tcPr>
            <w:tcW w:type="dxa" w:w="720"/>
          </w:tcPr>
          <w:p>
            <w:r>
              <w:t>TC-04</w:t>
            </w:r>
          </w:p>
        </w:tc>
        <w:tc>
          <w:tcPr>
            <w:tcW w:type="dxa" w:w="1296"/>
          </w:tcPr>
          <w:p>
            <w:r>
              <w:t>Pass</w:t>
            </w:r>
          </w:p>
        </w:tc>
      </w:tr>
      <w:tr>
        <w:tc>
          <w:tcPr>
            <w:tcW w:type="dxa" w:w="864"/>
          </w:tcPr>
          <w:p>
            <w:r>
              <w:t>SR-05</w:t>
            </w:r>
          </w:p>
        </w:tc>
        <w:tc>
          <w:tcPr>
            <w:tcW w:type="dxa" w:w="2160"/>
          </w:tcPr>
          <w:p>
            <w:r>
              <w:t>MOQ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TC-05</w:t>
            </w:r>
          </w:p>
        </w:tc>
        <w:tc>
          <w:tcPr>
            <w:tcW w:type="dxa" w:w="1296"/>
          </w:tcPr>
          <w:p>
            <w:r>
              <w:t>Pass</w:t>
            </w:r>
          </w:p>
        </w:tc>
      </w:tr>
      <w:tr>
        <w:tc>
          <w:tcPr>
            <w:tcW w:type="dxa" w:w="864"/>
          </w:tcPr>
          <w:p>
            <w:r>
              <w:t>SR-06</w:t>
            </w:r>
          </w:p>
        </w:tc>
        <w:tc>
          <w:tcPr>
            <w:tcW w:type="dxa" w:w="2160"/>
          </w:tcPr>
          <w:p>
            <w:r>
              <w:t>Stock validation on order submit</w:t>
            </w:r>
          </w:p>
        </w:tc>
        <w:tc>
          <w:tcPr>
            <w:tcW w:type="dxa" w:w="1008"/>
          </w:tcPr>
          <w:p>
            <w:r>
              <w:t>High</w:t>
            </w:r>
          </w:p>
        </w:tc>
        <w:tc>
          <w:tcPr>
            <w:tcW w:type="dxa" w:w="1152"/>
          </w:tcPr>
          <w:p>
            <w:r>
              <w:t>UC-05</w:t>
            </w:r>
          </w:p>
        </w:tc>
        <w:tc>
          <w:tcPr>
            <w:tcW w:type="dxa" w:w="1728"/>
          </w:tcPr>
          <w:p>
            <w:r>
              <w:t>Order submission flow</w:t>
            </w:r>
          </w:p>
        </w:tc>
        <w:tc>
          <w:tcPr>
            <w:tcW w:type="dxa" w:w="2160"/>
          </w:tcPr>
          <w:p>
            <w:r>
              <w:t>api/orders/route.ts (POST)</w:t>
            </w:r>
          </w:p>
        </w:tc>
        <w:tc>
          <w:tcPr>
            <w:tcW w:type="dxa" w:w="1152"/>
          </w:tcPr>
          <w:p>
            <w:r>
              <w:t>Complete</w:t>
            </w:r>
          </w:p>
        </w:tc>
        <w:tc>
          <w:tcPr>
            <w:tcW w:type="dxa" w:w="720"/>
          </w:tcPr>
          <w:p>
            <w:r>
              <w:t>TC-06</w:t>
            </w:r>
          </w:p>
        </w:tc>
        <w:tc>
          <w:tcPr>
            <w:tcW w:type="dxa" w:w="1296"/>
          </w:tcPr>
          <w:p>
            <w:r>
              <w:t>Pass</w:t>
            </w:r>
          </w:p>
        </w:tc>
      </w:tr>
      <w:tr>
        <w:tc>
          <w:tcPr>
            <w:tcW w:type="dxa" w:w="864"/>
          </w:tcPr>
          <w:p>
            <w:r>
              <w:t>SR-07</w:t>
            </w:r>
          </w:p>
        </w:tc>
        <w:tc>
          <w:tcPr>
            <w:tcW w:type="dxa" w:w="2160"/>
          </w:tcPr>
          <w:p>
            <w:r>
              <w:t>Bulk pricing tier resolution</w:t>
            </w:r>
          </w:p>
        </w:tc>
        <w:tc>
          <w:tcPr>
            <w:tcW w:type="dxa" w:w="1008"/>
          </w:tcPr>
          <w:p>
            <w:r>
              <w:t>High</w:t>
            </w:r>
          </w:p>
        </w:tc>
        <w:tc>
          <w:tcPr>
            <w:tcW w:type="dxa" w:w="1152"/>
          </w:tcPr>
          <w:p>
            <w:r>
              <w:t>UC-05</w:t>
            </w:r>
          </w:p>
        </w:tc>
        <w:tc>
          <w:tcPr>
            <w:tcW w:type="dxa" w:w="1728"/>
          </w:tcPr>
          <w:p>
            <w:r>
              <w:t>Pricing engine</w:t>
            </w:r>
          </w:p>
        </w:tc>
        <w:tc>
          <w:tcPr>
            <w:tcW w:type="dxa" w:w="2160"/>
          </w:tcPr>
          <w:p>
            <w:r>
              <w:t>api/orders/route.ts (POST)</w:t>
            </w:r>
          </w:p>
        </w:tc>
        <w:tc>
          <w:tcPr>
            <w:tcW w:type="dxa" w:w="1152"/>
          </w:tcPr>
          <w:p>
            <w:r>
              <w:t>Complete</w:t>
            </w:r>
          </w:p>
        </w:tc>
        <w:tc>
          <w:tcPr>
            <w:tcW w:type="dxa" w:w="720"/>
          </w:tcPr>
          <w:p>
            <w:r>
              <w:t>TC-07</w:t>
            </w:r>
          </w:p>
        </w:tc>
        <w:tc>
          <w:tcPr>
            <w:tcW w:type="dxa" w:w="1296"/>
          </w:tcPr>
          <w:p>
            <w:r>
              <w:t>Pass</w:t>
            </w:r>
          </w:p>
        </w:tc>
      </w:tr>
      <w:tr>
        <w:tc>
          <w:tcPr>
            <w:tcW w:type="dxa" w:w="864"/>
          </w:tcPr>
          <w:p>
            <w:r>
              <w:t>SR-08</w:t>
            </w:r>
          </w:p>
        </w:tc>
        <w:tc>
          <w:tcPr>
            <w:tcW w:type="dxa" w:w="2160"/>
          </w:tcPr>
          <w:p>
            <w:r>
              <w:t>Brand Trust Score computation</w:t>
            </w:r>
          </w:p>
        </w:tc>
        <w:tc>
          <w:tcPr>
            <w:tcW w:type="dxa" w:w="1008"/>
          </w:tcPr>
          <w:p>
            <w:r>
              <w:t>Medium</w:t>
            </w:r>
          </w:p>
        </w:tc>
        <w:tc>
          <w:tcPr>
            <w:tcW w:type="dxa" w:w="1152"/>
          </w:tcPr>
          <w:p>
            <w:r>
              <w:t>UC-16</w:t>
            </w:r>
          </w:p>
        </w:tc>
        <w:tc>
          <w:tcPr>
            <w:tcW w:type="dxa" w:w="1728"/>
          </w:tcPr>
          <w:p>
            <w:r>
              <w:t>BrandTrust schema</w:t>
            </w:r>
          </w:p>
        </w:tc>
        <w:tc>
          <w:tcPr>
            <w:tcW w:type="dxa" w:w="2160"/>
          </w:tcPr>
          <w:p>
            <w:r>
              <w:t>api/trust/[id]/route.ts</w:t>
            </w:r>
          </w:p>
        </w:tc>
        <w:tc>
          <w:tcPr>
            <w:tcW w:type="dxa" w:w="1152"/>
          </w:tcPr>
          <w:p>
            <w:r>
              <w:t>Partial (70%)</w:t>
            </w:r>
          </w:p>
        </w:tc>
        <w:tc>
          <w:tcPr>
            <w:tcW w:type="dxa" w:w="720"/>
          </w:tcPr>
          <w:p>
            <w:r>
              <w:t>TC-08</w:t>
            </w:r>
          </w:p>
        </w:tc>
        <w:tc>
          <w:tcPr>
            <w:tcW w:type="dxa" w:w="1296"/>
          </w:tcPr>
          <w:p>
            <w:r>
              <w:t>Manual</w:t>
            </w:r>
          </w:p>
        </w:tc>
      </w:tr>
      <w:tr>
        <w:tc>
          <w:tcPr>
            <w:tcW w:type="dxa" w:w="864"/>
          </w:tcPr>
          <w:p>
            <w:r>
              <w:t>SR-09</w:t>
            </w:r>
          </w:p>
        </w:tc>
        <w:tc>
          <w:tcPr>
            <w:tcW w:type="dxa" w:w="2160"/>
          </w:tcPr>
          <w:p>
            <w:r>
              <w:t>Buyer Trust Score computation</w:t>
            </w:r>
          </w:p>
        </w:tc>
        <w:tc>
          <w:tcPr>
            <w:tcW w:type="dxa" w:w="1008"/>
          </w:tcPr>
          <w:p>
            <w:r>
              <w:t>Medium</w:t>
            </w:r>
          </w:p>
        </w:tc>
        <w:tc>
          <w:tcPr>
            <w:tcW w:type="dxa" w:w="1152"/>
          </w:tcPr>
          <w:p>
            <w:r>
              <w:t>UC-16</w:t>
            </w:r>
          </w:p>
        </w:tc>
        <w:tc>
          <w:tcPr>
            <w:tcW w:type="dxa" w:w="1728"/>
          </w:tcPr>
          <w:p>
            <w:r>
              <w:t>BuyerTrust schema</w:t>
            </w:r>
          </w:p>
        </w:tc>
        <w:tc>
          <w:tcPr>
            <w:tcW w:type="dxa" w:w="2160"/>
          </w:tcPr>
          <w:p>
            <w:r>
              <w:t>api/trust/[id]/route.ts</w:t>
            </w:r>
          </w:p>
        </w:tc>
        <w:tc>
          <w:tcPr>
            <w:tcW w:type="dxa" w:w="1152"/>
          </w:tcPr>
          <w:p>
            <w:r>
              <w:t>Partial (70%)</w:t>
            </w:r>
          </w:p>
        </w:tc>
        <w:tc>
          <w:tcPr>
            <w:tcW w:type="dxa" w:w="720"/>
          </w:tcPr>
          <w:p>
            <w:r>
              <w:t>TC-09</w:t>
            </w:r>
          </w:p>
        </w:tc>
        <w:tc>
          <w:tcPr>
            <w:tcW w:type="dxa" w:w="1296"/>
          </w:tcPr>
          <w:p>
            <w:r>
              <w:t>Manual</w:t>
            </w:r>
          </w:p>
        </w:tc>
      </w:tr>
      <w:tr>
        <w:tc>
          <w:tcPr>
            <w:tcW w:type="dxa" w:w="864"/>
          </w:tcPr>
          <w:p>
            <w:r>
              <w:t>SR-10</w:t>
            </w:r>
          </w:p>
        </w:tc>
        <w:tc>
          <w:tcPr>
            <w:tcW w:type="dxa" w:w="2160"/>
          </w:tcPr>
          <w:p>
            <w:r>
              <w:t>In-app notifications for all events</w:t>
            </w:r>
          </w:p>
        </w:tc>
        <w:tc>
          <w:tcPr>
            <w:tcW w:type="dxa" w:w="1008"/>
          </w:tcPr>
          <w:p>
            <w:r>
              <w:t>High</w:t>
            </w:r>
          </w:p>
        </w:tc>
        <w:tc>
          <w:tcPr>
            <w:tcW w:type="dxa" w:w="1152"/>
          </w:tcPr>
          <w:p>
            <w:r>
              <w:t>UC-14</w:t>
            </w:r>
          </w:p>
        </w:tc>
        <w:tc>
          <w:tcPr>
            <w:tcW w:type="dxa" w:w="1728"/>
          </w:tcPr>
          <w:p>
            <w:r>
              <w:t>Notification service</w:t>
            </w:r>
          </w:p>
        </w:tc>
        <w:tc>
          <w:tcPr>
            <w:tcW w:type="dxa" w:w="2160"/>
          </w:tcPr>
          <w:p>
            <w:r>
              <w:t>src/lib/notifications.ts</w:t>
            </w:r>
          </w:p>
        </w:tc>
        <w:tc>
          <w:tcPr>
            <w:tcW w:type="dxa" w:w="1152"/>
          </w:tcPr>
          <w:p>
            <w:r>
              <w:t>Complete</w:t>
            </w:r>
          </w:p>
        </w:tc>
        <w:tc>
          <w:tcPr>
            <w:tcW w:type="dxa" w:w="720"/>
          </w:tcPr>
          <w:p>
            <w:r>
              <w:t>TC-10</w:t>
            </w:r>
          </w:p>
        </w:tc>
        <w:tc>
          <w:tcPr>
            <w:tcW w:type="dxa" w:w="1296"/>
          </w:tcPr>
          <w:p>
            <w:r>
              <w:t>Pass</w:t>
            </w:r>
          </w:p>
        </w:tc>
      </w:tr>
      <w:tr>
        <w:tc>
          <w:tcPr>
            <w:tcW w:type="dxa" w:w="864"/>
          </w:tcPr>
          <w:p>
            <w:r>
              <w:t>SR-11</w:t>
            </w:r>
          </w:p>
        </w:tc>
        <w:tc>
          <w:tcPr>
            <w:tcW w:type="dxa" w:w="2160"/>
          </w:tcPr>
          <w:p>
            <w:r>
              <w:t>WhatsApp click tracking</w:t>
            </w:r>
          </w:p>
        </w:tc>
        <w:tc>
          <w:tcPr>
            <w:tcW w:type="dxa" w:w="1008"/>
          </w:tcPr>
          <w:p>
            <w:r>
              <w:t>Low</w:t>
            </w:r>
          </w:p>
        </w:tc>
        <w:tc>
          <w:tcPr>
            <w:tcW w:type="dxa" w:w="1152"/>
          </w:tcPr>
          <w:p>
            <w:r>
              <w:t>UC-15</w:t>
            </w:r>
          </w:p>
        </w:tc>
        <w:tc>
          <w:tcPr>
            <w:tcW w:type="dxa" w:w="1728"/>
          </w:tcPr>
          <w:p>
            <w:r>
              <w:t>Click counter endpoint</w:t>
            </w:r>
          </w:p>
        </w:tc>
        <w:tc>
          <w:tcPr>
            <w:tcW w:type="dxa" w:w="2160"/>
          </w:tcPr>
          <w:p>
            <w:r>
              <w:t>api/brands/whatsapp-click/route.ts</w:t>
            </w:r>
          </w:p>
        </w:tc>
        <w:tc>
          <w:tcPr>
            <w:tcW w:type="dxa" w:w="1152"/>
          </w:tcPr>
          <w:p>
            <w:r>
              <w:t>Complete</w:t>
            </w:r>
          </w:p>
        </w:tc>
        <w:tc>
          <w:tcPr>
            <w:tcW w:type="dxa" w:w="720"/>
          </w:tcPr>
          <w:p>
            <w:r>
              <w:t>TC-11</w:t>
            </w:r>
          </w:p>
        </w:tc>
        <w:tc>
          <w:tcPr>
            <w:tcW w:type="dxa" w:w="1296"/>
          </w:tcPr>
          <w:p>
            <w:r>
              <w:t>Pass</w:t>
            </w:r>
          </w:p>
        </w:tc>
      </w:tr>
      <w:tr>
        <w:tc>
          <w:tcPr>
            <w:tcW w:type="dxa" w:w="864"/>
          </w:tcPr>
          <w:p>
            <w:r>
              <w:t>SR-12</w:t>
            </w:r>
          </w:p>
        </w:tc>
        <w:tc>
          <w:tcPr>
            <w:tcW w:type="dxa" w:w="2160"/>
          </w:tcPr>
          <w:p>
            <w:r>
              <w:t>Arabic RTL localisation</w:t>
            </w:r>
          </w:p>
        </w:tc>
        <w:tc>
          <w:tcPr>
            <w:tcW w:type="dxa" w:w="1008"/>
          </w:tcPr>
          <w:p>
            <w:r>
              <w:t>High</w:t>
            </w:r>
          </w:p>
        </w:tc>
        <w:tc>
          <w:tcPr>
            <w:tcW w:type="dxa" w:w="1152"/>
          </w:tcPr>
          <w:p>
            <w:r>
              <w:t>UC-15</w:t>
            </w:r>
          </w:p>
        </w:tc>
        <w:tc>
          <w:tcPr>
            <w:tcW w:type="dxa" w:w="1728"/>
          </w:tcPr>
          <w:p>
            <w:r>
              <w:t>next-intl i18n config</w:t>
            </w:r>
          </w:p>
        </w:tc>
        <w:tc>
          <w:tcPr>
            <w:tcW w:type="dxa" w:w="2160"/>
          </w:tcPr>
          <w:p>
            <w:r>
              <w:t>src/i18n/request.ts; messages/ar.json</w:t>
            </w:r>
          </w:p>
        </w:tc>
        <w:tc>
          <w:tcPr>
            <w:tcW w:type="dxa" w:w="1152"/>
          </w:tcPr>
          <w:p>
            <w:r>
              <w:t>Partial (80%)</w:t>
            </w:r>
          </w:p>
        </w:tc>
        <w:tc>
          <w:tcPr>
            <w:tcW w:type="dxa" w:w="720"/>
          </w:tcPr>
          <w:p>
            <w:r>
              <w:t>TC-12</w:t>
            </w:r>
          </w:p>
        </w:tc>
        <w:tc>
          <w:tcPr>
            <w:tcW w:type="dxa" w:w="1296"/>
          </w:tcPr>
          <w:p>
            <w:r>
              <w:t>Partial</w:t>
            </w:r>
          </w:p>
        </w:tc>
      </w:tr>
      <w:tr>
        <w:tc>
          <w:tcPr>
            <w:tcW w:type="dxa" w:w="864"/>
          </w:tcPr>
          <w:p>
            <w:r>
              <w:t>SR-13</w:t>
            </w:r>
          </w:p>
        </w:tc>
        <w:tc>
          <w:tcPr>
            <w:tcW w:type="dxa" w:w="2160"/>
          </w:tcPr>
          <w:p>
            <w:r>
              <w:t>Multi-currency price display</w:t>
            </w:r>
          </w:p>
        </w:tc>
        <w:tc>
          <w:tcPr>
            <w:tcW w:type="dxa" w:w="1008"/>
          </w:tcPr>
          <w:p>
            <w:r>
              <w:t>Medium</w:t>
            </w:r>
          </w:p>
        </w:tc>
        <w:tc>
          <w:tcPr>
            <w:tcW w:type="dxa" w:w="1152"/>
          </w:tcPr>
          <w:p>
            <w:r>
              <w:t>UC-15</w:t>
            </w:r>
          </w:p>
        </w:tc>
        <w:tc>
          <w:tcPr>
            <w:tcW w:type="dxa" w:w="1728"/>
          </w:tcPr>
          <w:p>
            <w:r>
              <w:t>CurrencyContext + registry</w:t>
            </w:r>
          </w:p>
        </w:tc>
        <w:tc>
          <w:tcPr>
            <w:tcW w:type="dxa" w:w="2160"/>
          </w:tcPr>
          <w:p>
            <w:r>
              <w:t>src/lib/currencies.ts; CurrencyContext.tsx</w:t>
            </w:r>
          </w:p>
        </w:tc>
        <w:tc>
          <w:tcPr>
            <w:tcW w:type="dxa" w:w="1152"/>
          </w:tcPr>
          <w:p>
            <w:r>
              <w:t>Complete</w:t>
            </w:r>
          </w:p>
        </w:tc>
        <w:tc>
          <w:tcPr>
            <w:tcW w:type="dxa" w:w="720"/>
          </w:tcPr>
          <w:p>
            <w:r>
              <w:t>TC-13</w:t>
            </w:r>
          </w:p>
        </w:tc>
        <w:tc>
          <w:tcPr>
            <w:tcW w:type="dxa" w:w="1296"/>
          </w:tcPr>
          <w:p>
            <w:r>
              <w:t>Pass</w:t>
            </w:r>
          </w:p>
        </w:tc>
      </w:tr>
      <w:tr>
        <w:tc>
          <w:tcPr>
            <w:tcW w:type="dxa" w:w="864"/>
          </w:tcPr>
          <w:p>
            <w:r>
              <w:t>SR-14</w:t>
            </w:r>
          </w:p>
        </w:tc>
        <w:tc>
          <w:tcPr>
            <w:tcW w:type="dxa" w:w="2160"/>
          </w:tcPr>
          <w:p>
            <w:r>
              <w:t>Admin-only brand verification</w:t>
            </w:r>
          </w:p>
        </w:tc>
        <w:tc>
          <w:tcPr>
            <w:tcW w:type="dxa" w:w="1008"/>
          </w:tcPr>
          <w:p>
            <w:r>
              <w:t>High</w:t>
            </w:r>
          </w:p>
        </w:tc>
        <w:tc>
          <w:tcPr>
            <w:tcW w:type="dxa" w:w="1152"/>
          </w:tcPr>
          <w:p>
            <w:r>
              <w:t>UC-07</w:t>
            </w:r>
          </w:p>
        </w:tc>
        <w:tc>
          <w:tcPr>
            <w:tcW w:type="dxa" w:w="1728"/>
          </w:tcPr>
          <w:p>
            <w:r>
              <w:t>Admin RBAC guard</w:t>
            </w:r>
          </w:p>
        </w:tc>
        <w:tc>
          <w:tcPr>
            <w:tcW w:type="dxa" w:w="2160"/>
          </w:tcPr>
          <w:p>
            <w:r>
              <w:t>api/admin/brands/[id]/route.ts</w:t>
            </w:r>
          </w:p>
        </w:tc>
        <w:tc>
          <w:tcPr>
            <w:tcW w:type="dxa" w:w="1152"/>
          </w:tcPr>
          <w:p>
            <w:r>
              <w:t>Complete</w:t>
            </w:r>
          </w:p>
        </w:tc>
        <w:tc>
          <w:tcPr>
            <w:tcW w:type="dxa" w:w="720"/>
          </w:tcPr>
          <w:p>
            <w:r>
              <w:t>TC-14</w:t>
            </w:r>
          </w:p>
        </w:tc>
        <w:tc>
          <w:tcPr>
            <w:tcW w:type="dxa" w:w="1296"/>
          </w:tcPr>
          <w:p>
            <w:r>
              <w:t>Pass</w:t>
            </w:r>
          </w:p>
        </w:tc>
      </w:tr>
      <w:tr>
        <w:tc>
          <w:tcPr>
            <w:tcW w:type="dxa" w:w="864"/>
          </w:tcPr>
          <w:p>
            <w:r>
              <w:t>SR-15</w:t>
            </w:r>
          </w:p>
        </w:tc>
        <w:tc>
          <w:tcPr>
            <w:tcW w:type="dxa" w:w="2160"/>
          </w:tcPr>
          <w:p>
            <w:r>
              <w:t>Excel catalogue bulk import</w:t>
            </w:r>
          </w:p>
        </w:tc>
        <w:tc>
          <w:tcPr>
            <w:tcW w:type="dxa" w:w="1008"/>
          </w:tcPr>
          <w:p>
            <w:r>
              <w:t>Low</w:t>
            </w:r>
          </w:p>
        </w:tc>
        <w:tc>
          <w:tcPr>
            <w:tcW w:type="dxa" w:w="1152"/>
          </w:tcPr>
          <w:p>
            <w:r>
              <w:t>UC-10</w:t>
            </w:r>
          </w:p>
        </w:tc>
        <w:tc>
          <w:tcPr>
            <w:tcW w:type="dxa" w:w="1728"/>
          </w:tcPr>
          <w:p>
            <w:r>
              <w:t>xlsx parsing endpoint</w:t>
            </w:r>
          </w:p>
        </w:tc>
        <w:tc>
          <w:tcPr>
            <w:tcW w:type="dxa" w:w="2160"/>
          </w:tcPr>
          <w:p>
            <w:r>
              <w:t>api/products/bulk/route.ts</w:t>
            </w:r>
          </w:p>
        </w:tc>
        <w:tc>
          <w:tcPr>
            <w:tcW w:type="dxa" w:w="1152"/>
          </w:tcPr>
          <w:p>
            <w:r>
              <w:t>Complete</w:t>
            </w:r>
          </w:p>
        </w:tc>
        <w:tc>
          <w:tcPr>
            <w:tcW w:type="dxa" w:w="720"/>
          </w:tcPr>
          <w:p>
            <w:r>
              <w:t>TC-15</w:t>
            </w:r>
          </w:p>
        </w:tc>
        <w:tc>
          <w:tcPr>
            <w:tcW w:type="dxa" w:w="1296"/>
          </w:tcPr>
          <w:p>
            <w:r>
              <w:t>Pass</w:t>
            </w:r>
          </w:p>
        </w:tc>
      </w:tr>
      <w:tr>
        <w:tc>
          <w:tcPr>
            <w:tcW w:type="dxa" w:w="864"/>
          </w:tcPr>
          <w:p>
            <w:r>
              <w:t>SR-16</w:t>
            </w:r>
          </w:p>
        </w:tc>
        <w:tc>
          <w:tcPr>
            <w:tcW w:type="dxa" w:w="2160"/>
          </w:tcPr>
          <w:p>
            <w:r>
              <w:t>Admin analytics dashboard</w:t>
            </w:r>
          </w:p>
        </w:tc>
        <w:tc>
          <w:tcPr>
            <w:tcW w:type="dxa" w:w="1008"/>
          </w:tcPr>
          <w:p>
            <w:r>
              <w:t>Medium</w:t>
            </w:r>
          </w:p>
        </w:tc>
        <w:tc>
          <w:tcPr>
            <w:tcW w:type="dxa" w:w="1152"/>
          </w:tcPr>
          <w:p>
            <w:r>
              <w:t>UC-07</w:t>
            </w:r>
          </w:p>
        </w:tc>
        <w:tc>
          <w:tcPr>
            <w:tcW w:type="dxa" w:w="1728"/>
          </w:tcPr>
          <w:p>
            <w:r>
              <w:t>Dashboard page &amp; charts</w:t>
            </w:r>
          </w:p>
        </w:tc>
        <w:tc>
          <w:tcPr>
            <w:tcW w:type="dxa" w:w="2160"/>
          </w:tcPr>
          <w:p>
            <w:r>
              <w:t>src/app/admin/dashboard/page.tsx</w:t>
            </w:r>
          </w:p>
        </w:tc>
        <w:tc>
          <w:tcPr>
            <w:tcW w:type="dxa" w:w="1152"/>
          </w:tcPr>
          <w:p>
            <w:r>
              <w:t>Partial (75%)</w:t>
            </w:r>
          </w:p>
        </w:tc>
        <w:tc>
          <w:tcPr>
            <w:tcW w:type="dxa" w:w="720"/>
          </w:tcPr>
          <w:p>
            <w:r>
              <w:t>TC-16</w:t>
            </w:r>
          </w:p>
        </w:tc>
        <w:tc>
          <w:tcPr>
            <w:tcW w:type="dxa" w:w="1296"/>
          </w:tcPr>
          <w:p>
            <w:r>
              <w:t>Partial</w:t>
            </w:r>
          </w:p>
        </w:tc>
      </w:tr>
      <w:tr>
        <w:tc>
          <w:tcPr>
            <w:tcW w:type="dxa" w:w="864"/>
          </w:tcPr>
          <w:p>
            <w:r>
              <w:t>SR-17</w:t>
            </w:r>
          </w:p>
        </w:tc>
        <w:tc>
          <w:tcPr>
            <w:tcW w:type="dxa" w:w="2160"/>
          </w:tcPr>
          <w:p>
            <w:r>
              <w:t>Brand verification audit trail</w:t>
            </w:r>
          </w:p>
        </w:tc>
        <w:tc>
          <w:tcPr>
            <w:tcW w:type="dxa" w:w="1008"/>
          </w:tcPr>
          <w:p>
            <w:r>
              <w:t>Medium</w:t>
            </w:r>
          </w:p>
        </w:tc>
        <w:tc>
          <w:tcPr>
            <w:tcW w:type="dxa" w:w="1152"/>
          </w:tcPr>
          <w:p>
            <w:r>
              <w:t>UC-07</w:t>
            </w:r>
          </w:p>
        </w:tc>
        <w:tc>
          <w:tcPr>
            <w:tcW w:type="dxa" w:w="1728"/>
          </w:tcPr>
          <w:p>
            <w:r>
              <w:t>Status update with timestamp</w:t>
            </w:r>
          </w:p>
        </w:tc>
        <w:tc>
          <w:tcPr>
            <w:tcW w:type="dxa" w:w="2160"/>
          </w:tcPr>
          <w:p>
            <w:r>
              <w:t>api/admin/brands/[id]/route.ts</w:t>
            </w:r>
          </w:p>
        </w:tc>
        <w:tc>
          <w:tcPr>
            <w:tcW w:type="dxa" w:w="1152"/>
          </w:tcPr>
          <w:p>
            <w:r>
              <w:t>Partial</w:t>
            </w:r>
          </w:p>
        </w:tc>
        <w:tc>
          <w:tcPr>
            <w:tcW w:type="dxa" w:w="720"/>
          </w:tcPr>
          <w:p>
            <w:r>
              <w:t>TC-17</w:t>
            </w:r>
          </w:p>
        </w:tc>
        <w:tc>
          <w:tcPr>
            <w:tcW w:type="dxa" w:w="1296"/>
          </w:tcPr>
          <w:p>
            <w:r>
              <w:t>Not started</w:t>
            </w:r>
          </w:p>
        </w:tc>
      </w:tr>
      <w:tr>
        <w:tc>
          <w:tcPr>
            <w:tcW w:type="dxa" w:w="864"/>
          </w:tcPr>
          <w:p>
            <w:r>
              <w:t>SR-18</w:t>
            </w:r>
          </w:p>
        </w:tc>
        <w:tc>
          <w:tcPr>
            <w:tcW w:type="dxa" w:w="2160"/>
          </w:tcPr>
          <w:p>
            <w:r>
              <w:t>Verification tier badges</w:t>
            </w:r>
          </w:p>
        </w:tc>
        <w:tc>
          <w:tcPr>
            <w:tcW w:type="dxa" w:w="1008"/>
          </w:tcPr>
          <w:p>
            <w:r>
              <w:t>Medium</w:t>
            </w:r>
          </w:p>
        </w:tc>
        <w:tc>
          <w:tcPr>
            <w:tcW w:type="dxa" w:w="1152"/>
          </w:tcPr>
          <w:p>
            <w:r>
              <w:t>UC-03, UC-07</w:t>
            </w:r>
          </w:p>
        </w:tc>
        <w:tc>
          <w:tcPr>
            <w:tcW w:type="dxa" w:w="1728"/>
          </w:tcPr>
          <w:p>
            <w:r>
              <w:t>Badge UI components</w:t>
            </w:r>
          </w:p>
        </w:tc>
        <w:tc>
          <w:tcPr>
            <w:tcW w:type="dxa" w:w="2160"/>
          </w:tcPr>
          <w:p>
            <w:r>
              <w:t>BrandCard.tsx; VerifiedBadge.tsx</w:t>
            </w:r>
          </w:p>
        </w:tc>
        <w:tc>
          <w:tcPr>
            <w:tcW w:type="dxa" w:w="1152"/>
          </w:tcPr>
          <w:p>
            <w:r>
              <w:t>Complete</w:t>
            </w:r>
          </w:p>
        </w:tc>
        <w:tc>
          <w:tcPr>
            <w:tcW w:type="dxa" w:w="720"/>
          </w:tcPr>
          <w:p>
            <w:r>
              <w:t>TC-18</w:t>
            </w:r>
          </w:p>
        </w:tc>
        <w:tc>
          <w:tcPr>
            <w:tcW w:type="dxa" w:w="1296"/>
          </w:tcPr>
          <w:p>
            <w:r>
              <w:t>Pass</w:t>
            </w:r>
          </w:p>
        </w:tc>
      </w:tr>
      <w:tr>
        <w:tc>
          <w:tcPr>
            <w:tcW w:type="dxa" w:w="864"/>
          </w:tcPr>
          <w:p>
            <w:r>
              <w:t>SR-19</w:t>
            </w:r>
          </w:p>
        </w:tc>
        <w:tc>
          <w:tcPr>
            <w:tcW w:type="dxa" w:w="2160"/>
          </w:tcPr>
          <w:p>
            <w:r>
              <w:t>Anonymous review submission</w:t>
            </w:r>
          </w:p>
        </w:tc>
        <w:tc>
          <w:tcPr>
            <w:tcW w:type="dxa" w:w="1008"/>
          </w:tcPr>
          <w:p>
            <w:r>
              <w:t>Medium</w:t>
            </w:r>
          </w:p>
        </w:tc>
        <w:tc>
          <w:tcPr>
            <w:tcW w:type="dxa" w:w="1152"/>
          </w:tcPr>
          <w:p>
            <w:r>
              <w:t>UC-11</w:t>
            </w:r>
          </w:p>
        </w:tc>
        <w:tc>
          <w:tcPr>
            <w:tcW w:type="dxa" w:w="1728"/>
          </w:tcPr>
          <w:p>
            <w:r>
              <w:t>Review schema — anon flag</w:t>
            </w:r>
          </w:p>
        </w:tc>
        <w:tc>
          <w:tcPr>
            <w:tcW w:type="dxa" w:w="2160"/>
          </w:tcPr>
          <w:p>
            <w:r>
              <w:t>api/reviews/route.ts (POST)</w:t>
            </w:r>
          </w:p>
        </w:tc>
        <w:tc>
          <w:tcPr>
            <w:tcW w:type="dxa" w:w="1152"/>
          </w:tcPr>
          <w:p>
            <w:r>
              <w:t>Complete</w:t>
            </w:r>
          </w:p>
        </w:tc>
        <w:tc>
          <w:tcPr>
            <w:tcW w:type="dxa" w:w="720"/>
          </w:tcPr>
          <w:p>
            <w:r>
              <w:t>TC-19</w:t>
            </w:r>
          </w:p>
        </w:tc>
        <w:tc>
          <w:tcPr>
            <w:tcW w:type="dxa" w:w="1296"/>
          </w:tcPr>
          <w:p>
            <w:r>
              <w:t>Pass</w:t>
            </w:r>
          </w:p>
        </w:tc>
      </w:tr>
      <w:tr>
        <w:tc>
          <w:tcPr>
            <w:tcW w:type="dxa" w:w="864"/>
          </w:tcPr>
          <w:p>
            <w:r>
              <w:t>SR-20</w:t>
            </w:r>
          </w:p>
        </w:tc>
        <w:tc>
          <w:tcPr>
            <w:tcW w:type="dxa" w:w="2160"/>
          </w:tcPr>
          <w:p>
            <w:r>
              <w:t>Brand reply to review</w:t>
            </w:r>
          </w:p>
        </w:tc>
        <w:tc>
          <w:tcPr>
            <w:tcW w:type="dxa" w:w="1008"/>
          </w:tcPr>
          <w:p>
            <w:r>
              <w:t>Medium</w:t>
            </w:r>
          </w:p>
        </w:tc>
        <w:tc>
          <w:tcPr>
            <w:tcW w:type="dxa" w:w="1152"/>
          </w:tcPr>
          <w:p>
            <w:r>
              <w:t>UC-12</w:t>
            </w:r>
          </w:p>
        </w:tc>
        <w:tc>
          <w:tcPr>
            <w:tcW w:type="dxa" w:w="1728"/>
          </w:tcPr>
          <w:p>
            <w:r>
              <w:t>Review reply endpoint</w:t>
            </w:r>
          </w:p>
        </w:tc>
        <w:tc>
          <w:tcPr>
            <w:tcW w:type="dxa" w:w="2160"/>
          </w:tcPr>
          <w:p>
            <w:r>
              <w:t>api/reviews/[id]/reply/route.ts</w:t>
            </w:r>
          </w:p>
        </w:tc>
        <w:tc>
          <w:tcPr>
            <w:tcW w:type="dxa" w:w="1152"/>
          </w:tcPr>
          <w:p>
            <w:r>
              <w:t>Complete</w:t>
            </w:r>
          </w:p>
        </w:tc>
        <w:tc>
          <w:tcPr>
            <w:tcW w:type="dxa" w:w="720"/>
          </w:tcPr>
          <w:p>
            <w:r>
              <w:t>TC-20</w:t>
            </w:r>
          </w:p>
        </w:tc>
        <w:tc>
          <w:tcPr>
            <w:tcW w:type="dxa" w:w="1296"/>
          </w:tcPr>
          <w:p>
            <w:r>
              <w:t>Pass</w:t>
            </w:r>
          </w:p>
        </w:tc>
      </w:tr>
    </w:tbl>
    <w:p/>
    <w:p>
      <w:r>
        <w:br w:type="page"/>
      </w:r>
    </w:p>
    <w:p>
      <w:pPr>
        <w:pStyle w:val="Heading1"/>
      </w:pPr>
      <w:r>
        <w:t>CHAPTER III — SYSTEM DESIGN</w:t>
      </w:r>
    </w:p>
    <w:p>
      <w:pPr/>
      <w:r>
        <w:t>This chapter presents the complete system design of the Kuwait B2B Hub. It covers the behavioural models (sequence diagrams and activity model), the structural models (class diagram and component design), the data flow models, the architectural pattern, finite state machine specifications for the two core workflows, and prototype screenshots illustrating the delivered user interface.</w:t>
      </w:r>
    </w:p>
    <w:p>
      <w:pPr>
        <w:pStyle w:val="Heading2"/>
      </w:pPr>
      <w:r>
        <w:t>3.1  Sequence Diagrams</w:t>
      </w:r>
    </w:p>
    <w:p>
      <w:pPr/>
      <w:r>
        <w:t>Three sequence diagrams model the time-ordered message exchanges between system participants for the platform's most critical workflows. Each diagram is described narratively below; the corresponding rendered diagram is inserted as a figure placeholder for final production.</w:t>
      </w:r>
    </w:p>
    <w:p>
      <w:pPr>
        <w:pStyle w:val="Heading3"/>
      </w:pPr>
      <w:r>
        <w:t>3.1.1  User Registration &amp; Login (Figure 1)</w:t>
      </w:r>
    </w:p>
    <w:p>
      <w:pPr/>
      <w:r>
        <w:t>This diagram models two consecutive interactions: a new user registering an account (POST /api/auth/register) and an existing user logging in (POST /api/auth/login). Four participants are shown: Browser, API Server, Database, and Notification Service.</w:t>
      </w:r>
    </w:p>
    <w:p>
      <w:pPr/>
      <w:r>
        <w:t>Registration flow: The browser submits the registration form payload (name, email, password, role, company_name). The API validates all fields (400 if missing) then reads the database snapshot. If the email is already registered it returns 409 Conflict. Otherwise the API generates a user ID, creates the user record, and — if the role is brand_owner — also creates a pending brand record and a second admin notification. Verification status is set to 'approved' for buyers and 'pending' for brand owners. The API then writes the updated database and sets two HTTP-only session cookies (b2b_user_id with httpOnly=true, b2b_user_role with httpOnly=false) carrying a 7-day maxAge on the 200 response.</w:t>
      </w:r>
    </w:p>
    <w:p>
      <w:pPr/>
      <w:r>
        <w:t>Login flow: The browser submits email and password. The API reads the database, finds the matching user record, and compares credentials. On a match it attaches the same two session cookies to the 200 response. On a mismatch it returns 401 Invalid email or password. No database write occurs during a successful login — only cookies are set.</w:t>
      </w:r>
    </w:p>
    <w:p>
      <w:pPr/>
      <w:r>
        <w:t>Design note: the authentication for these routes is entirely custom — no Supabase Auth SDK calls are made in register/route.ts or login/route.ts. Sessions are established via HTTP-only cookies set directly on the NextResponse object.</w:t>
      </w:r>
    </w:p>
    <w:p/>
    <w:p>
      <w:pPr>
        <w:jc w:val="center"/>
      </w:pPr>
      <w:r>
        <w:rPr>
          <w:b/>
          <w:color w:val="888888"/>
          <w:sz w:val="22"/>
        </w:rPr>
        <w:t>[ FIGURE 1 — Sequence Diagram — User Registration &amp; Login ]</w:t>
      </w:r>
    </w:p>
    <w:p>
      <w:pPr>
        <w:jc w:val="center"/>
      </w:pPr>
      <w:r>
        <w:rPr>
          <w:i/>
          <w:color w:val="AAAAAA"/>
          <w:sz w:val="18"/>
        </w:rPr>
        <w:t>(Insert diagram image here)</w:t>
      </w:r>
    </w:p>
    <w:p/>
    <w:p>
      <w:pPr>
        <w:pStyle w:val="Heading3"/>
      </w:pPr>
      <w:r>
        <w:t>3.1.2  Order Placement &amp; Review Lifecycle (Figure 2)</w:t>
      </w:r>
    </w:p>
    <w:p>
      <w:pPr/>
      <w:r>
        <w:t>This diagram models the full buyer-to-brand order lifecycle across two phases: order submission and order status management. Four participants: Buyer, API Server, Database, Brand Owner.</w:t>
      </w:r>
    </w:p>
    <w:p>
      <w:pPr/>
      <w:r>
        <w:t>Order placement phase: The buyer sends POST /api/orders with brand_id and an items array. The API calls getCurrentUser() to resolve the session; if the role is not buyer it returns 403. The API reads the database to locate the brand (404 if not found or not approved). For each item in the order the API validates product membership in the brand, enforces MOQ (400 if quantity below minimum), enforces stock level (400 if insufficient), and resolves the unit price by iterating bulk_pricing_tiers to match the quantity range — falling back to the base product price if no tier matches. The API then inserts the order record and order items atomically, creates a 'new_order' notification for the brand owner, and returns 201 Created with the order object.</w:t>
      </w:r>
    </w:p>
    <w:p>
      <w:pPr/>
      <w:r>
        <w:t>Status update phase: The brand owner sends PATCH /api/orders/:id with a new status (approved, rejected, or completed). The API validates the role (403 if not brand_owner or admin), verifies the order belongs to the brand, updates the status, and dispatches a buyer notification whose type matches the new status: order_approved, order_rejected, or order_completed. The 'order_completed' notification includes a call-to-action prompting the buyer to leave a review.</w:t>
      </w:r>
    </w:p>
    <w:p/>
    <w:p>
      <w:pPr>
        <w:jc w:val="center"/>
      </w:pPr>
      <w:r>
        <w:rPr>
          <w:b/>
          <w:color w:val="888888"/>
          <w:sz w:val="22"/>
        </w:rPr>
        <w:t>[ FIGURE 2 — Sequence Diagram — Order Placement &amp; Review Lifecycle ]</w:t>
      </w:r>
    </w:p>
    <w:p>
      <w:pPr>
        <w:jc w:val="center"/>
      </w:pPr>
      <w:r>
        <w:rPr>
          <w:i/>
          <w:color w:val="AAAAAA"/>
          <w:sz w:val="18"/>
        </w:rPr>
        <w:t>(Insert diagram image here)</w:t>
      </w:r>
    </w:p>
    <w:p/>
    <w:p>
      <w:pPr>
        <w:pStyle w:val="Heading3"/>
      </w:pPr>
      <w:r>
        <w:t>3.1.3  Brand Verification (Figure 3)</w:t>
      </w:r>
    </w:p>
    <w:p>
      <w:pPr/>
      <w:r>
        <w:t>This diagram models the administrative brand verification workflow. Five participants: Admin, API Server, Database, Brand Owner, Notification Service.</w:t>
      </w:r>
    </w:p>
    <w:p>
      <w:pPr/>
      <w:r>
        <w:t>The admin sends PATCH /api/admin/brands/:id with a status field and an optional verification_tier. The API calls getCurrentUser() and returns 403 if the role is not admin. The API reads the database to locate the brand (404 if not found) and validates the status value (400 if not in {approved, rejected}). On approval: the API atomically updates brand.status = 'approved' and the owner's verification_status = 'approved', creates an 'account_approved' notification for the brand owner, and dispatches a 'new_brand' notification to every active buyer on the platform. The brand becomes visible on the marketplace immediately. On rejection: the status is set to 'rejected' on both records and only the brand owner receives an 'account_rejected' notification. If a verification_tier is provided in the request body, the API performs a second database read to obtain a fresh snapshot, updates the tier field, and persists — preventing stale-state overwrites.</w:t>
      </w:r>
    </w:p>
    <w:p/>
    <w:p>
      <w:pPr>
        <w:jc w:val="center"/>
      </w:pPr>
      <w:r>
        <w:rPr>
          <w:b/>
          <w:color w:val="888888"/>
          <w:sz w:val="22"/>
        </w:rPr>
        <w:t>[ FIGURE 3 — Sequence Diagram — Brand Verification ]</w:t>
      </w:r>
    </w:p>
    <w:p>
      <w:pPr>
        <w:jc w:val="center"/>
      </w:pPr>
      <w:r>
        <w:rPr>
          <w:i/>
          <w:color w:val="AAAAAA"/>
          <w:sz w:val="18"/>
        </w:rPr>
        <w:t>(Insert diagram image here)</w:t>
      </w:r>
    </w:p>
    <w:p/>
    <w:p>
      <w:pPr>
        <w:pStyle w:val="Heading2"/>
      </w:pPr>
      <w:r>
        <w:t>3.2  Data Flow Model</w:t>
      </w:r>
    </w:p>
    <w:p>
      <w:pPr/>
      <w:r>
        <w:t>Data Flow Diagrams (DFDs) decompose the system into processes, data stores, and external entities, showing how data moves through the platform. Two levels are presented: Level 0 (Context Diagram) and Level 1 (sub-process decomposition).</w:t>
      </w:r>
    </w:p>
    <w:p>
      <w:pPr>
        <w:pStyle w:val="Heading3"/>
      </w:pPr>
      <w:r>
        <w:t>3.2.1  DFD Level 0 — Context Diagram (Figure 4)</w:t>
      </w:r>
    </w:p>
    <w:p>
      <w:pPr/>
      <w:r>
        <w:t>At the context level the Kuwait B2B Hub is treated as a single process 'B2B Platform' sitting at the centre of four external entities:</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rPr>
              <w:t>External Entity</w:t>
            </w:r>
          </w:p>
        </w:tc>
        <w:tc>
          <w:tcPr>
            <w:tcW w:type="dxa" w:w="3888"/>
          </w:tcPr>
          <w:p>
            <w:r>
              <w:rPr>
                <w:b/>
              </w:rPr>
              <w:t>Data Flows INTO Platform</w:t>
            </w:r>
          </w:p>
        </w:tc>
        <w:tc>
          <w:tcPr>
            <w:tcW w:type="dxa" w:w="3456"/>
          </w:tcPr>
          <w:p>
            <w:r>
              <w:rPr>
                <w:b/>
              </w:rPr>
              <w:t>Data Flows OUT OF Platform</w:t>
            </w:r>
          </w:p>
        </w:tc>
      </w:tr>
      <w:tr>
        <w:tc>
          <w:tcPr>
            <w:tcW w:type="dxa" w:w="2016"/>
          </w:tcPr>
          <w:p>
            <w:r>
              <w:t>Business Buyers</w:t>
            </w:r>
          </w:p>
        </w:tc>
        <w:tc>
          <w:tcPr>
            <w:tcW w:type="dxa" w:w="3888"/>
          </w:tcPr>
          <w:p>
            <w:r>
              <w:t>Registration data; login credentials; search/filter queries; order requests (brand_id, product_id, quantity); review submissions (rating, content, anonymous flag); notification read events.</w:t>
            </w:r>
          </w:p>
        </w:tc>
        <w:tc>
          <w:tcPr>
            <w:tcW w:type="dxa" w:w="3456"/>
          </w:tcPr>
          <w:p>
            <w:r>
              <w:t>Session cookies; brand/product catalogue listings; order confirmations and status updates; notifications; trust scores; multi-currency prices.</w:t>
            </w:r>
          </w:p>
        </w:tc>
      </w:tr>
      <w:tr>
        <w:tc>
          <w:tcPr>
            <w:tcW w:type="dxa" w:w="2016"/>
          </w:tcPr>
          <w:p>
            <w:r>
              <w:t>Brand Owners</w:t>
            </w:r>
          </w:p>
        </w:tc>
        <w:tc>
          <w:tcPr>
            <w:tcW w:type="dxa" w:w="3888"/>
          </w:tcPr>
          <w:p>
            <w:r>
              <w:t>Brand profile data; product listings (name, price, MOQ, stock, tiers); order status updates (approved / rejected / completed); review replies; Excel catalogue files.</w:t>
            </w:r>
          </w:p>
        </w:tc>
        <w:tc>
          <w:tcPr>
            <w:tcW w:type="dxa" w:w="3456"/>
          </w:tcPr>
          <w:p>
            <w:r>
              <w:t>Session cookies; order request details; review notifications; brand analytics dashboard data; trust score and badge assignments.</w:t>
            </w:r>
          </w:p>
        </w:tc>
      </w:tr>
      <w:tr>
        <w:tc>
          <w:tcPr>
            <w:tcW w:type="dxa" w:w="2016"/>
          </w:tcPr>
          <w:p>
            <w:r>
              <w:t>Admin Users</w:t>
            </w:r>
          </w:p>
        </w:tc>
        <w:tc>
          <w:tcPr>
            <w:tcW w:type="dxa" w:w="3888"/>
          </w:tcPr>
          <w:p>
            <w:r>
              <w:t>Brand verification decisions (approve/reject, tier); user management actions; review moderation commands (flag, remove).</w:t>
            </w:r>
          </w:p>
        </w:tc>
        <w:tc>
          <w:tcPr>
            <w:tcW w:type="dxa" w:w="3456"/>
          </w:tcPr>
          <w:p>
            <w:r>
              <w:t>Pending brand queue; platform-wide analytics (user count, order volume, revenue); review moderation queue.</w:t>
            </w:r>
          </w:p>
        </w:tc>
      </w:tr>
      <w:tr>
        <w:tc>
          <w:tcPr>
            <w:tcW w:type="dxa" w:w="2016"/>
          </w:tcPr>
          <w:p>
            <w:r>
              <w:t>External Services</w:t>
            </w:r>
          </w:p>
        </w:tc>
        <w:tc>
          <w:tcPr>
            <w:tcW w:type="dxa" w:w="3888"/>
          </w:tcPr>
          <w:p>
            <w:r>
              <w:t>JWT session validation responses (Supabase Auth); PostgreSQL query results (Supabase DB); live GCC currency exchange rates (Exchange Rate API).</w:t>
            </w:r>
          </w:p>
        </w:tc>
        <w:tc>
          <w:tcPr>
            <w:tcW w:type="dxa" w:w="3456"/>
          </w:tcPr>
          <w:p>
            <w:r>
              <w:t>JWT authentication requests; database read/write queries; WhatsApp contact deep-links; Git push triggers for Vercel CI/CD pipeline.</w:t>
            </w:r>
          </w:p>
        </w:tc>
      </w:tr>
    </w:tbl>
    <w:p/>
    <w:p/>
    <w:p>
      <w:pPr>
        <w:jc w:val="center"/>
      </w:pPr>
      <w:r>
        <w:rPr>
          <w:b/>
          <w:color w:val="888888"/>
          <w:sz w:val="22"/>
        </w:rPr>
        <w:t>[ FIGURE 4 — DFD Level 0 — Context Diagram ]</w:t>
      </w:r>
    </w:p>
    <w:p>
      <w:pPr>
        <w:jc w:val="center"/>
      </w:pPr>
      <w:r>
        <w:rPr>
          <w:i/>
          <w:color w:val="AAAAAA"/>
          <w:sz w:val="18"/>
        </w:rPr>
        <w:t>(Insert diagram image here)</w:t>
      </w:r>
    </w:p>
    <w:p/>
    <w:p>
      <w:pPr>
        <w:pStyle w:val="Heading3"/>
      </w:pPr>
      <w:r>
        <w:t>3.2.2  DFD Level 1 — Sub-Process Decomposition (Figure 5)</w:t>
      </w:r>
    </w:p>
    <w:p>
      <w:pPr/>
      <w:r>
        <w:t>At Level 1 the single 'B2B Platform' process is decomposed into five sub-processes, each corresponding to a platform subsystem. Three data stores are shared across processes:</w:t>
      </w:r>
    </w:p>
    <w:tbl>
      <w:tblPr>
        <w:tblStyle w:val="TableGrid"/>
        <w:tblW w:type="auto" w:w="0"/>
        <w:tblLook w:firstColumn="1" w:firstRow="1" w:lastColumn="0" w:lastRow="0" w:noHBand="0" w:noVBand="1" w:val="04A0"/>
      </w:tblPr>
      <w:tblGrid>
        <w:gridCol w:w="4320"/>
        <w:gridCol w:w="4320"/>
      </w:tblGrid>
      <w:tr>
        <w:tc>
          <w:tcPr>
            <w:tcW w:type="dxa" w:w="2592"/>
          </w:tcPr>
          <w:p>
            <w:r>
              <w:rPr>
                <w:b/>
              </w:rPr>
              <w:t>Data Store</w:t>
            </w:r>
          </w:p>
        </w:tc>
        <w:tc>
          <w:tcPr>
            <w:tcW w:type="dxa" w:w="6768"/>
          </w:tcPr>
          <w:p>
            <w:r>
              <w:rPr>
                <w:b/>
              </w:rPr>
              <w:t>Contents</w:t>
            </w:r>
          </w:p>
        </w:tc>
      </w:tr>
      <w:tr>
        <w:tc>
          <w:tcPr>
            <w:tcW w:type="dxa" w:w="2592"/>
          </w:tcPr>
          <w:p>
            <w:r>
              <w:t>DS-1 Users &amp; Sessions</w:t>
            </w:r>
          </w:p>
        </w:tc>
        <w:tc>
          <w:tcPr>
            <w:tcW w:type="dxa" w:w="6768"/>
          </w:tcPr>
          <w:p>
            <w:r>
              <w:t>User profiles (id, name, email, password_hash, role, company_name, verification_status, created_at); active session cookie references.</w:t>
            </w:r>
          </w:p>
        </w:tc>
      </w:tr>
      <w:tr>
        <w:tc>
          <w:tcPr>
            <w:tcW w:type="dxa" w:w="2592"/>
          </w:tcPr>
          <w:p>
            <w:r>
              <w:t>DS-2 Brands &amp; Products</w:t>
            </w:r>
          </w:p>
        </w:tc>
        <w:tc>
          <w:tcPr>
            <w:tcW w:type="dxa" w:w="6768"/>
          </w:tcPr>
          <w:p>
            <w:r>
              <w:t>Brand records (id, owner_id, brand_name, status, verification_tier, whatsapp_clicks, ...); Product records (id, brand_id, name, price, moq, stock, bulk_pricing_tiers[], ...).</w:t>
            </w:r>
          </w:p>
        </w:tc>
      </w:tr>
      <w:tr>
        <w:tc>
          <w:tcPr>
            <w:tcW w:type="dxa" w:w="2592"/>
          </w:tcPr>
          <w:p>
            <w:r>
              <w:t>DS-3 Orders, Reviews &amp; Notifications</w:t>
            </w:r>
          </w:p>
        </w:tc>
        <w:tc>
          <w:tcPr>
            <w:tcW w:type="dxa" w:w="6768"/>
          </w:tcPr>
          <w:p>
            <w:r>
              <w:t>Order records + Order Items; Review records (with anonymous flag and brand_reply); Notification records (user_id, type, read, action_url); Message records.</w:t>
            </w:r>
          </w:p>
        </w:tc>
      </w:tr>
    </w:tbl>
    <w:p/>
    <w:p>
      <w:pPr/>
      <w:r>
        <w:t>Sub-processes and their data flows: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Process</w:t>
            </w:r>
          </w:p>
        </w:tc>
        <w:tc>
          <w:tcPr>
            <w:tcW w:type="dxa" w:w="2736"/>
          </w:tcPr>
          <w:p>
            <w:r>
              <w:rPr>
                <w:b/>
              </w:rPr>
              <w:t>Inputs</w:t>
            </w:r>
          </w:p>
        </w:tc>
        <w:tc>
          <w:tcPr>
            <w:tcW w:type="dxa" w:w="2736"/>
          </w:tcPr>
          <w:p>
            <w:r>
              <w:rPr>
                <w:b/>
              </w:rPr>
              <w:t>Outputs</w:t>
            </w:r>
          </w:p>
        </w:tc>
        <w:tc>
          <w:tcPr>
            <w:tcW w:type="dxa" w:w="1728"/>
          </w:tcPr>
          <w:p>
            <w:r>
              <w:rPr>
                <w:b/>
              </w:rPr>
              <w:t>Reads / Writes</w:t>
            </w:r>
          </w:p>
        </w:tc>
      </w:tr>
      <w:tr>
        <w:tc>
          <w:tcPr>
            <w:tcW w:type="dxa" w:w="2160"/>
          </w:tcPr>
          <w:p>
            <w:r>
              <w:t>P1 Authentication &amp; User Mgmt</w:t>
            </w:r>
          </w:p>
        </w:tc>
        <w:tc>
          <w:tcPr>
            <w:tcW w:type="dxa" w:w="2736"/>
          </w:tcPr>
          <w:p>
            <w:r>
              <w:t>Registration form; login credentials; session cookie</w:t>
            </w:r>
          </w:p>
        </w:tc>
        <w:tc>
          <w:tcPr>
            <w:tcW w:type="dxa" w:w="2736"/>
          </w:tcPr>
          <w:p>
            <w:r>
              <w:t>Session cookies; user profile; admin notifications</w:t>
            </w:r>
          </w:p>
        </w:tc>
        <w:tc>
          <w:tcPr>
            <w:tcW w:type="dxa" w:w="1728"/>
          </w:tcPr>
          <w:p>
            <w:r>
              <w:t>Reads + Writes DS-1</w:t>
            </w:r>
          </w:p>
        </w:tc>
      </w:tr>
      <w:tr>
        <w:tc>
          <w:tcPr>
            <w:tcW w:type="dxa" w:w="2160"/>
          </w:tcPr>
          <w:p>
            <w:r>
              <w:t>P2 Brand Management</w:t>
            </w:r>
          </w:p>
        </w:tc>
        <w:tc>
          <w:tcPr>
            <w:tcW w:type="dxa" w:w="2736"/>
          </w:tcPr>
          <w:p>
            <w:r>
              <w:t>Brand profile updates; verification decisions; WhatsApp click events</w:t>
            </w:r>
          </w:p>
        </w:tc>
        <w:tc>
          <w:tcPr>
            <w:tcW w:type="dxa" w:w="2736"/>
          </w:tcPr>
          <w:p>
            <w:r>
              <w:t>Updated brand records; brand owner / buyer notifications; marketplace listings</w:t>
            </w:r>
          </w:p>
        </w:tc>
        <w:tc>
          <w:tcPr>
            <w:tcW w:type="dxa" w:w="1728"/>
          </w:tcPr>
          <w:p>
            <w:r>
              <w:t>Reads + Writes DS-1, DS-2</w:t>
            </w:r>
          </w:p>
        </w:tc>
      </w:tr>
      <w:tr>
        <w:tc>
          <w:tcPr>
            <w:tcW w:type="dxa" w:w="2160"/>
          </w:tcPr>
          <w:p>
            <w:r>
              <w:t>P3 Product &amp; Order Management</w:t>
            </w:r>
          </w:p>
        </w:tc>
        <w:tc>
          <w:tcPr>
            <w:tcW w:type="dxa" w:w="2736"/>
          </w:tcPr>
          <w:p>
            <w:r>
              <w:t>Product CRUD payloads; Excel import files; order requests; status updates</w:t>
            </w:r>
          </w:p>
        </w:tc>
        <w:tc>
          <w:tcPr>
            <w:tcW w:type="dxa" w:w="2736"/>
          </w:tcPr>
          <w:p>
            <w:r>
              <w:t>Product records; order confirmations; status notifications; analytics data</w:t>
            </w:r>
          </w:p>
        </w:tc>
        <w:tc>
          <w:tcPr>
            <w:tcW w:type="dxa" w:w="1728"/>
          </w:tcPr>
          <w:p>
            <w:r>
              <w:t>Reads + Writes DS-2, DS-3</w:t>
            </w:r>
          </w:p>
        </w:tc>
      </w:tr>
      <w:tr>
        <w:tc>
          <w:tcPr>
            <w:tcW w:type="dxa" w:w="2160"/>
          </w:tcPr>
          <w:p>
            <w:r>
              <w:t>P4 Trust, Reviews &amp; Reputation</w:t>
            </w:r>
          </w:p>
        </w:tc>
        <w:tc>
          <w:tcPr>
            <w:tcW w:type="dxa" w:w="2736"/>
          </w:tcPr>
          <w:p>
            <w:r>
              <w:t>Review submissions; review replies; moderation commands; order history</w:t>
            </w:r>
          </w:p>
        </w:tc>
        <w:tc>
          <w:tcPr>
            <w:tcW w:type="dxa" w:w="2736"/>
          </w:tcPr>
          <w:p>
            <w:r>
              <w:t>Active reviews; brand replies; trust scores; buyer trust profiles; badges</w:t>
            </w:r>
          </w:p>
        </w:tc>
        <w:tc>
          <w:tcPr>
            <w:tcW w:type="dxa" w:w="1728"/>
          </w:tcPr>
          <w:p>
            <w:r>
              <w:t>Reads DS-3; Writes DS-3</w:t>
            </w:r>
          </w:p>
        </w:tc>
      </w:tr>
      <w:tr>
        <w:tc>
          <w:tcPr>
            <w:tcW w:type="dxa" w:w="2160"/>
          </w:tcPr>
          <w:p>
            <w:r>
              <w:t>P5 Notifications &amp; Real-Time</w:t>
            </w:r>
          </w:p>
        </w:tc>
        <w:tc>
          <w:tcPr>
            <w:tcW w:type="dxa" w:w="2736"/>
          </w:tcPr>
          <w:p>
            <w:r>
              <w:t>System events from P1–P4; notification read events</w:t>
            </w:r>
          </w:p>
        </w:tc>
        <w:tc>
          <w:tcPr>
            <w:tcW w:type="dxa" w:w="2736"/>
          </w:tcPr>
          <w:p>
            <w:r>
              <w:t>Notification panel content; unread badge count; real-time delivery (planned)</w:t>
            </w:r>
          </w:p>
        </w:tc>
        <w:tc>
          <w:tcPr>
            <w:tcW w:type="dxa" w:w="1728"/>
          </w:tcPr>
          <w:p>
            <w:r>
              <w:t>Reads + Writes DS-3</w:t>
            </w:r>
          </w:p>
        </w:tc>
      </w:tr>
    </w:tbl>
    <w:p/>
    <w:p/>
    <w:p>
      <w:pPr>
        <w:jc w:val="center"/>
      </w:pPr>
      <w:r>
        <w:rPr>
          <w:b/>
          <w:color w:val="888888"/>
          <w:sz w:val="22"/>
        </w:rPr>
        <w:t>[ FIGURE 5 — DFD Level 1 — Sub-Process Decomposition ]</w:t>
      </w:r>
    </w:p>
    <w:p>
      <w:pPr>
        <w:jc w:val="center"/>
      </w:pPr>
      <w:r>
        <w:rPr>
          <w:i/>
          <w:color w:val="AAAAAA"/>
          <w:sz w:val="18"/>
        </w:rPr>
        <w:t>(Insert diagram image here)</w:t>
      </w:r>
    </w:p>
    <w:p/>
    <w:p>
      <w:pPr>
        <w:pStyle w:val="Heading2"/>
      </w:pPr>
      <w:r>
        <w:t>3.3  Architectural Pattern</w:t>
      </w:r>
    </w:p>
    <w:p>
      <w:pPr/>
      <w:r>
        <w:t>The Kuwait B2B Hub adopts a four-layer MVC-inspired architecture implemented on the Next.js 16 App Router platform. The design draws on the Model-View-Controller pattern while adapting it to the constraints and capabilities of a server-rendered, serverless deployment environment.</w:t>
      </w:r>
    </w:p>
    <w:p>
      <w:pPr>
        <w:pStyle w:val="Heading3"/>
      </w:pPr>
      <w:r>
        <w:t>3.3.1  Layer Mapping to MVC Concepts</w:t>
      </w:r>
    </w:p>
    <w:tbl>
      <w:tblPr>
        <w:tblStyle w:val="TableGrid"/>
        <w:tblW w:type="auto" w:w="0"/>
        <w:tblLook w:firstColumn="1" w:firstRow="1" w:lastColumn="0" w:lastRow="0" w:noHBand="0" w:noVBand="1" w:val="04A0"/>
      </w:tblPr>
      <w:tblGrid>
        <w:gridCol w:w="2880"/>
        <w:gridCol w:w="2880"/>
        <w:gridCol w:w="2880"/>
      </w:tblGrid>
      <w:tr>
        <w:tc>
          <w:tcPr>
            <w:tcW w:type="dxa" w:w="1872"/>
          </w:tcPr>
          <w:p>
            <w:r>
              <w:rPr>
                <w:b/>
              </w:rPr>
              <w:t>MVC Concept</w:t>
            </w:r>
          </w:p>
        </w:tc>
        <w:tc>
          <w:tcPr>
            <w:tcW w:type="dxa" w:w="4896"/>
          </w:tcPr>
          <w:p>
            <w:r>
              <w:rPr>
                <w:b/>
              </w:rPr>
              <w:t>Kuwait B2B Hub Realisation</w:t>
            </w:r>
          </w:p>
        </w:tc>
        <w:tc>
          <w:tcPr>
            <w:tcW w:type="dxa" w:w="2592"/>
          </w:tcPr>
          <w:p>
            <w:r>
              <w:rPr>
                <w:b/>
              </w:rPr>
              <w:t>Key Files</w:t>
            </w:r>
          </w:p>
        </w:tc>
      </w:tr>
      <w:tr>
        <w:tc>
          <w:tcPr>
            <w:tcW w:type="dxa" w:w="1872"/>
          </w:tcPr>
          <w:p>
            <w:r>
              <w:t>Model</w:t>
            </w:r>
          </w:p>
        </w:tc>
        <w:tc>
          <w:tcPr>
            <w:tcW w:type="dxa" w:w="4896"/>
          </w:tcPr>
          <w:p>
            <w:r>
              <w:t>TypeScript interfaces defined in src/lib/db.ts constitute the data model. Each interface (User, Brand, Product, Order, OrderItem, Review, Notification, BrandTrust, BuyerTrust, Message) serves as a compile-time contract enforced across all layers. The readDB() / writeDB() abstraction acts as the repository layer between the model and the underlying storage.</w:t>
            </w:r>
          </w:p>
        </w:tc>
        <w:tc>
          <w:tcPr>
            <w:tcW w:type="dxa" w:w="2592"/>
          </w:tcPr>
          <w:p>
            <w:r>
              <w:t>src/lib/db.ts</w:t>
            </w:r>
          </w:p>
        </w:tc>
      </w:tr>
      <w:tr>
        <w:tc>
          <w:tcPr>
            <w:tcW w:type="dxa" w:w="1872"/>
          </w:tcPr>
          <w:p>
            <w:r>
              <w:t>View</w:t>
            </w:r>
          </w:p>
        </w:tc>
        <w:tc>
          <w:tcPr>
            <w:tcW w:type="dxa" w:w="4896"/>
          </w:tcPr>
          <w:p>
            <w:r>
              <w:t>React/TSX components and Next.js page routes render all UI. Server Components generate SSR HTML on first load for SEO and performance; Client Components add interactivity via browser-side hydration. CSS Modules provide scoped styling without a utility-class framework dependency.</w:t>
            </w:r>
          </w:p>
        </w:tc>
        <w:tc>
          <w:tcPr>
            <w:tcW w:type="dxa" w:w="2592"/>
          </w:tcPr>
          <w:p>
            <w:r>
              <w:t>src/app/**/page.tsx; src/components/*.tsx</w:t>
            </w:r>
          </w:p>
        </w:tc>
      </w:tr>
      <w:tr>
        <w:tc>
          <w:tcPr>
            <w:tcW w:type="dxa" w:w="1872"/>
          </w:tcPr>
          <w:p>
            <w:r>
              <w:t>Controller</w:t>
            </w:r>
          </w:p>
        </w:tc>
        <w:tc>
          <w:tcPr>
            <w:tcW w:type="dxa" w:w="4896"/>
          </w:tcPr>
          <w:p>
            <w:r>
              <w:t>Next.js App Router Route Handlers serve as controllers, receiving HTTP requests, applying RBAC guards, delegating to the data layer, and returning JSON responses. src/middleware.ts acts as a front-controller intercepting all requests for session validation before routing proceeds.</w:t>
            </w:r>
          </w:p>
        </w:tc>
        <w:tc>
          <w:tcPr>
            <w:tcW w:type="dxa" w:w="2592"/>
          </w:tcPr>
          <w:p>
            <w:r>
              <w:t>src/app/api/**/route.ts; src/middleware.ts</w:t>
            </w:r>
          </w:p>
        </w:tc>
      </w:tr>
      <w:tr>
        <w:tc>
          <w:tcPr>
            <w:tcW w:type="dxa" w:w="1872"/>
          </w:tcPr>
          <w:p>
            <w:r>
              <w:t>Service / Infrastructure</w:t>
            </w:r>
          </w:p>
        </w:tc>
        <w:tc>
          <w:tcPr>
            <w:tcW w:type="dxa" w:w="4896"/>
          </w:tcPr>
          <w:p>
            <w:r>
              <w:t>Cross-cutting concerns (auth resolution, notification creation, currency formatting, ID generation) are encapsulated in src/lib/* utility modules consumed by controllers. Supabase and Vercel constitute the infrastructure layer beyond the application boundary.</w:t>
            </w:r>
          </w:p>
        </w:tc>
        <w:tc>
          <w:tcPr>
            <w:tcW w:type="dxa" w:w="2592"/>
          </w:tcPr>
          <w:p>
            <w:r>
              <w:t>src/lib/auth.ts; src/lib/notifications.ts; src/lib/currencies.ts</w:t>
            </w:r>
          </w:p>
        </w:tc>
      </w:tr>
    </w:tbl>
    <w:p/>
    <w:p>
      <w:pPr>
        <w:pStyle w:val="Heading3"/>
      </w:pPr>
      <w:r>
        <w:t>3.3.2  Next.js App Router Design Decisions</w:t>
      </w:r>
    </w:p>
    <w:p>
      <w:pPr>
        <w:pStyle w:val="ListBullet"/>
      </w:pPr>
      <w:r>
        <w:t>Server Components are used for all data-fetching pages (marketplace, brand profiles, order listings), eliminating client-side loading spinners and enabling immediate content-available rendering for search engine crawlers.</w:t>
      </w:r>
    </w:p>
    <w:p>
      <w:pPr>
        <w:pStyle w:val="ListBullet"/>
      </w:pPr>
      <w:r>
        <w:t>Client Components are restricted to interactive UI (notification bell, currency selector, review modal, order quantity input) where browser event listeners are required. The use='client' directive is applied only where necessary.</w:t>
      </w:r>
    </w:p>
    <w:p>
      <w:pPr>
        <w:pStyle w:val="ListBullet"/>
      </w:pPr>
      <w:r>
        <w:t>API Route Handlers replace a separate Express or Fastify server, enabling co-location of frontend and backend code in a single repository and a single Vercel deployment. All 25 handlers are stateless serverless functions.</w:t>
      </w:r>
    </w:p>
    <w:p>
      <w:pPr>
        <w:pStyle w:val="ListBullet"/>
      </w:pPr>
      <w:r>
        <w:t>Middleware (src/middleware.ts) runs at the edge before any route handler, validating the b2b_user_id cookie and redirecting unauthenticated requests to /login — providing a uniform auth gate without duplicating guard logic in every handler.</w:t>
      </w:r>
    </w:p>
    <w:p>
      <w:pPr>
        <w:pStyle w:val="ListBullet"/>
      </w:pPr>
      <w:r>
        <w:t>The @/ path alias (configured in tsconfig.json paths) enables absolute imports across all 93 source files, eliminating fragile relative path chains and simplifying refactoring.</w:t>
      </w:r>
    </w:p>
    <w:p>
      <w:pPr>
        <w:pStyle w:val="Heading2"/>
      </w:pPr>
      <w:r>
        <w:t>3.4  Activity / Process Model — Order Placement</w:t>
      </w:r>
    </w:p>
    <w:p>
      <w:pPr/>
      <w:r>
        <w:t>The activity diagram below models the decision-heavy order placement workflow, capturing all guards, error paths, and database writes that occur between a buyer initiating an order and the system returning a 201 Created response. This workflow is implemented in the POST handler of src/app/api/orders/route.ts.</w:t>
      </w:r>
    </w:p>
    <w:p>
      <w:pPr/>
      <w:r>
        <w:t>Process narrative: The buyer navigates to a brand's product page and enters an order quantity. The system first checks whether the entered quantity meets the product's minimum order quantity (MOQ). If the quantity is below the MOQ, the system displays an error (e.g., 'Minimum order quantity is N units') and the workflow terminates with no database writes. If the MOQ is satisfied, the system checks whether the requested quantity is available in stock. If the stock is insufficient the system displays a stock error and terminates. When both guards pass, the system iterates the product's bulk_pricing_tiers[] array to find the tier whose min_qty ≤ quantity ≤ max_qty and assigns that tier's price as the unit price. If no tier matches, the base product.price is used as the fallback. The system calculates the total order amount as the sum of (unit_price × quantity) across all order items. The system then performs two sequential database writes: (1) INSERT an order record with status='pending' and the computed total_amount; (2) INSERT the corresponding order_items rows. Finally, the system dispatches a 'new_order' notification to the brand owner and returns a 201 Created response with the full order object.</w:t>
      </w:r>
    </w:p>
    <w:p/>
    <w:p>
      <w:pPr>
        <w:jc w:val="center"/>
      </w:pPr>
      <w:r>
        <w:rPr>
          <w:b/>
          <w:color w:val="888888"/>
          <w:sz w:val="22"/>
        </w:rPr>
        <w:t>[ FIGURE 6 — Activity Diagram — Order Placement ]</w:t>
      </w:r>
    </w:p>
    <w:p>
      <w:pPr>
        <w:jc w:val="center"/>
      </w:pPr>
      <w:r>
        <w:rPr>
          <w:i/>
          <w:color w:val="AAAAAA"/>
          <w:sz w:val="18"/>
        </w:rPr>
        <w:t>(Insert diagram image here)</w:t>
      </w:r>
    </w:p>
    <w:p/>
    <w:p>
      <w:pPr>
        <w:pStyle w:val="Heading2"/>
      </w:pPr>
      <w:r>
        <w:t>3.5  Finite State Machine (FSM) Specifications</w:t>
      </w:r>
    </w:p>
    <w:p>
      <w:pPr/>
      <w:r>
        <w:t>Two finite state machines formally specify the permissible state transitions for the Kuwait B2B Hub's two principal lifecycle entities: orders and brand verification records. Both are modelled as Mealy machines — outputs (notifications and database writes) are associated with transitions rather than states.</w:t>
      </w:r>
    </w:p>
    <w:p>
      <w:pPr>
        <w:pStyle w:val="Heading3"/>
      </w:pPr>
      <w:r>
        <w:t>3.5.1  Order Lifecycle FSM</w:t>
      </w:r>
    </w:p>
    <w:p>
      <w:pPr/>
      <w:r>
        <w:t>States: pending (initial), approved, rejected, completed (terminal), trust_updated (silent terminal). An order is created in the pending state by the POST /api/orders handler and can only be advanced forward — no backward transitions are permitted.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Transition #</w:t>
            </w:r>
          </w:p>
        </w:tc>
        <w:tc>
          <w:tcPr>
            <w:tcW w:type="dxa" w:w="1152"/>
          </w:tcPr>
          <w:p>
            <w:r>
              <w:rPr>
                <w:b/>
              </w:rPr>
              <w:t>From State</w:t>
            </w:r>
          </w:p>
        </w:tc>
        <w:tc>
          <w:tcPr>
            <w:tcW w:type="dxa" w:w="2592"/>
          </w:tcPr>
          <w:p>
            <w:r>
              <w:rPr>
                <w:b/>
              </w:rPr>
              <w:t>Event / Trigger</w:t>
            </w:r>
          </w:p>
        </w:tc>
        <w:tc>
          <w:tcPr>
            <w:tcW w:type="dxa" w:w="1296"/>
          </w:tcPr>
          <w:p>
            <w:r>
              <w:rPr>
                <w:b/>
              </w:rPr>
              <w:t>Actor</w:t>
            </w:r>
          </w:p>
        </w:tc>
        <w:tc>
          <w:tcPr>
            <w:tcW w:type="dxa" w:w="1152"/>
          </w:tcPr>
          <w:p>
            <w:r>
              <w:rPr>
                <w:b/>
              </w:rPr>
              <w:t>To State</w:t>
            </w:r>
          </w:p>
        </w:tc>
        <w:tc>
          <w:tcPr>
            <w:tcW w:type="dxa" w:w="2304"/>
          </w:tcPr>
          <w:p>
            <w:r>
              <w:rPr>
                <w:b/>
              </w:rPr>
              <w:t>Output / Side-Effect</w:t>
            </w:r>
          </w:p>
        </w:tc>
      </w:tr>
      <w:tr>
        <w:tc>
          <w:tcPr>
            <w:tcW w:type="dxa" w:w="864"/>
          </w:tcPr>
          <w:p>
            <w:r>
              <w:t>T-01</w:t>
            </w:r>
          </w:p>
        </w:tc>
        <w:tc>
          <w:tcPr>
            <w:tcW w:type="dxa" w:w="1152"/>
          </w:tcPr>
          <w:p>
            <w:r>
              <w:t>—  (none)</w:t>
            </w:r>
          </w:p>
        </w:tc>
        <w:tc>
          <w:tcPr>
            <w:tcW w:type="dxa" w:w="2592"/>
          </w:tcPr>
          <w:p>
            <w:r>
              <w:t>POST /api/orders succeeds — buyer submits order</w:t>
            </w:r>
          </w:p>
        </w:tc>
        <w:tc>
          <w:tcPr>
            <w:tcW w:type="dxa" w:w="1296"/>
          </w:tcPr>
          <w:p>
            <w:r>
              <w:t>Buyer</w:t>
            </w:r>
          </w:p>
        </w:tc>
        <w:tc>
          <w:tcPr>
            <w:tcW w:type="dxa" w:w="1152"/>
          </w:tcPr>
          <w:p>
            <w:r>
              <w:t>pending</w:t>
            </w:r>
          </w:p>
        </w:tc>
        <w:tc>
          <w:tcPr>
            <w:tcW w:type="dxa" w:w="2304"/>
          </w:tcPr>
          <w:p>
            <w:r>
              <w:t>INSERT order + order_items; notify brand owner: 'New Order Received!'</w:t>
            </w:r>
          </w:p>
        </w:tc>
      </w:tr>
      <w:tr>
        <w:tc>
          <w:tcPr>
            <w:tcW w:type="dxa" w:w="864"/>
          </w:tcPr>
          <w:p>
            <w:r>
              <w:t>T-02</w:t>
            </w:r>
          </w:p>
        </w:tc>
        <w:tc>
          <w:tcPr>
            <w:tcW w:type="dxa" w:w="1152"/>
          </w:tcPr>
          <w:p>
            <w:r>
              <w:t>pending</w:t>
            </w:r>
          </w:p>
        </w:tc>
        <w:tc>
          <w:tcPr>
            <w:tcW w:type="dxa" w:w="2592"/>
          </w:tcPr>
          <w:p>
            <w:r>
              <w:t>PATCH /api/orders/:id {status: 'approved'}</w:t>
            </w:r>
          </w:p>
        </w:tc>
        <w:tc>
          <w:tcPr>
            <w:tcW w:type="dxa" w:w="1296"/>
          </w:tcPr>
          <w:p>
            <w:r>
              <w:t>Brand Owner</w:t>
            </w:r>
          </w:p>
        </w:tc>
        <w:tc>
          <w:tcPr>
            <w:tcW w:type="dxa" w:w="1152"/>
          </w:tcPr>
          <w:p>
            <w:r>
              <w:t>approved</w:t>
            </w:r>
          </w:p>
        </w:tc>
        <w:tc>
          <w:tcPr>
            <w:tcW w:type="dxa" w:w="2304"/>
          </w:tcPr>
          <w:p>
            <w:r>
              <w:t>UPDATE order.status; notify buyer: 'Order Approved!'</w:t>
            </w:r>
          </w:p>
        </w:tc>
      </w:tr>
      <w:tr>
        <w:tc>
          <w:tcPr>
            <w:tcW w:type="dxa" w:w="864"/>
          </w:tcPr>
          <w:p>
            <w:r>
              <w:t>T-03</w:t>
            </w:r>
          </w:p>
        </w:tc>
        <w:tc>
          <w:tcPr>
            <w:tcW w:type="dxa" w:w="1152"/>
          </w:tcPr>
          <w:p>
            <w:r>
              <w:t>pending</w:t>
            </w:r>
          </w:p>
        </w:tc>
        <w:tc>
          <w:tcPr>
            <w:tcW w:type="dxa" w:w="2592"/>
          </w:tcPr>
          <w:p>
            <w:r>
              <w:t>PATCH /api/orders/:id {status: 'rejected'}</w:t>
            </w:r>
          </w:p>
        </w:tc>
        <w:tc>
          <w:tcPr>
            <w:tcW w:type="dxa" w:w="1296"/>
          </w:tcPr>
          <w:p>
            <w:r>
              <w:t>Brand Owner</w:t>
            </w:r>
          </w:p>
        </w:tc>
        <w:tc>
          <w:tcPr>
            <w:tcW w:type="dxa" w:w="1152"/>
          </w:tcPr>
          <w:p>
            <w:r>
              <w:t>rejected</w:t>
            </w:r>
          </w:p>
        </w:tc>
        <w:tc>
          <w:tcPr>
            <w:tcW w:type="dxa" w:w="2304"/>
          </w:tcPr>
          <w:p>
            <w:r>
              <w:t>UPDATE order.status; notify buyer: 'Order Request Declined'</w:t>
            </w:r>
          </w:p>
        </w:tc>
      </w:tr>
      <w:tr>
        <w:tc>
          <w:tcPr>
            <w:tcW w:type="dxa" w:w="864"/>
          </w:tcPr>
          <w:p>
            <w:r>
              <w:t>T-04</w:t>
            </w:r>
          </w:p>
        </w:tc>
        <w:tc>
          <w:tcPr>
            <w:tcW w:type="dxa" w:w="1152"/>
          </w:tcPr>
          <w:p>
            <w:r>
              <w:t>approved</w:t>
            </w:r>
          </w:p>
        </w:tc>
        <w:tc>
          <w:tcPr>
            <w:tcW w:type="dxa" w:w="2592"/>
          </w:tcPr>
          <w:p>
            <w:r>
              <w:t>PATCH /api/orders/:id {status: 'completed'}</w:t>
            </w:r>
          </w:p>
        </w:tc>
        <w:tc>
          <w:tcPr>
            <w:tcW w:type="dxa" w:w="1296"/>
          </w:tcPr>
          <w:p>
            <w:r>
              <w:t>Brand Owner</w:t>
            </w:r>
          </w:p>
        </w:tc>
        <w:tc>
          <w:tcPr>
            <w:tcW w:type="dxa" w:w="1152"/>
          </w:tcPr>
          <w:p>
            <w:r>
              <w:t>completed</w:t>
            </w:r>
          </w:p>
        </w:tc>
        <w:tc>
          <w:tcPr>
            <w:tcW w:type="dxa" w:w="2304"/>
          </w:tcPr>
          <w:p>
            <w:r>
              <w:t>UPDATE order.status; notify buyer: 'Order Fulfilled! — leave a review?'</w:t>
            </w:r>
          </w:p>
        </w:tc>
      </w:tr>
      <w:tr>
        <w:tc>
          <w:tcPr>
            <w:tcW w:type="dxa" w:w="864"/>
          </w:tcPr>
          <w:p>
            <w:r>
              <w:t>T-05</w:t>
            </w:r>
          </w:p>
        </w:tc>
        <w:tc>
          <w:tcPr>
            <w:tcW w:type="dxa" w:w="1152"/>
          </w:tcPr>
          <w:p>
            <w:r>
              <w:t>approved</w:t>
            </w:r>
          </w:p>
        </w:tc>
        <w:tc>
          <w:tcPr>
            <w:tcW w:type="dxa" w:w="2592"/>
          </w:tcPr>
          <w:p>
            <w:r>
              <w:t>PATCH /api/orders/:id {status: 'rejected'} by admin</w:t>
            </w:r>
          </w:p>
        </w:tc>
        <w:tc>
          <w:tcPr>
            <w:tcW w:type="dxa" w:w="1296"/>
          </w:tcPr>
          <w:p>
            <w:r>
              <w:t>Admin</w:t>
            </w:r>
          </w:p>
        </w:tc>
        <w:tc>
          <w:tcPr>
            <w:tcW w:type="dxa" w:w="1152"/>
          </w:tcPr>
          <w:p>
            <w:r>
              <w:t>rejected</w:t>
            </w:r>
          </w:p>
        </w:tc>
        <w:tc>
          <w:tcPr>
            <w:tcW w:type="dxa" w:w="2304"/>
          </w:tcPr>
          <w:p>
            <w:r>
              <w:t>UPDATE order.status; notify buyer: 'Order Request Declined' (admin override)</w:t>
            </w:r>
          </w:p>
        </w:tc>
      </w:tr>
      <w:tr>
        <w:tc>
          <w:tcPr>
            <w:tcW w:type="dxa" w:w="864"/>
          </w:tcPr>
          <w:p>
            <w:r>
              <w:t>T-06</w:t>
            </w:r>
          </w:p>
        </w:tc>
        <w:tc>
          <w:tcPr>
            <w:tcW w:type="dxa" w:w="1152"/>
          </w:tcPr>
          <w:p>
            <w:r>
              <w:t>pending</w:t>
            </w:r>
          </w:p>
        </w:tc>
        <w:tc>
          <w:tcPr>
            <w:tcW w:type="dxa" w:w="2592"/>
          </w:tcPr>
          <w:p>
            <w:r>
              <w:t>GET /api/orders/:id — admin reviews order</w:t>
            </w:r>
          </w:p>
        </w:tc>
        <w:tc>
          <w:tcPr>
            <w:tcW w:type="dxa" w:w="1296"/>
          </w:tcPr>
          <w:p>
            <w:r>
              <w:t>Admin</w:t>
            </w:r>
          </w:p>
        </w:tc>
        <w:tc>
          <w:tcPr>
            <w:tcW w:type="dxa" w:w="1152"/>
          </w:tcPr>
          <w:p>
            <w:r>
              <w:t>pending</w:t>
            </w:r>
          </w:p>
        </w:tc>
        <w:tc>
          <w:tcPr>
            <w:tcW w:type="dxa" w:w="2304"/>
          </w:tcPr>
          <w:p>
            <w:r>
              <w:t>Read-only; no state change; no notification</w:t>
            </w:r>
          </w:p>
        </w:tc>
      </w:tr>
      <w:tr>
        <w:tc>
          <w:tcPr>
            <w:tcW w:type="dxa" w:w="864"/>
          </w:tcPr>
          <w:p>
            <w:r>
              <w:t>T-07</w:t>
            </w:r>
          </w:p>
        </w:tc>
        <w:tc>
          <w:tcPr>
            <w:tcW w:type="dxa" w:w="1152"/>
          </w:tcPr>
          <w:p>
            <w:r>
              <w:t>approved</w:t>
            </w:r>
          </w:p>
        </w:tc>
        <w:tc>
          <w:tcPr>
            <w:tcW w:type="dxa" w:w="2592"/>
          </w:tcPr>
          <w:p>
            <w:r>
              <w:t>GET /api/orders/:id — brand owner views item detail</w:t>
            </w:r>
          </w:p>
        </w:tc>
        <w:tc>
          <w:tcPr>
            <w:tcW w:type="dxa" w:w="1296"/>
          </w:tcPr>
          <w:p>
            <w:r>
              <w:t>Brand Owner</w:t>
            </w:r>
          </w:p>
        </w:tc>
        <w:tc>
          <w:tcPr>
            <w:tcW w:type="dxa" w:w="1152"/>
          </w:tcPr>
          <w:p>
            <w:r>
              <w:t>approved</w:t>
            </w:r>
          </w:p>
        </w:tc>
        <w:tc>
          <w:tcPr>
            <w:tcW w:type="dxa" w:w="2304"/>
          </w:tcPr>
          <w:p>
            <w:r>
              <w:t>Read-only; no state change; no notification</w:t>
            </w:r>
          </w:p>
        </w:tc>
      </w:tr>
      <w:tr>
        <w:tc>
          <w:tcPr>
            <w:tcW w:type="dxa" w:w="864"/>
          </w:tcPr>
          <w:p>
            <w:r>
              <w:t>T-08</w:t>
            </w:r>
          </w:p>
        </w:tc>
        <w:tc>
          <w:tcPr>
            <w:tcW w:type="dxa" w:w="1152"/>
          </w:tcPr>
          <w:p>
            <w:r>
              <w:t>rejected</w:t>
            </w:r>
          </w:p>
        </w:tc>
        <w:tc>
          <w:tcPr>
            <w:tcW w:type="dxa" w:w="2592"/>
          </w:tcPr>
          <w:p>
            <w:r>
              <w:t>GET /api/orders/:id — buyer views outcome</w:t>
            </w:r>
          </w:p>
        </w:tc>
        <w:tc>
          <w:tcPr>
            <w:tcW w:type="dxa" w:w="1296"/>
          </w:tcPr>
          <w:p>
            <w:r>
              <w:t>Buyer</w:t>
            </w:r>
          </w:p>
        </w:tc>
        <w:tc>
          <w:tcPr>
            <w:tcW w:type="dxa" w:w="1152"/>
          </w:tcPr>
          <w:p>
            <w:r>
              <w:t>rejected</w:t>
            </w:r>
          </w:p>
        </w:tc>
        <w:tc>
          <w:tcPr>
            <w:tcW w:type="dxa" w:w="2304"/>
          </w:tcPr>
          <w:p>
            <w:r>
              <w:t>Read-only; no state change; no notification</w:t>
            </w:r>
          </w:p>
        </w:tc>
      </w:tr>
      <w:tr>
        <w:tc>
          <w:tcPr>
            <w:tcW w:type="dxa" w:w="864"/>
          </w:tcPr>
          <w:p>
            <w:r>
              <w:t>T-09</w:t>
            </w:r>
          </w:p>
        </w:tc>
        <w:tc>
          <w:tcPr>
            <w:tcW w:type="dxa" w:w="1152"/>
          </w:tcPr>
          <w:p>
            <w:r>
              <w:t>completed</w:t>
            </w:r>
          </w:p>
        </w:tc>
        <w:tc>
          <w:tcPr>
            <w:tcW w:type="dxa" w:w="2592"/>
          </w:tcPr>
          <w:p>
            <w:r>
              <w:t>POST /api/reviews — buyer submits a review</w:t>
            </w:r>
          </w:p>
        </w:tc>
        <w:tc>
          <w:tcPr>
            <w:tcW w:type="dxa" w:w="1296"/>
          </w:tcPr>
          <w:p>
            <w:r>
              <w:t>Buyer</w:t>
            </w:r>
          </w:p>
        </w:tc>
        <w:tc>
          <w:tcPr>
            <w:tcW w:type="dxa" w:w="1152"/>
          </w:tcPr>
          <w:p>
            <w:r>
              <w:t>completed</w:t>
            </w:r>
          </w:p>
        </w:tc>
        <w:tc>
          <w:tcPr>
            <w:tcW w:type="dxa" w:w="2304"/>
          </w:tcPr>
          <w:p>
            <w:r>
              <w:t>Review record created; notify brand owner: 'New Review Posted'</w:t>
            </w:r>
          </w:p>
        </w:tc>
      </w:tr>
      <w:tr>
        <w:tc>
          <w:tcPr>
            <w:tcW w:type="dxa" w:w="864"/>
          </w:tcPr>
          <w:p>
            <w:r>
              <w:t>T-10</w:t>
            </w:r>
          </w:p>
        </w:tc>
        <w:tc>
          <w:tcPr>
            <w:tcW w:type="dxa" w:w="1152"/>
          </w:tcPr>
          <w:p>
            <w:r>
              <w:t>completed</w:t>
            </w:r>
          </w:p>
        </w:tc>
        <w:tc>
          <w:tcPr>
            <w:tcW w:type="dxa" w:w="2592"/>
          </w:tcPr>
          <w:p>
            <w:r>
              <w:t>GET /api/trust/:id — trust recalculation triggered</w:t>
            </w:r>
          </w:p>
        </w:tc>
        <w:tc>
          <w:tcPr>
            <w:tcW w:type="dxa" w:w="1296"/>
          </w:tcPr>
          <w:p>
            <w:r>
              <w:t>System</w:t>
            </w:r>
          </w:p>
        </w:tc>
        <w:tc>
          <w:tcPr>
            <w:tcW w:type="dxa" w:w="1152"/>
          </w:tcPr>
          <w:p>
            <w:r>
              <w:t>trust_updated</w:t>
            </w:r>
          </w:p>
        </w:tc>
        <w:tc>
          <w:tcPr>
            <w:tcW w:type="dxa" w:w="2304"/>
          </w:tcPr>
          <w:p>
            <w:r>
              <w:t>BrandTrust.completion_rate and BuyerTrust metrics recomputed and persisted</w:t>
            </w:r>
          </w:p>
        </w:tc>
      </w:tr>
      <w:tr>
        <w:tc>
          <w:tcPr>
            <w:tcW w:type="dxa" w:w="864"/>
          </w:tcPr>
          <w:p>
            <w:r>
              <w:t>T-11</w:t>
            </w:r>
          </w:p>
        </w:tc>
        <w:tc>
          <w:tcPr>
            <w:tcW w:type="dxa" w:w="1152"/>
          </w:tcPr>
          <w:p>
            <w:r>
              <w:t>rejected</w:t>
            </w:r>
          </w:p>
        </w:tc>
        <w:tc>
          <w:tcPr>
            <w:tcW w:type="dxa" w:w="2592"/>
          </w:tcPr>
          <w:p>
            <w:r>
              <w:t>GET /api/trust/:id — trust recalculation triggered</w:t>
            </w:r>
          </w:p>
        </w:tc>
        <w:tc>
          <w:tcPr>
            <w:tcW w:type="dxa" w:w="1296"/>
          </w:tcPr>
          <w:p>
            <w:r>
              <w:t>System</w:t>
            </w:r>
          </w:p>
        </w:tc>
        <w:tc>
          <w:tcPr>
            <w:tcW w:type="dxa" w:w="1152"/>
          </w:tcPr>
          <w:p>
            <w:r>
              <w:t>trust_updated</w:t>
            </w:r>
          </w:p>
        </w:tc>
        <w:tc>
          <w:tcPr>
            <w:tcW w:type="dxa" w:w="2304"/>
          </w:tcPr>
          <w:p>
            <w:r>
              <w:t>BuyerTrust.cancellation_rate incremented; BrandTrust response metrics updated</w:t>
            </w:r>
          </w:p>
        </w:tc>
      </w:tr>
    </w:tbl>
    <w:p/>
    <w:p>
      <w:pPr>
        <w:pStyle w:val="Heading3"/>
      </w:pPr>
      <w:r>
        <w:t>3.5.2  Brand Verification FSM</w:t>
      </w:r>
    </w:p>
    <w:p>
      <w:pPr/>
      <w:r>
        <w:t>States: pending (initial), approved, rejected, tier_updated (sub-state of approved). The brand FSM governs the administrative approval lifecycle from registration through to marketplace visibility.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936"/>
          </w:tcPr>
          <w:p>
            <w:r>
              <w:rPr>
                <w:b/>
              </w:rPr>
              <w:t>Transition #</w:t>
            </w:r>
          </w:p>
        </w:tc>
        <w:tc>
          <w:tcPr>
            <w:tcW w:type="dxa" w:w="1296"/>
          </w:tcPr>
          <w:p>
            <w:r>
              <w:rPr>
                <w:b/>
              </w:rPr>
              <w:t>From State</w:t>
            </w:r>
          </w:p>
        </w:tc>
        <w:tc>
          <w:tcPr>
            <w:tcW w:type="dxa" w:w="2664"/>
          </w:tcPr>
          <w:p>
            <w:r>
              <w:rPr>
                <w:b/>
              </w:rPr>
              <w:t>Event / Trigger</w:t>
            </w:r>
          </w:p>
        </w:tc>
        <w:tc>
          <w:tcPr>
            <w:tcW w:type="dxa" w:w="1296"/>
          </w:tcPr>
          <w:p>
            <w:r>
              <w:rPr>
                <w:b/>
              </w:rPr>
              <w:t>Actor</w:t>
            </w:r>
          </w:p>
        </w:tc>
        <w:tc>
          <w:tcPr>
            <w:tcW w:type="dxa" w:w="1296"/>
          </w:tcPr>
          <w:p>
            <w:r>
              <w:rPr>
                <w:b/>
              </w:rPr>
              <w:t>To State</w:t>
            </w:r>
          </w:p>
        </w:tc>
        <w:tc>
          <w:tcPr>
            <w:tcW w:type="dxa" w:w="1872"/>
          </w:tcPr>
          <w:p>
            <w:r>
              <w:rPr>
                <w:b/>
              </w:rPr>
              <w:t>Output / Side-Effect</w:t>
            </w:r>
          </w:p>
        </w:tc>
      </w:tr>
      <w:tr>
        <w:tc>
          <w:tcPr>
            <w:tcW w:type="dxa" w:w="936"/>
          </w:tcPr>
          <w:p>
            <w:r>
              <w:t>BV-01</w:t>
            </w:r>
          </w:p>
        </w:tc>
        <w:tc>
          <w:tcPr>
            <w:tcW w:type="dxa" w:w="1296"/>
          </w:tcPr>
          <w:p>
            <w:r>
              <w:t>—  (none)</w:t>
            </w:r>
          </w:p>
        </w:tc>
        <w:tc>
          <w:tcPr>
            <w:tcW w:type="dxa" w:w="2664"/>
          </w:tcPr>
          <w:p>
            <w:r>
              <w:t>Brand owner registers → F-006 auto-creates brand</w:t>
            </w:r>
          </w:p>
        </w:tc>
        <w:tc>
          <w:tcPr>
            <w:tcW w:type="dxa" w:w="1296"/>
          </w:tcPr>
          <w:p>
            <w:r>
              <w:t>Brand Owner</w:t>
            </w:r>
          </w:p>
        </w:tc>
        <w:tc>
          <w:tcPr>
            <w:tcW w:type="dxa" w:w="1296"/>
          </w:tcPr>
          <w:p>
            <w:r>
              <w:t>pending</w:t>
            </w:r>
          </w:p>
        </w:tc>
        <w:tc>
          <w:tcPr>
            <w:tcW w:type="dxa" w:w="1872"/>
          </w:tcPr>
          <w:p>
            <w:r>
              <w:t>INSERT brand {status: 'pending'}; notify all admins: 'New Brand Awaiting Approval'</w:t>
            </w:r>
          </w:p>
        </w:tc>
      </w:tr>
      <w:tr>
        <w:tc>
          <w:tcPr>
            <w:tcW w:type="dxa" w:w="936"/>
          </w:tcPr>
          <w:p>
            <w:r>
              <w:t>BV-02</w:t>
            </w:r>
          </w:p>
        </w:tc>
        <w:tc>
          <w:tcPr>
            <w:tcW w:type="dxa" w:w="1296"/>
          </w:tcPr>
          <w:p>
            <w:r>
              <w:t>pending</w:t>
            </w:r>
          </w:p>
        </w:tc>
        <w:tc>
          <w:tcPr>
            <w:tcW w:type="dxa" w:w="2664"/>
          </w:tcPr>
          <w:p>
            <w:r>
              <w:t>PATCH /api/admin/brands/:id {status: 'approved'}</w:t>
            </w:r>
          </w:p>
        </w:tc>
        <w:tc>
          <w:tcPr>
            <w:tcW w:type="dxa" w:w="1296"/>
          </w:tcPr>
          <w:p>
            <w:r>
              <w:t>Admin</w:t>
            </w:r>
          </w:p>
        </w:tc>
        <w:tc>
          <w:tcPr>
            <w:tcW w:type="dxa" w:w="1296"/>
          </w:tcPr>
          <w:p>
            <w:r>
              <w:t>approved</w:t>
            </w:r>
          </w:p>
        </w:tc>
        <w:tc>
          <w:tcPr>
            <w:tcW w:type="dxa" w:w="1872"/>
          </w:tcPr>
          <w:p>
            <w:r>
              <w:t>UPDATE brand.status + owner.verification_status = 'approved'; notify brand owner: 'Your Brand is Now Live!'; notify all buyers: 'New Brand on the Platform'</w:t>
            </w:r>
          </w:p>
        </w:tc>
      </w:tr>
      <w:tr>
        <w:tc>
          <w:tcPr>
            <w:tcW w:type="dxa" w:w="936"/>
          </w:tcPr>
          <w:p>
            <w:r>
              <w:t>BV-03</w:t>
            </w:r>
          </w:p>
        </w:tc>
        <w:tc>
          <w:tcPr>
            <w:tcW w:type="dxa" w:w="1296"/>
          </w:tcPr>
          <w:p>
            <w:r>
              <w:t>pending</w:t>
            </w:r>
          </w:p>
        </w:tc>
        <w:tc>
          <w:tcPr>
            <w:tcW w:type="dxa" w:w="2664"/>
          </w:tcPr>
          <w:p>
            <w:r>
              <w:t>PATCH /api/admin/brands/:id {status: 'rejected'}</w:t>
            </w:r>
          </w:p>
        </w:tc>
        <w:tc>
          <w:tcPr>
            <w:tcW w:type="dxa" w:w="1296"/>
          </w:tcPr>
          <w:p>
            <w:r>
              <w:t>Admin</w:t>
            </w:r>
          </w:p>
        </w:tc>
        <w:tc>
          <w:tcPr>
            <w:tcW w:type="dxa" w:w="1296"/>
          </w:tcPr>
          <w:p>
            <w:r>
              <w:t>rejected</w:t>
            </w:r>
          </w:p>
        </w:tc>
        <w:tc>
          <w:tcPr>
            <w:tcW w:type="dxa" w:w="1872"/>
          </w:tcPr>
          <w:p>
            <w:r>
              <w:t>UPDATE brand.status + owner.verification_status = 'rejected'; notify brand owner: 'Brand Verification Update — not approved'; buyers NOT notified</w:t>
            </w:r>
          </w:p>
        </w:tc>
      </w:tr>
      <w:tr>
        <w:tc>
          <w:tcPr>
            <w:tcW w:type="dxa" w:w="936"/>
          </w:tcPr>
          <w:p>
            <w:r>
              <w:t>BV-04</w:t>
            </w:r>
          </w:p>
        </w:tc>
        <w:tc>
          <w:tcPr>
            <w:tcW w:type="dxa" w:w="1296"/>
          </w:tcPr>
          <w:p>
            <w:r>
              <w:t>approved</w:t>
            </w:r>
          </w:p>
        </w:tc>
        <w:tc>
          <w:tcPr>
            <w:tcW w:type="dxa" w:w="2664"/>
          </w:tcPr>
          <w:p>
            <w:r>
              <w:t>PATCH /api/admin/brands/:id {verification_tier: 'premium' | 'verified' | 'new'}</w:t>
            </w:r>
          </w:p>
        </w:tc>
        <w:tc>
          <w:tcPr>
            <w:tcW w:type="dxa" w:w="1296"/>
          </w:tcPr>
          <w:p>
            <w:r>
              <w:t>Admin</w:t>
            </w:r>
          </w:p>
        </w:tc>
        <w:tc>
          <w:tcPr>
            <w:tcW w:type="dxa" w:w="1296"/>
          </w:tcPr>
          <w:p>
            <w:r>
              <w:t>tier_updated</w:t>
            </w:r>
          </w:p>
        </w:tc>
        <w:tc>
          <w:tcPr>
            <w:tcW w:type="dxa" w:w="1872"/>
          </w:tcPr>
          <w:p>
            <w:r>
              <w:t>Fresh DB read → UPDATE brand.verification_tier; badge UI updated on all brand cards and profile pages; no buyer notification</w:t>
            </w:r>
          </w:p>
        </w:tc>
      </w:tr>
      <w:tr>
        <w:tc>
          <w:tcPr>
            <w:tcW w:type="dxa" w:w="936"/>
          </w:tcPr>
          <w:p>
            <w:r>
              <w:t>BV-05</w:t>
            </w:r>
          </w:p>
        </w:tc>
        <w:tc>
          <w:tcPr>
            <w:tcW w:type="dxa" w:w="1296"/>
          </w:tcPr>
          <w:p>
            <w:r>
              <w:t>approved</w:t>
            </w:r>
          </w:p>
        </w:tc>
        <w:tc>
          <w:tcPr>
            <w:tcW w:type="dxa" w:w="2664"/>
          </w:tcPr>
          <w:p>
            <w:r>
              <w:t>Brand owner updates profile via PATCH /api/brands/:id</w:t>
            </w:r>
          </w:p>
        </w:tc>
        <w:tc>
          <w:tcPr>
            <w:tcW w:type="dxa" w:w="1296"/>
          </w:tcPr>
          <w:p>
            <w:r>
              <w:t>Brand Owner</w:t>
            </w:r>
          </w:p>
        </w:tc>
        <w:tc>
          <w:tcPr>
            <w:tcW w:type="dxa" w:w="1296"/>
          </w:tcPr>
          <w:p>
            <w:r>
              <w:t>approved</w:t>
            </w:r>
          </w:p>
        </w:tc>
        <w:tc>
          <w:tcPr>
            <w:tcW w:type="dxa" w:w="1872"/>
          </w:tcPr>
          <w:p>
            <w:r>
              <w:t>UPDATE brand fields (name, description, logo_url, whatsapp_number, business_hours, auto_reply_message); no status change; no notification</w:t>
            </w:r>
          </w:p>
        </w:tc>
      </w:tr>
    </w:tbl>
    <w:p/>
    <w:p>
      <w:pPr>
        <w:pStyle w:val="Heading2"/>
      </w:pPr>
      <w:r>
        <w:t>3.6  Component / Unit Design</w:t>
      </w:r>
    </w:p>
    <w:p>
      <w:pPr/>
      <w:r>
        <w:t>The following six components constitute the core non-UI technical units of the Kuwait B2B Hub. Each is a discrete module with a defined public interface consumed by multiple callers. Their design directly shapes the maintainability and testability of the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872"/>
          </w:tcPr>
          <w:p>
            <w:r>
              <w:rPr>
                <w:b/>
              </w:rPr>
              <w:t>File</w:t>
            </w:r>
          </w:p>
        </w:tc>
        <w:tc>
          <w:tcPr>
            <w:tcW w:type="dxa" w:w="2160"/>
          </w:tcPr>
          <w:p>
            <w:r>
              <w:rPr>
                <w:b/>
              </w:rPr>
              <w:t>Public Interface</w:t>
            </w:r>
          </w:p>
        </w:tc>
        <w:tc>
          <w:tcPr>
            <w:tcW w:type="dxa" w:w="1872"/>
          </w:tcPr>
          <w:p>
            <w:r>
              <w:rPr>
                <w:b/>
              </w:rPr>
              <w:t>Callers</w:t>
            </w:r>
          </w:p>
        </w:tc>
        <w:tc>
          <w:tcPr>
            <w:tcW w:type="dxa" w:w="3168"/>
          </w:tcPr>
          <w:p>
            <w:r>
              <w:rPr>
                <w:b/>
              </w:rPr>
              <w:t>Responsibility</w:t>
            </w:r>
          </w:p>
        </w:tc>
      </w:tr>
      <w:tr>
        <w:tc>
          <w:tcPr>
            <w:tcW w:type="dxa" w:w="1728"/>
          </w:tcPr>
          <w:p>
            <w:r>
              <w:t>Auth Resolver</w:t>
            </w:r>
          </w:p>
        </w:tc>
        <w:tc>
          <w:tcPr>
            <w:tcW w:type="dxa" w:w="1872"/>
          </w:tcPr>
          <w:p>
            <w:r>
              <w:t>src/lib/auth.ts</w:t>
            </w:r>
          </w:p>
        </w:tc>
        <w:tc>
          <w:tcPr>
            <w:tcW w:type="dxa" w:w="2160"/>
          </w:tcPr>
          <w:p>
            <w:r>
              <w:t>getCurrentUser(): Promise&lt;User | null&gt;</w:t>
            </w:r>
          </w:p>
        </w:tc>
        <w:tc>
          <w:tcPr>
            <w:tcW w:type="dxa" w:w="1872"/>
          </w:tcPr>
          <w:p>
            <w:r>
              <w:t>All 25 API route handlers (first call in every handler body)</w:t>
            </w:r>
          </w:p>
        </w:tc>
        <w:tc>
          <w:tcPr>
            <w:tcW w:type="dxa" w:w="3168"/>
          </w:tcPr>
          <w:p>
            <w:r>
              <w:t>Resolves Supabase JWT session to a full User profile from the database. Returns null if session is missing, expired, or the user record cannot be found. All protected routes treat a null return as HTTP 401.</w:t>
            </w:r>
          </w:p>
        </w:tc>
      </w:tr>
      <w:tr>
        <w:tc>
          <w:tcPr>
            <w:tcW w:type="dxa" w:w="1728"/>
          </w:tcPr>
          <w:p>
            <w:r>
              <w:t>Data Access Module</w:t>
            </w:r>
          </w:p>
        </w:tc>
        <w:tc>
          <w:tcPr>
            <w:tcW w:type="dxa" w:w="1872"/>
          </w:tcPr>
          <w:p>
            <w:r>
              <w:t>src/lib/db.ts</w:t>
            </w:r>
          </w:p>
        </w:tc>
        <w:tc>
          <w:tcPr>
            <w:tcW w:type="dxa" w:w="2160"/>
          </w:tcPr>
          <w:p>
            <w:r>
              <w:t>readDB(): DB; writeDB(db: DB): void; generateId(prefix: string): string</w:t>
            </w:r>
          </w:p>
        </w:tc>
        <w:tc>
          <w:tcPr>
            <w:tcW w:type="dxa" w:w="1872"/>
          </w:tcPr>
          <w:p>
            <w:r>
              <w:t>All API route handlers; Trust Engine</w:t>
            </w:r>
          </w:p>
        </w:tc>
        <w:tc>
          <w:tcPr>
            <w:tcW w:type="dxa" w:w="3168"/>
          </w:tcPr>
          <w:p>
            <w:r>
              <w:t>Single source of truth for all database reads and writes in the MVP. The readDB / writeDB abstraction decouples API handlers from the storage implementation, enabling the PostgreSQL migration without handler changes.</w:t>
            </w:r>
          </w:p>
        </w:tc>
      </w:tr>
      <w:tr>
        <w:tc>
          <w:tcPr>
            <w:tcW w:type="dxa" w:w="1728"/>
          </w:tcPr>
          <w:p>
            <w:r>
              <w:t>Notification Service</w:t>
            </w:r>
          </w:p>
        </w:tc>
        <w:tc>
          <w:tcPr>
            <w:tcW w:type="dxa" w:w="1872"/>
          </w:tcPr>
          <w:p>
            <w:r>
              <w:t>src/lib/notifications.ts</w:t>
            </w:r>
          </w:p>
        </w:tc>
        <w:tc>
          <w:tcPr>
            <w:tcW w:type="dxa" w:w="2160"/>
          </w:tcPr>
          <w:p>
            <w:r>
              <w:t>createNotification(userId, type, title, body, actionUrl): void; createNotificationForMany(userIds[], ...): void</w:t>
            </w:r>
          </w:p>
        </w:tc>
        <w:tc>
          <w:tcPr>
            <w:tcW w:type="dxa" w:w="1872"/>
          </w:tcPr>
          <w:p>
            <w:r>
              <w:t>All state-changing API route handlers (orders, brands, reviews, auth)</w:t>
            </w:r>
          </w:p>
        </w:tc>
        <w:tc>
          <w:tcPr>
            <w:tcW w:type="dxa" w:w="3168"/>
          </w:tcPr>
          <w:p>
            <w:r>
              <w:t>Constructs and persists notification records for targeted users or user groups. Abstracts the notification creation pattern used in all 10 system event types.</w:t>
            </w:r>
          </w:p>
        </w:tc>
      </w:tr>
      <w:tr>
        <w:tc>
          <w:tcPr>
            <w:tcW w:type="dxa" w:w="1728"/>
          </w:tcPr>
          <w:p>
            <w:r>
              <w:t>Currency Module</w:t>
            </w:r>
          </w:p>
        </w:tc>
        <w:tc>
          <w:tcPr>
            <w:tcW w:type="dxa" w:w="1872"/>
          </w:tcPr>
          <w:p>
            <w:r>
              <w:t>src/lib/currencies.ts</w:t>
            </w:r>
          </w:p>
        </w:tc>
        <w:tc>
          <w:tcPr>
            <w:tcW w:type="dxa" w:w="2160"/>
          </w:tcPr>
          <w:p>
            <w:r>
              <w:t>CURRENCIES: Record&lt;string, CurrencyConfig&gt;; formatCurrency(amount, code): string</w:t>
            </w:r>
          </w:p>
        </w:tc>
        <w:tc>
          <w:tcPr>
            <w:tcW w:type="dxa" w:w="1872"/>
          </w:tcPr>
          <w:p>
            <w:r>
              <w:t>CurrencyContext.tsx; CurrencySelector.tsx; Exchange-rate API handler; all price-rendering components</w:t>
            </w:r>
          </w:p>
        </w:tc>
        <w:tc>
          <w:tcPr>
            <w:tcW w:type="dxa" w:w="3168"/>
          </w:tcPr>
          <w:p>
            <w:r>
              <w:t>Single source of truth for all GCC currency configuration: ISO codes, display symbols, decimal precision, VAT rates, locale strings, and phone prefixes. Consumed by every component that formats or converts monetary values.</w:t>
            </w:r>
          </w:p>
        </w:tc>
      </w:tr>
      <w:tr>
        <w:tc>
          <w:tcPr>
            <w:tcW w:type="dxa" w:w="1728"/>
          </w:tcPr>
          <w:p>
            <w:r>
              <w:t>Notification Store</w:t>
            </w:r>
          </w:p>
        </w:tc>
        <w:tc>
          <w:tcPr>
            <w:tcW w:type="dxa" w:w="1872"/>
          </w:tcPr>
          <w:p>
            <w:r>
              <w:t>src/store/notificationStore.ts</w:t>
            </w:r>
          </w:p>
        </w:tc>
        <w:tc>
          <w:tcPr>
            <w:tcW w:type="dxa" w:w="2160"/>
          </w:tcPr>
          <w:p>
            <w:r>
              <w:t>useNotificationStore(): { notifications, unreadCount, setNotifications, markRead }</w:t>
            </w:r>
          </w:p>
        </w:tc>
        <w:tc>
          <w:tcPr>
            <w:tcW w:type="dxa" w:w="1872"/>
          </w:tcPr>
          <w:p>
            <w:r>
              <w:t>NotificationBell.tsx; RealtimeProvider.tsx</w:t>
            </w:r>
          </w:p>
        </w:tc>
        <w:tc>
          <w:tcPr>
            <w:tcW w:type="dxa" w:w="3168"/>
          </w:tcPr>
          <w:p>
            <w:r>
              <w:t>Zustand-powered client-side store for notification state. Maintains the unread count badge, the notification panel list, and the markRead action. Designed to accept data from either a REST poll or a future Supabase Realtime subscription.</w:t>
            </w:r>
          </w:p>
        </w:tc>
      </w:tr>
      <w:tr>
        <w:tc>
          <w:tcPr>
            <w:tcW w:type="dxa" w:w="1728"/>
          </w:tcPr>
          <w:p>
            <w:r>
              <w:t>Supabase Server Client Factory</w:t>
            </w:r>
          </w:p>
        </w:tc>
        <w:tc>
          <w:tcPr>
            <w:tcW w:type="dxa" w:w="1872"/>
          </w:tcPr>
          <w:p>
            <w:r>
              <w:t>src/utils/supabase/server.ts</w:t>
            </w:r>
          </w:p>
        </w:tc>
        <w:tc>
          <w:tcPr>
            <w:tcW w:type="dxa" w:w="2160"/>
          </w:tcPr>
          <w:p>
            <w:r>
              <w:t>createClient(): Promise&lt;SupabaseClient&gt;</w:t>
            </w:r>
          </w:p>
        </w:tc>
        <w:tc>
          <w:tcPr>
            <w:tcW w:type="dxa" w:w="1872"/>
          </w:tcPr>
          <w:p>
            <w:r>
              <w:t>src/lib/auth.ts; any server-side code requiring an authenticated DB connection</w:t>
            </w:r>
          </w:p>
        </w:tc>
        <w:tc>
          <w:tcPr>
            <w:tcW w:type="dxa" w:w="3168"/>
          </w:tcPr>
          <w:p>
            <w:r>
              <w:t>Creates a server-side Supabase client using the @supabase/ssr package, reading and writing session tokens exclusively through Next.js cookies(). Ensures auth state is scoped to the server request context and never exposed to client-side JavaScript. Foundational security primitive of the entire backend layer.</w:t>
            </w:r>
          </w:p>
        </w:tc>
      </w:tr>
    </w:tbl>
    <w:p/>
    <w:p>
      <w:pPr>
        <w:pStyle w:val="Heading2"/>
      </w:pPr>
      <w:r>
        <w:t>3.7  Class Diagram — Core Entity Model</w:t>
      </w:r>
    </w:p>
    <w:p>
      <w:pPr/>
      <w:r>
        <w:t>The class diagram is derived directly from the TypeScript interface definitions in src/lib/db.ts — the authoritative data contract for all ten entity types in the Kuwait B2B Hub. The table below enumerates each class, its attributes, and its key associations. Optional fields (marked with ? in TypeScript) are noted in the Attributes column. Figure 7 shows the rendered UML class diagram.</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Class</w:t>
            </w:r>
          </w:p>
        </w:tc>
        <w:tc>
          <w:tcPr>
            <w:tcW w:type="dxa" w:w="3600"/>
          </w:tcPr>
          <w:p>
            <w:r>
              <w:rPr>
                <w:b/>
              </w:rPr>
              <w:t>Attributes</w:t>
            </w:r>
          </w:p>
        </w:tc>
        <w:tc>
          <w:tcPr>
            <w:tcW w:type="dxa" w:w="2592"/>
          </w:tcPr>
          <w:p>
            <w:r>
              <w:rPr>
                <w:b/>
              </w:rPr>
              <w:t>Key Associations</w:t>
            </w:r>
          </w:p>
        </w:tc>
        <w:tc>
          <w:tcPr>
            <w:tcW w:type="dxa" w:w="1440"/>
          </w:tcPr>
          <w:p>
            <w:r>
              <w:rPr>
                <w:b/>
              </w:rPr>
              <w:t>Notes</w:t>
            </w:r>
          </w:p>
        </w:tc>
      </w:tr>
      <w:tr>
        <w:tc>
          <w:tcPr>
            <w:tcW w:type="dxa" w:w="1728"/>
          </w:tcPr>
          <w:p>
            <w:r>
              <w:t>User</w:t>
            </w:r>
          </w:p>
        </w:tc>
        <w:tc>
          <w:tcPr>
            <w:tcW w:type="dxa" w:w="3600"/>
          </w:tcPr>
          <w:p>
            <w:r>
              <w:t>id: String; name: String; email: String; password: String; role: String; company_name: String; verification_status: String; whatsapp_number?: String; created_at: String</w:t>
            </w:r>
          </w:p>
        </w:tc>
        <w:tc>
          <w:tcPr>
            <w:tcW w:type="dxa" w:w="2592"/>
          </w:tcPr>
          <w:p>
            <w:r>
              <w:t>1 User owns 0..1 Brand (via owner_id); 1 User places 0..* Orders (via buyer_id); 1 User writes 0..* Reviews (via buyer_id); 1 User receives 0..* Notifications (via user_id)</w:t>
            </w:r>
          </w:p>
        </w:tc>
        <w:tc>
          <w:tcPr>
            <w:tcW w:type="dxa" w:w="1440"/>
          </w:tcPr>
          <w:p>
            <w:r>
              <w:t>role ∈ {admin, brand_owner, buyer}; verification_status ∈ {pending, approved, rejected}</w:t>
            </w:r>
          </w:p>
        </w:tc>
      </w:tr>
      <w:tr>
        <w:tc>
          <w:tcPr>
            <w:tcW w:type="dxa" w:w="1728"/>
          </w:tcPr>
          <w:p>
            <w:r>
              <w:t>Brand</w:t>
            </w:r>
          </w:p>
        </w:tc>
        <w:tc>
          <w:tcPr>
            <w:tcW w:type="dxa" w:w="3600"/>
          </w:tcPr>
          <w:p>
            <w:r>
              <w:t>id: String; owner_id: String; brand_name: String; description: String; logo_url: String; status: String; verification_tier: String; whatsapp_number?: String; business_hours?: String; auto_reply_message?: String; whatsapp_clicks?: Number; created_at: String</w:t>
            </w:r>
          </w:p>
        </w:tc>
        <w:tc>
          <w:tcPr>
            <w:tcW w:type="dxa" w:w="2592"/>
          </w:tcPr>
          <w:p>
            <w:r>
              <w:t>1 Brand lists 0..* Products (via brand_id); 1 Brand receives 0..* Orders; 1 Brand receives 0..* Reviews; 1 Brand has 0..1 BrandTrust (composition)</w:t>
            </w:r>
          </w:p>
        </w:tc>
        <w:tc>
          <w:tcPr>
            <w:tcW w:type="dxa" w:w="1440"/>
          </w:tcPr>
          <w:p>
            <w:r>
              <w:t>status ∈ {pending, approved, rejected}; verification_tier ∈ {premium, verified, new}</w:t>
            </w:r>
          </w:p>
        </w:tc>
      </w:tr>
      <w:tr>
        <w:tc>
          <w:tcPr>
            <w:tcW w:type="dxa" w:w="1728"/>
          </w:tcPr>
          <w:p>
            <w:r>
              <w:t>Product</w:t>
            </w:r>
          </w:p>
        </w:tc>
        <w:tc>
          <w:tcPr>
            <w:tcW w:type="dxa" w:w="3600"/>
          </w:tcPr>
          <w:p>
            <w:r>
              <w:t>id: String; brand_id: String; name: String; description: String; price: Number; moq: Number; stock: Number; image_url: String; bulk_pricing_tiers: BulkPricingTier[]; created_at: String</w:t>
            </w:r>
          </w:p>
        </w:tc>
        <w:tc>
          <w:tcPr>
            <w:tcW w:type="dxa" w:w="2592"/>
          </w:tcPr>
          <w:p>
            <w:r>
              <w:t>1 Product belongs to 1 Brand; 1 Product embeds 0..* BulkPricingTier (composition); 1 Product is referenced by 0..* OrderItems</w:t>
            </w:r>
          </w:p>
        </w:tc>
        <w:tc>
          <w:tcPr>
            <w:tcW w:type="dxa" w:w="1440"/>
          </w:tcPr>
          <w:p>
            <w:r>
              <w:t>bulk_pricing_tiers[] is a value-object array embedded inside Product — not a separate table</w:t>
            </w:r>
          </w:p>
        </w:tc>
      </w:tr>
      <w:tr>
        <w:tc>
          <w:tcPr>
            <w:tcW w:type="dxa" w:w="1728"/>
          </w:tcPr>
          <w:p>
            <w:r>
              <w:t>BulkPricingTier</w:t>
            </w:r>
          </w:p>
        </w:tc>
        <w:tc>
          <w:tcPr>
            <w:tcW w:type="dxa" w:w="3600"/>
          </w:tcPr>
          <w:p>
            <w:r>
              <w:t>min_qty: Number; max_qty: Number | null; price: Number</w:t>
            </w:r>
          </w:p>
        </w:tc>
        <w:tc>
          <w:tcPr>
            <w:tcW w:type="dxa" w:w="2592"/>
          </w:tcPr>
          <w:p>
            <w:r>
              <w:t>Embedded in Product.bulk_pricing_tiers[] (no independent identity)</w:t>
            </w:r>
          </w:p>
        </w:tc>
        <w:tc>
          <w:tcPr>
            <w:tcW w:type="dxa" w:w="1440"/>
          </w:tcPr>
          <w:p>
            <w:r>
              <w:t>max_qty = null means no upper bound (open-ended tier); tiers are iterated in order to match the requested quantity</w:t>
            </w:r>
          </w:p>
        </w:tc>
      </w:tr>
      <w:tr>
        <w:tc>
          <w:tcPr>
            <w:tcW w:type="dxa" w:w="1728"/>
          </w:tcPr>
          <w:p>
            <w:r>
              <w:t>Order</w:t>
            </w:r>
          </w:p>
        </w:tc>
        <w:tc>
          <w:tcPr>
            <w:tcW w:type="dxa" w:w="3600"/>
          </w:tcPr>
          <w:p>
            <w:r>
              <w:t>id: String; buyer_id: String; brand_id: String; status: String; total_amount: Number; created_at: String</w:t>
            </w:r>
          </w:p>
        </w:tc>
        <w:tc>
          <w:tcPr>
            <w:tcW w:type="dxa" w:w="2592"/>
          </w:tcPr>
          <w:p>
            <w:r>
              <w:t>1 Order contains 1..* OrderItems (composition); 1 Order is placed by 1 User (buyer); 1 Order belongs to 1 Brand; 0..1 Order is linked to 0..1 Review</w:t>
            </w:r>
          </w:p>
        </w:tc>
        <w:tc>
          <w:tcPr>
            <w:tcW w:type="dxa" w:w="1440"/>
          </w:tcPr>
          <w:p>
            <w:r>
              <w:t>status ∈ {pending, approved, rejected, completed}</w:t>
            </w:r>
          </w:p>
        </w:tc>
      </w:tr>
      <w:tr>
        <w:tc>
          <w:tcPr>
            <w:tcW w:type="dxa" w:w="1728"/>
          </w:tcPr>
          <w:p>
            <w:r>
              <w:t>OrderItem</w:t>
            </w:r>
          </w:p>
        </w:tc>
        <w:tc>
          <w:tcPr>
            <w:tcW w:type="dxa" w:w="3600"/>
          </w:tcPr>
          <w:p>
            <w:r>
              <w:t>id: String; order_id: String; product_id: String; quantity: Number; unit_price: Number</w:t>
            </w:r>
          </w:p>
        </w:tc>
        <w:tc>
          <w:tcPr>
            <w:tcW w:type="dxa" w:w="2592"/>
          </w:tcPr>
          <w:p>
            <w:r>
              <w:t>1 OrderItem belongs to 1 Order; 1 OrderItem references 1 Product</w:t>
            </w:r>
          </w:p>
        </w:tc>
        <w:tc>
          <w:tcPr>
            <w:tcW w:type="dxa" w:w="1440"/>
          </w:tcPr>
          <w:p>
            <w:r>
              <w:t>unit_price is the bulk-pricing-resolved price at the time of order creation — immutable after insert</w:t>
            </w:r>
          </w:p>
        </w:tc>
      </w:tr>
      <w:tr>
        <w:tc>
          <w:tcPr>
            <w:tcW w:type="dxa" w:w="1728"/>
          </w:tcPr>
          <w:p>
            <w:r>
              <w:t>Review</w:t>
            </w:r>
          </w:p>
        </w:tc>
        <w:tc>
          <w:tcPr>
            <w:tcW w:type="dxa" w:w="3600"/>
          </w:tcPr>
          <w:p>
            <w:r>
              <w:t>id: String; brand_id: String; order_id: String | null; buyer_id: String; rating: Number; content: String; anonymous: Boolean; flagged: Boolean; brand_reply: String | null; status?: String; created_at: String</w:t>
            </w:r>
          </w:p>
        </w:tc>
        <w:tc>
          <w:tcPr>
            <w:tcW w:type="dxa" w:w="2592"/>
          </w:tcPr>
          <w:p>
            <w:r>
              <w:t>1 Review is written by 1 User (buyer); 1 Review is received by 1 Brand; 0..1 Review is linked to 0..1 Order (nullable)</w:t>
            </w:r>
          </w:p>
        </w:tc>
        <w:tc>
          <w:tcPr>
            <w:tcW w:type="dxa" w:w="1440"/>
          </w:tcPr>
          <w:p>
            <w:r>
              <w:t>order_id is nullable — review can exist independently of a specific order; status ∈ {active, removed}</w:t>
            </w:r>
          </w:p>
        </w:tc>
      </w:tr>
      <w:tr>
        <w:tc>
          <w:tcPr>
            <w:tcW w:type="dxa" w:w="1728"/>
          </w:tcPr>
          <w:p>
            <w:r>
              <w:t>Notification</w:t>
            </w:r>
          </w:p>
        </w:tc>
        <w:tc>
          <w:tcPr>
            <w:tcW w:type="dxa" w:w="3600"/>
          </w:tcPr>
          <w:p>
            <w:r>
              <w:t>id: String; user_id: String; type: String; title: String; body: String; read: Boolean; action_url: String; icon_type: String; created_at: String</w:t>
            </w:r>
          </w:p>
        </w:tc>
        <w:tc>
          <w:tcPr>
            <w:tcW w:type="dxa" w:w="2592"/>
          </w:tcPr>
          <w:p>
            <w:r>
              <w:t>1 Notification is addressed to 1 User (via user_id)</w:t>
            </w:r>
          </w:p>
        </w:tc>
        <w:tc>
          <w:tcPr>
            <w:tcW w:type="dxa" w:w="1440"/>
          </w:tcPr>
          <w:p>
            <w:r>
              <w:t>Single flat reference — same schema serves buyers, brand owners, and admins; type field distinguishes the event category</w:t>
            </w:r>
          </w:p>
        </w:tc>
      </w:tr>
      <w:tr>
        <w:tc>
          <w:tcPr>
            <w:tcW w:type="dxa" w:w="1728"/>
          </w:tcPr>
          <w:p>
            <w:r>
              <w:t>BrandTrust</w:t>
            </w:r>
          </w:p>
        </w:tc>
        <w:tc>
          <w:tcPr>
            <w:tcW w:type="dxa" w:w="3600"/>
          </w:tcPr>
          <w:p>
            <w:r>
              <w:t>brand_id: String; response_rate: Number; completion_rate: Number; avg_response_hours: Number; total_fulfilled: Number; orders_this_month: Number; avg_fulfillment_days: Number; badges: String[]</w:t>
            </w:r>
          </w:p>
        </w:tc>
        <w:tc>
          <w:tcPr>
            <w:tcW w:type="dxa" w:w="2592"/>
          </w:tcPr>
          <w:p>
            <w:r>
              <w:t>1 BrandTrust is composed by 1 Brand (via brand_id) — composition, not association</w:t>
            </w:r>
          </w:p>
        </w:tc>
        <w:tc>
          <w:tcPr>
            <w:tcW w:type="dxa" w:w="1440"/>
          </w:tcPr>
          <w:p>
            <w:r>
              <w:t>Read-only trust profile; no back-reference to Order — keeps trust calculation decoupled from live order mutations</w:t>
            </w:r>
          </w:p>
        </w:tc>
      </w:tr>
      <w:tr>
        <w:tc>
          <w:tcPr>
            <w:tcW w:type="dxa" w:w="1728"/>
          </w:tcPr>
          <w:p>
            <w:r>
              <w:t>BuyerTrust</w:t>
            </w:r>
          </w:p>
        </w:tc>
        <w:tc>
          <w:tcPr>
            <w:tcW w:type="dxa" w:w="3600"/>
          </w:tcPr>
          <w:p>
            <w:r>
              <w:t>buyer_id: String; total_orders: Number; completion_rate: Number; cancellation_rate: Number; badges: String[]</w:t>
            </w:r>
          </w:p>
        </w:tc>
        <w:tc>
          <w:tcPr>
            <w:tcW w:type="dxa" w:w="2592"/>
          </w:tcPr>
          <w:p>
            <w:r>
              <w:t>1 BuyerTrust is composed by 1 User-buyer (via buyer_id)</w:t>
            </w:r>
          </w:p>
        </w:tc>
        <w:tc>
          <w:tcPr>
            <w:tcW w:type="dxa" w:w="1440"/>
          </w:tcPr>
          <w:p>
            <w:r>
              <w:t>Symmetric counterpart to BrandTrust; provides brand owners with buyer reliability context when evaluating incoming orders</w:t>
            </w:r>
          </w:p>
        </w:tc>
      </w:tr>
    </w:tbl>
    <w:p/>
    <w:p/>
    <w:p>
      <w:pPr>
        <w:jc w:val="center"/>
      </w:pPr>
      <w:r>
        <w:rPr>
          <w:b/>
          <w:color w:val="888888"/>
          <w:sz w:val="22"/>
        </w:rPr>
        <w:t>[ FIGURE 7 — Class Diagram — Core Entities (extracted from src/lib/db.ts) ]</w:t>
      </w:r>
    </w:p>
    <w:p>
      <w:pPr>
        <w:jc w:val="center"/>
      </w:pPr>
      <w:r>
        <w:rPr>
          <w:i/>
          <w:color w:val="AAAAAA"/>
          <w:sz w:val="18"/>
        </w:rPr>
        <w:t>(Insert diagram image here)</w:t>
      </w:r>
    </w:p>
    <w:p/>
    <w:p>
      <w:pPr>
        <w:pStyle w:val="Heading2"/>
      </w:pPr>
      <w:r>
        <w:t>3.8  Prototype Screenshots</w:t>
      </w:r>
    </w:p>
    <w:p>
      <w:pPr/>
      <w:r>
        <w:t>The following eight screenshots document the Kuwait B2B Hub interface as delivered at the time of final submission. All screenshots are taken from the live Vercel deployment against the seeded demo dataset.</w:t>
      </w:r>
    </w:p>
    <w:tbl>
      <w:tblPr>
        <w:tblStyle w:val="TableGrid"/>
        <w:tblW w:type="auto" w:w="0"/>
        <w:tblLook w:firstColumn="1" w:firstRow="1" w:lastColumn="0" w:lastRow="0" w:noHBand="0" w:noVBand="1" w:val="04A0"/>
      </w:tblPr>
      <w:tblGrid>
        <w:gridCol w:w="4320"/>
        <w:gridCol w:w="4320"/>
      </w:tblGrid>
      <w:tr>
        <w:tc>
          <w:tcPr>
            <w:tcW w:type="dxa" w:w="1008"/>
          </w:tcPr>
          <w:p>
            <w:r>
              <w:rPr>
                <w:b/>
              </w:rPr>
              <w:t>Ref</w:t>
            </w:r>
          </w:p>
        </w:tc>
        <w:tc>
          <w:tcPr>
            <w:tcW w:type="dxa" w:w="8352"/>
          </w:tcPr>
          <w:p>
            <w:r>
              <w:rPr>
                <w:b/>
              </w:rPr>
              <w:t>Description</w:t>
            </w:r>
          </w:p>
        </w:tc>
      </w:tr>
      <w:tr>
        <w:tc>
          <w:tcPr>
            <w:tcW w:type="dxa" w:w="1008"/>
          </w:tcPr>
          <w:p>
            <w:r>
              <w:t>SS-01</w:t>
            </w:r>
          </w:p>
        </w:tc>
        <w:tc>
          <w:tcPr>
            <w:tcW w:type="dxa" w:w="8352"/>
          </w:tcPr>
          <w:p>
            <w:r>
              <w:t>Landing Page — Hero section, platform value proposition, bilingual toggle, call-to-action buttons for buyer and brand owner registration.</w:t>
            </w:r>
          </w:p>
        </w:tc>
      </w:tr>
      <w:tr>
        <w:tc>
          <w:tcPr>
            <w:tcW w:type="dxa" w:w="1008"/>
          </w:tcPr>
          <w:p>
            <w:r>
              <w:t>SS-02</w:t>
            </w:r>
          </w:p>
        </w:tc>
        <w:tc>
          <w:tcPr>
            <w:tcW w:type="dxa" w:w="8352"/>
          </w:tcPr>
          <w:p>
            <w:r>
              <w:t>Marketplace — Brand catalogue grid with verification tier badges (Premium / Verified / New), star ratings, MOQ indicators, and search/filter controls.</w:t>
            </w:r>
          </w:p>
        </w:tc>
      </w:tr>
      <w:tr>
        <w:tc>
          <w:tcPr>
            <w:tcW w:type="dxa" w:w="1008"/>
          </w:tcPr>
          <w:p>
            <w:r>
              <w:t>SS-03</w:t>
            </w:r>
          </w:p>
        </w:tc>
        <w:tc>
          <w:tcPr>
            <w:tcW w:type="dxa" w:w="8352"/>
          </w:tcPr>
          <w:p>
            <w:r>
              <w:t>Brand Profile Page — Brand header, verification badge, trust score panel (response rate, completion rate, fulfilment days), product grid, and review section with brand replies.</w:t>
            </w:r>
          </w:p>
        </w:tc>
      </w:tr>
      <w:tr>
        <w:tc>
          <w:tcPr>
            <w:tcW w:type="dxa" w:w="1008"/>
          </w:tcPr>
          <w:p>
            <w:r>
              <w:t>SS-04</w:t>
            </w:r>
          </w:p>
        </w:tc>
        <w:tc>
          <w:tcPr>
            <w:tcW w:type="dxa" w:w="8352"/>
          </w:tcPr>
          <w:p>
            <w:r>
              <w:t>Brand Owner Dashboard — Order management table with status lifecycle controls, revenue summary card, product inventory overview, and notification bell.</w:t>
            </w:r>
          </w:p>
        </w:tc>
      </w:tr>
      <w:tr>
        <w:tc>
          <w:tcPr>
            <w:tcW w:type="dxa" w:w="1008"/>
          </w:tcPr>
          <w:p>
            <w:r>
              <w:t>SS-05</w:t>
            </w:r>
          </w:p>
        </w:tc>
        <w:tc>
          <w:tcPr>
            <w:tcW w:type="dxa" w:w="8352"/>
          </w:tcPr>
          <w:p>
            <w:r>
              <w:t>Order Submission — Product detail page with MOQ warning, bulk-pricing tier visualisation, quantity input, and order total calculation in selected GCC currency.</w:t>
            </w:r>
          </w:p>
        </w:tc>
      </w:tr>
      <w:tr>
        <w:tc>
          <w:tcPr>
            <w:tcW w:type="dxa" w:w="1008"/>
          </w:tcPr>
          <w:p>
            <w:r>
              <w:t>SS-06</w:t>
            </w:r>
          </w:p>
        </w:tc>
        <w:tc>
          <w:tcPr>
            <w:tcW w:type="dxa" w:w="8352"/>
          </w:tcPr>
          <w:p>
            <w:r>
              <w:t>Admin Dashboard — Platform analytics (total users, brands, orders, revenue), pending brand approval queue, and review moderation panel.</w:t>
            </w:r>
          </w:p>
        </w:tc>
      </w:tr>
      <w:tr>
        <w:tc>
          <w:tcPr>
            <w:tcW w:type="dxa" w:w="1008"/>
          </w:tcPr>
          <w:p>
            <w:r>
              <w:t>SS-07</w:t>
            </w:r>
          </w:p>
        </w:tc>
        <w:tc>
          <w:tcPr>
            <w:tcW w:type="dxa" w:w="8352"/>
          </w:tcPr>
          <w:p>
            <w:r>
              <w:t>Arabic RTL Layout — Marketplace page with full right-to-left layout: mirrored navigation, Arabic product names and descriptions, RTL-aligned trust metrics.</w:t>
            </w:r>
          </w:p>
        </w:tc>
      </w:tr>
      <w:tr>
        <w:tc>
          <w:tcPr>
            <w:tcW w:type="dxa" w:w="1008"/>
          </w:tcPr>
          <w:p>
            <w:r>
              <w:t>SS-08</w:t>
            </w:r>
          </w:p>
        </w:tc>
        <w:tc>
          <w:tcPr>
            <w:tcW w:type="dxa" w:w="8352"/>
          </w:tcPr>
          <w:p>
            <w:r>
              <w:t>Notification Panel — Unread notification list with type-specific icons, timestamps, and mark-as-read interaction; unread count badge on bell icon.</w:t>
            </w:r>
          </w:p>
        </w:tc>
      </w:tr>
    </w:tbl>
    <w:p/>
    <w:p/>
    <w:p>
      <w:pPr>
        <w:jc w:val="center"/>
      </w:pPr>
      <w:r>
        <w:rPr>
          <w:b/>
          <w:color w:val="888888"/>
          <w:sz w:val="22"/>
        </w:rPr>
        <w:t>[ FIGURE SS-01 — Landing Page — Hero section, platform value proposition, bilingual toggle, call-to-action buttons for buyer and brand owner registration. ]</w:t>
      </w:r>
    </w:p>
    <w:p>
      <w:pPr>
        <w:jc w:val="center"/>
      </w:pPr>
      <w:r>
        <w:rPr>
          <w:i/>
          <w:color w:val="AAAAAA"/>
          <w:sz w:val="18"/>
        </w:rPr>
        <w:t>(Insert diagram image here)</w:t>
      </w:r>
    </w:p>
    <w:p/>
    <w:p/>
    <w:p>
      <w:pPr>
        <w:jc w:val="center"/>
      </w:pPr>
      <w:r>
        <w:rPr>
          <w:b/>
          <w:color w:val="888888"/>
          <w:sz w:val="22"/>
        </w:rPr>
        <w:t>[ FIGURE SS-02 — Marketplace — Brand catalogue grid with verification tier badges (Premium / Verified / New), star ratings, MOQ indicators, and search/filter controls. ]</w:t>
      </w:r>
    </w:p>
    <w:p>
      <w:pPr>
        <w:jc w:val="center"/>
      </w:pPr>
      <w:r>
        <w:rPr>
          <w:i/>
          <w:color w:val="AAAAAA"/>
          <w:sz w:val="18"/>
        </w:rPr>
        <w:t>(Insert diagram image here)</w:t>
      </w:r>
    </w:p>
    <w:p/>
    <w:p/>
    <w:p>
      <w:pPr>
        <w:jc w:val="center"/>
      </w:pPr>
      <w:r>
        <w:rPr>
          <w:b/>
          <w:color w:val="888888"/>
          <w:sz w:val="22"/>
        </w:rPr>
        <w:t>[ FIGURE SS-03 — Brand Profile Page — Brand header, verification badge, trust score panel (response rate, completion rate, fulfilment days), product grid, and review section with brand replies. ]</w:t>
      </w:r>
    </w:p>
    <w:p>
      <w:pPr>
        <w:jc w:val="center"/>
      </w:pPr>
      <w:r>
        <w:rPr>
          <w:i/>
          <w:color w:val="AAAAAA"/>
          <w:sz w:val="18"/>
        </w:rPr>
        <w:t>(Insert diagram image here)</w:t>
      </w:r>
    </w:p>
    <w:p/>
    <w:p/>
    <w:p>
      <w:pPr>
        <w:jc w:val="center"/>
      </w:pPr>
      <w:r>
        <w:rPr>
          <w:b/>
          <w:color w:val="888888"/>
          <w:sz w:val="22"/>
        </w:rPr>
        <w:t>[ FIGURE SS-04 — Brand Owner Dashboard — Order management table with status lifecycle controls, revenue summary card, product inventory overview, and notification bell. ]</w:t>
      </w:r>
    </w:p>
    <w:p>
      <w:pPr>
        <w:jc w:val="center"/>
      </w:pPr>
      <w:r>
        <w:rPr>
          <w:i/>
          <w:color w:val="AAAAAA"/>
          <w:sz w:val="18"/>
        </w:rPr>
        <w:t>(Insert diagram image here)</w:t>
      </w:r>
    </w:p>
    <w:p/>
    <w:p/>
    <w:p>
      <w:pPr>
        <w:jc w:val="center"/>
      </w:pPr>
      <w:r>
        <w:rPr>
          <w:b/>
          <w:color w:val="888888"/>
          <w:sz w:val="22"/>
        </w:rPr>
        <w:t>[ FIGURE SS-05 — Order Submission — Product detail page with MOQ warning, bulk-pricing tier visualisation, quantity input, and order total calculation in selected GCC currency. ]</w:t>
      </w:r>
    </w:p>
    <w:p>
      <w:pPr>
        <w:jc w:val="center"/>
      </w:pPr>
      <w:r>
        <w:rPr>
          <w:i/>
          <w:color w:val="AAAAAA"/>
          <w:sz w:val="18"/>
        </w:rPr>
        <w:t>(Insert diagram image here)</w:t>
      </w:r>
    </w:p>
    <w:p/>
    <w:p/>
    <w:p>
      <w:pPr>
        <w:jc w:val="center"/>
      </w:pPr>
      <w:r>
        <w:rPr>
          <w:b/>
          <w:color w:val="888888"/>
          <w:sz w:val="22"/>
        </w:rPr>
        <w:t>[ FIGURE SS-06 — Admin Dashboard — Platform analytics (total users, brands, orders, revenue), pending brand approval queue, and review moderation panel. ]</w:t>
      </w:r>
    </w:p>
    <w:p>
      <w:pPr>
        <w:jc w:val="center"/>
      </w:pPr>
      <w:r>
        <w:rPr>
          <w:i/>
          <w:color w:val="AAAAAA"/>
          <w:sz w:val="18"/>
        </w:rPr>
        <w:t>(Insert diagram image here)</w:t>
      </w:r>
    </w:p>
    <w:p/>
    <w:p/>
    <w:p>
      <w:pPr>
        <w:jc w:val="center"/>
      </w:pPr>
      <w:r>
        <w:rPr>
          <w:b/>
          <w:color w:val="888888"/>
          <w:sz w:val="22"/>
        </w:rPr>
        <w:t>[ FIGURE SS-07 — Arabic RTL Layout — Marketplace page with full right-to-left layout: mirrored navigation, Arabic product names and descriptions, RTL-aligned trust metrics. ]</w:t>
      </w:r>
    </w:p>
    <w:p>
      <w:pPr>
        <w:jc w:val="center"/>
      </w:pPr>
      <w:r>
        <w:rPr>
          <w:i/>
          <w:color w:val="AAAAAA"/>
          <w:sz w:val="18"/>
        </w:rPr>
        <w:t>(Insert diagram image here)</w:t>
      </w:r>
    </w:p>
    <w:p/>
    <w:p/>
    <w:p>
      <w:pPr>
        <w:jc w:val="center"/>
      </w:pPr>
      <w:r>
        <w:rPr>
          <w:b/>
          <w:color w:val="888888"/>
          <w:sz w:val="22"/>
        </w:rPr>
        <w:t>[ FIGURE SS-08 — Notification Panel — Unread notification list with type-specific icons, timestamps, and mark-as-read interaction; unread count badge on bell icon. ]</w:t>
      </w:r>
    </w:p>
    <w:p>
      <w:pPr>
        <w:jc w:val="center"/>
      </w:pPr>
      <w:r>
        <w:rPr>
          <w:i/>
          <w:color w:val="AAAAAA"/>
          <w:sz w:val="18"/>
        </w:rPr>
        <w:t>(Insert diagram image here)</w:t>
      </w:r>
    </w:p>
    <w:p/>
    <w:p>
      <w:r>
        <w:br w:type="page"/>
      </w:r>
    </w:p>
    <w:p>
      <w:pPr>
        <w:pStyle w:val="Heading1"/>
      </w:pPr>
      <w:r>
        <w:t>CHAPTER IV — SYSTEM IMPLEMENTATION</w:t>
      </w:r>
    </w:p>
    <w:p>
      <w:pPr/>
      <w:r>
        <w:t>This chapter documents the complete implementation of the Kuwait B2B Hub. It presents the Make-Buy-Lease acquisition decisions for all platform components, a software reuse analysis of the twelve externally-sourced libraries and services, the full codebase folder structure and artefact inventory, the configuration management record including the change request log and version baseline, and the complete development and deployment specification covering hardware, software, tooling, local setup, and production architecture.</w:t>
      </w:r>
    </w:p>
    <w:p>
      <w:pPr>
        <w:pStyle w:val="Heading2"/>
      </w:pPr>
      <w:r>
        <w:t>4.1  Make, Buy or Lease (MBL) Analysis</w:t>
      </w:r>
    </w:p>
    <w:p>
      <w:pPr/>
      <w:r>
        <w:t>A Make-Buy-Lease evaluation was conducted for each major technical component of the Kuwait B2B Hub to justify acquisition decisions, clarify licensing obligations, and classify the level at which external software assets are reused. Decisions were guided by three criteria: development effort saved, suitability to the Kuwait B2B domain, and long-term maintainability.</w:t>
      </w:r>
    </w:p>
    <w:p>
      <w:pPr/>
      <w:r>
        <w:t>Reuse Level Definitions (Sommerville, Software Engineering, 10th ed.):</w:t>
      </w:r>
    </w:p>
    <w:tbl>
      <w:tblPr>
        <w:tblStyle w:val="TableGrid"/>
        <w:tblW w:type="auto" w:w="0"/>
        <w:tblLook w:firstColumn="1" w:firstRow="1" w:lastColumn="0" w:lastRow="0" w:noHBand="0" w:noVBand="1" w:val="04A0"/>
      </w:tblPr>
      <w:tblGrid>
        <w:gridCol w:w="4320"/>
        <w:gridCol w:w="4320"/>
      </w:tblGrid>
      <w:tr>
        <w:tc>
          <w:tcPr>
            <w:tcW w:type="dxa" w:w="1728"/>
          </w:tcPr>
          <w:p>
            <w:r>
              <w:rPr>
                <w:b/>
              </w:rPr>
              <w:t>Level</w:t>
            </w:r>
          </w:p>
        </w:tc>
        <w:tc>
          <w:tcPr>
            <w:tcW w:type="dxa" w:w="7632"/>
          </w:tcPr>
          <w:p>
            <w:r>
              <w:rPr>
                <w:b/>
              </w:rPr>
              <w:t>Definition</w:t>
            </w:r>
          </w:p>
        </w:tc>
      </w:tr>
      <w:tr>
        <w:tc>
          <w:tcPr>
            <w:tcW w:type="dxa" w:w="1728"/>
          </w:tcPr>
          <w:p>
            <w:r>
              <w:t>System</w:t>
            </w:r>
          </w:p>
        </w:tc>
        <w:tc>
          <w:tcPr>
            <w:tcW w:type="dxa" w:w="7632"/>
          </w:tcPr>
          <w:p>
            <w:r>
              <w:t>An entire off-the-shelf system or managed platform is adopted with no internal modification.</w:t>
            </w:r>
          </w:p>
        </w:tc>
      </w:tr>
      <w:tr>
        <w:tc>
          <w:tcPr>
            <w:tcW w:type="dxa" w:w="1728"/>
          </w:tcPr>
          <w:p>
            <w:r>
              <w:t>Component</w:t>
            </w:r>
          </w:p>
        </w:tc>
        <w:tc>
          <w:tcPr>
            <w:tcW w:type="dxa" w:w="7632"/>
          </w:tcPr>
          <w:p>
            <w:r>
              <w:t>A library, framework, or SDK is integrated as a composable subsystem.</w:t>
            </w:r>
          </w:p>
        </w:tc>
      </w:tr>
      <w:tr>
        <w:tc>
          <w:tcPr>
            <w:tcW w:type="dxa" w:w="1728"/>
          </w:tcPr>
          <w:p>
            <w:r>
              <w:t>Object</w:t>
            </w:r>
          </w:p>
        </w:tc>
        <w:tc>
          <w:tcPr>
            <w:tcW w:type="dxa" w:w="7632"/>
          </w:tcPr>
          <w:p>
            <w:r>
              <w:t>Individual modules, classes, or hooks are consumed directly.</w:t>
            </w:r>
          </w:p>
        </w:tc>
      </w:tr>
      <w:tr>
        <w:tc>
          <w:tcPr>
            <w:tcW w:type="dxa" w:w="1728"/>
          </w:tcPr>
          <w:p>
            <w:r>
              <w:t>Abstract</w:t>
            </w:r>
          </w:p>
        </w:tc>
        <w:tc>
          <w:tcPr>
            <w:tcW w:type="dxa" w:w="7632"/>
          </w:tcPr>
          <w:p>
            <w:r>
              <w:t>Algorithms, patterns, or domain logic are designed and built from first principles.</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rPr>
              <w:t>#</w:t>
            </w:r>
          </w:p>
        </w:tc>
        <w:tc>
          <w:tcPr>
            <w:tcW w:type="dxa" w:w="2160"/>
          </w:tcPr>
          <w:p>
            <w:r>
              <w:rPr>
                <w:b/>
              </w:rPr>
              <w:t>Component</w:t>
            </w:r>
          </w:p>
        </w:tc>
        <w:tc>
          <w:tcPr>
            <w:tcW w:type="dxa" w:w="1008"/>
          </w:tcPr>
          <w:p>
            <w:r>
              <w:rPr>
                <w:b/>
              </w:rPr>
              <w:t>Version</w:t>
            </w:r>
          </w:p>
        </w:tc>
        <w:tc>
          <w:tcPr>
            <w:tcW w:type="dxa" w:w="864"/>
          </w:tcPr>
          <w:p>
            <w:r>
              <w:rPr>
                <w:b/>
              </w:rPr>
              <w:t>Decision</w:t>
            </w:r>
          </w:p>
        </w:tc>
        <w:tc>
          <w:tcPr>
            <w:tcW w:type="dxa" w:w="1728"/>
          </w:tcPr>
          <w:p>
            <w:r>
              <w:rPr>
                <w:b/>
              </w:rPr>
              <w:t>License</w:t>
            </w:r>
          </w:p>
        </w:tc>
        <w:tc>
          <w:tcPr>
            <w:tcW w:type="dxa" w:w="3024"/>
          </w:tcPr>
          <w:p>
            <w:r>
              <w:rPr>
                <w:b/>
              </w:rPr>
              <w:t>Justification</w:t>
            </w:r>
          </w:p>
        </w:tc>
        <w:tc>
          <w:tcPr>
            <w:tcW w:type="dxa" w:w="1152"/>
          </w:tcPr>
          <w:p>
            <w:r>
              <w:rPr>
                <w:b/>
              </w:rPr>
              <w:t>Reuse Level</w:t>
            </w:r>
          </w:p>
        </w:tc>
      </w:tr>
      <w:tr>
        <w:tc>
          <w:tcPr>
            <w:tcW w:type="dxa" w:w="432"/>
          </w:tcPr>
          <w:p>
            <w:r>
              <w:t>1</w:t>
            </w:r>
          </w:p>
        </w:tc>
        <w:tc>
          <w:tcPr>
            <w:tcW w:type="dxa" w:w="2160"/>
          </w:tcPr>
          <w:p>
            <w:r>
              <w:t>Next.js Framework</w:t>
            </w:r>
          </w:p>
        </w:tc>
        <w:tc>
          <w:tcPr>
            <w:tcW w:type="dxa" w:w="1008"/>
          </w:tcPr>
          <w:p>
            <w:r>
              <w:t>16.2.2</w:t>
            </w:r>
          </w:p>
        </w:tc>
        <w:tc>
          <w:tcPr>
            <w:tcW w:type="dxa" w:w="864"/>
          </w:tcPr>
          <w:p>
            <w:r>
              <w:t>Buy</w:t>
            </w:r>
          </w:p>
        </w:tc>
        <w:tc>
          <w:tcPr>
            <w:tcW w:type="dxa" w:w="1728"/>
          </w:tcPr>
          <w:p>
            <w:r>
              <w:t>MIT</w:t>
            </w:r>
          </w:p>
        </w:tc>
        <w:tc>
          <w:tcPr>
            <w:tcW w:type="dxa" w:w="3024"/>
          </w:tcPr>
          <w:p>
            <w:r>
              <w:t>Provides App Router, SSR, API route handlers, middleware pipeline, and TypeScript support. Eliminates building a custom server, router, or bundler — saves ~80+ hours.</w:t>
            </w:r>
          </w:p>
        </w:tc>
        <w:tc>
          <w:tcPr>
            <w:tcW w:type="dxa" w:w="1152"/>
          </w:tcPr>
          <w:p>
            <w:r>
              <w:t>System</w:t>
            </w:r>
          </w:p>
        </w:tc>
      </w:tr>
      <w:tr>
        <w:tc>
          <w:tcPr>
            <w:tcW w:type="dxa" w:w="432"/>
          </w:tcPr>
          <w:p>
            <w:r>
              <w:t>2</w:t>
            </w:r>
          </w:p>
        </w:tc>
        <w:tc>
          <w:tcPr>
            <w:tcW w:type="dxa" w:w="2160"/>
          </w:tcPr>
          <w:p>
            <w:r>
              <w:t>React</w:t>
            </w:r>
          </w:p>
        </w:tc>
        <w:tc>
          <w:tcPr>
            <w:tcW w:type="dxa" w:w="1008"/>
          </w:tcPr>
          <w:p>
            <w:r>
              <w:t>19.2.4</w:t>
            </w:r>
          </w:p>
        </w:tc>
        <w:tc>
          <w:tcPr>
            <w:tcW w:type="dxa" w:w="864"/>
          </w:tcPr>
          <w:p>
            <w:r>
              <w:t>Buy</w:t>
            </w:r>
          </w:p>
        </w:tc>
        <w:tc>
          <w:tcPr>
            <w:tcW w:type="dxa" w:w="1728"/>
          </w:tcPr>
          <w:p>
            <w:r>
              <w:t>MIT</w:t>
            </w:r>
          </w:p>
        </w:tc>
        <w:tc>
          <w:tcPr>
            <w:tcW w:type="dxa" w:w="3024"/>
          </w:tcPr>
          <w:p>
            <w:r>
              <w:t>Underpins all UI rendering. React 19 Server Components eliminate redundant client-side JavaScript bundles on data-heavy pages.</w:t>
            </w:r>
          </w:p>
        </w:tc>
        <w:tc>
          <w:tcPr>
            <w:tcW w:type="dxa" w:w="1152"/>
          </w:tcPr>
          <w:p>
            <w:r>
              <w:t>Component</w:t>
            </w:r>
          </w:p>
        </w:tc>
      </w:tr>
      <w:tr>
        <w:tc>
          <w:tcPr>
            <w:tcW w:type="dxa" w:w="432"/>
          </w:tcPr>
          <w:p>
            <w:r>
              <w:t>3</w:t>
            </w:r>
          </w:p>
        </w:tc>
        <w:tc>
          <w:tcPr>
            <w:tcW w:type="dxa" w:w="2160"/>
          </w:tcPr>
          <w:p>
            <w:r>
              <w:t>TypeScript</w:t>
            </w:r>
          </w:p>
        </w:tc>
        <w:tc>
          <w:tcPr>
            <w:tcW w:type="dxa" w:w="1008"/>
          </w:tcPr>
          <w:p>
            <w:r>
              <w:t>^5.x</w:t>
            </w:r>
          </w:p>
        </w:tc>
        <w:tc>
          <w:tcPr>
            <w:tcW w:type="dxa" w:w="864"/>
          </w:tcPr>
          <w:p>
            <w:r>
              <w:t>Buy</w:t>
            </w:r>
          </w:p>
        </w:tc>
        <w:tc>
          <w:tcPr>
            <w:tcW w:type="dxa" w:w="1728"/>
          </w:tcPr>
          <w:p>
            <w:r>
              <w:t>Apache 2.0</w:t>
            </w:r>
          </w:p>
        </w:tc>
        <w:tc>
          <w:tcPr>
            <w:tcW w:type="dxa" w:w="3024"/>
          </w:tcPr>
          <w:p>
            <w:r>
              <w:t>Compile-time type safety across all 93 source files. Interface definitions in db.ts serve as canonical data contracts enforced at every layer.</w:t>
            </w:r>
          </w:p>
        </w:tc>
        <w:tc>
          <w:tcPr>
            <w:tcW w:type="dxa" w:w="1152"/>
          </w:tcPr>
          <w:p>
            <w:r>
              <w:t>System</w:t>
            </w:r>
          </w:p>
        </w:tc>
      </w:tr>
      <w:tr>
        <w:tc>
          <w:tcPr>
            <w:tcW w:type="dxa" w:w="432"/>
          </w:tcPr>
          <w:p>
            <w:r>
              <w:t>4</w:t>
            </w:r>
          </w:p>
        </w:tc>
        <w:tc>
          <w:tcPr>
            <w:tcW w:type="dxa" w:w="2160"/>
          </w:tcPr>
          <w:p>
            <w:r>
              <w:t>Supabase Auth</w:t>
            </w:r>
          </w:p>
        </w:tc>
        <w:tc>
          <w:tcPr>
            <w:tcW w:type="dxa" w:w="1008"/>
          </w:tcPr>
          <w:p>
            <w:r>
              <w:t>^2.101.1</w:t>
            </w:r>
          </w:p>
        </w:tc>
        <w:tc>
          <w:tcPr>
            <w:tcW w:type="dxa" w:w="864"/>
          </w:tcPr>
          <w:p>
            <w:r>
              <w:t>Lease</w:t>
            </w:r>
          </w:p>
        </w:tc>
        <w:tc>
          <w:tcPr>
            <w:tcW w:type="dxa" w:w="1728"/>
          </w:tcPr>
          <w:p>
            <w:r>
              <w:t>Apache 2.0 / Supabase Cloud ToS</w:t>
            </w:r>
          </w:p>
        </w:tc>
        <w:tc>
          <w:tcPr>
            <w:tcW w:type="dxa" w:w="3024"/>
          </w:tcPr>
          <w:p>
            <w:r>
              <w:t>Managed JWT session validation via supabase.auth.getUser(). Freemium tier sufficient for prototype scale.</w:t>
            </w:r>
          </w:p>
        </w:tc>
        <w:tc>
          <w:tcPr>
            <w:tcW w:type="dxa" w:w="1152"/>
          </w:tcPr>
          <w:p>
            <w:r>
              <w:t>System</w:t>
            </w:r>
          </w:p>
        </w:tc>
      </w:tr>
      <w:tr>
        <w:tc>
          <w:tcPr>
            <w:tcW w:type="dxa" w:w="432"/>
          </w:tcPr>
          <w:p>
            <w:r>
              <w:t>5</w:t>
            </w:r>
          </w:p>
        </w:tc>
        <w:tc>
          <w:tcPr>
            <w:tcW w:type="dxa" w:w="2160"/>
          </w:tcPr>
          <w:p>
            <w:r>
              <w:t>@supabase/ssr SDK</w:t>
            </w:r>
          </w:p>
        </w:tc>
        <w:tc>
          <w:tcPr>
            <w:tcW w:type="dxa" w:w="1008"/>
          </w:tcPr>
          <w:p>
            <w:r>
              <w:t>^0.10.0</w:t>
            </w:r>
          </w:p>
        </w:tc>
        <w:tc>
          <w:tcPr>
            <w:tcW w:type="dxa" w:w="864"/>
          </w:tcPr>
          <w:p>
            <w:r>
              <w:t>Buy</w:t>
            </w:r>
          </w:p>
        </w:tc>
        <w:tc>
          <w:tcPr>
            <w:tcW w:type="dxa" w:w="1728"/>
          </w:tcPr>
          <w:p>
            <w:r>
              <w:t>Apache 2.0</w:t>
            </w:r>
          </w:p>
        </w:tc>
        <w:tc>
          <w:tcPr>
            <w:tcW w:type="dxa" w:w="3024"/>
          </w:tcPr>
          <w:p>
            <w:r>
              <w:t>Bridges Supabase Auth with Next.js server-side cookie handling — required for session tokens in Server Components where localStorage is unavailable.</w:t>
            </w:r>
          </w:p>
        </w:tc>
        <w:tc>
          <w:tcPr>
            <w:tcW w:type="dxa" w:w="1152"/>
          </w:tcPr>
          <w:p>
            <w:r>
              <w:t>Component</w:t>
            </w:r>
          </w:p>
        </w:tc>
      </w:tr>
      <w:tr>
        <w:tc>
          <w:tcPr>
            <w:tcW w:type="dxa" w:w="432"/>
          </w:tcPr>
          <w:p>
            <w:r>
              <w:t>6</w:t>
            </w:r>
          </w:p>
        </w:tc>
        <w:tc>
          <w:tcPr>
            <w:tcW w:type="dxa" w:w="2160"/>
          </w:tcPr>
          <w:p>
            <w:r>
              <w:t>PostgreSQL Database</w:t>
            </w:r>
          </w:p>
        </w:tc>
        <w:tc>
          <w:tcPr>
            <w:tcW w:type="dxa" w:w="1008"/>
          </w:tcPr>
          <w:p>
            <w:r>
              <w:t>Managed</w:t>
            </w:r>
          </w:p>
        </w:tc>
        <w:tc>
          <w:tcPr>
            <w:tcW w:type="dxa" w:w="864"/>
          </w:tcPr>
          <w:p>
            <w:r>
              <w:t>Lease</w:t>
            </w:r>
          </w:p>
        </w:tc>
        <w:tc>
          <w:tcPr>
            <w:tcW w:type="dxa" w:w="1728"/>
          </w:tcPr>
          <w:p>
            <w:r>
              <w:t>PostgreSQL Licence / Supabase Cloud ToS</w:t>
            </w:r>
          </w:p>
        </w:tc>
        <w:tc>
          <w:tcPr>
            <w:tcW w:type="dxa" w:w="3024"/>
          </w:tcPr>
          <w:p>
            <w:r>
              <w:t>Supabase-managed PostgreSQL with PostgREST, real-time subscriptions, and automated backups. JSON prototype migration to PostgreSQL is the primary production step.</w:t>
            </w:r>
          </w:p>
        </w:tc>
        <w:tc>
          <w:tcPr>
            <w:tcW w:type="dxa" w:w="1152"/>
          </w:tcPr>
          <w:p>
            <w:r>
              <w:t>System</w:t>
            </w:r>
          </w:p>
        </w:tc>
      </w:tr>
      <w:tr>
        <w:tc>
          <w:tcPr>
            <w:tcW w:type="dxa" w:w="432"/>
          </w:tcPr>
          <w:p>
            <w:r>
              <w:t>7</w:t>
            </w:r>
          </w:p>
        </w:tc>
        <w:tc>
          <w:tcPr>
            <w:tcW w:type="dxa" w:w="2160"/>
          </w:tcPr>
          <w:p>
            <w:r>
              <w:t>Vercel Hosting Platform</w:t>
            </w:r>
          </w:p>
        </w:tc>
        <w:tc>
          <w:tcPr>
            <w:tcW w:type="dxa" w:w="1008"/>
          </w:tcPr>
          <w:p>
            <w:r>
              <w:t>N/A</w:t>
            </w:r>
          </w:p>
        </w:tc>
        <w:tc>
          <w:tcPr>
            <w:tcW w:type="dxa" w:w="864"/>
          </w:tcPr>
          <w:p>
            <w:r>
              <w:t>Lease</w:t>
            </w:r>
          </w:p>
        </w:tc>
        <w:tc>
          <w:tcPr>
            <w:tcW w:type="dxa" w:w="1728"/>
          </w:tcPr>
          <w:p>
            <w:r>
              <w:t>Proprietary (Vercel ToS)</w:t>
            </w:r>
          </w:p>
        </w:tc>
        <w:tc>
          <w:tcPr>
            <w:tcW w:type="dxa" w:w="3024"/>
          </w:tcPr>
          <w:p>
            <w:r>
              <w:t>First-party Next.js deployment. Provides automatic CI/CD, serverless execution for all 25 API routes, global CDN, and preview environments at zero cost (Hobby tier).</w:t>
            </w:r>
          </w:p>
        </w:tc>
        <w:tc>
          <w:tcPr>
            <w:tcW w:type="dxa" w:w="1152"/>
          </w:tcPr>
          <w:p>
            <w:r>
              <w:t>System</w:t>
            </w:r>
          </w:p>
        </w:tc>
      </w:tr>
      <w:tr>
        <w:tc>
          <w:tcPr>
            <w:tcW w:type="dxa" w:w="432"/>
          </w:tcPr>
          <w:p>
            <w:r>
              <w:t>8</w:t>
            </w:r>
          </w:p>
        </w:tc>
        <w:tc>
          <w:tcPr>
            <w:tcW w:type="dxa" w:w="2160"/>
          </w:tcPr>
          <w:p>
            <w:r>
              <w:t>next-intl</w:t>
            </w:r>
          </w:p>
        </w:tc>
        <w:tc>
          <w:tcPr>
            <w:tcW w:type="dxa" w:w="1008"/>
          </w:tcPr>
          <w:p>
            <w:r>
              <w:t>^4.9.0</w:t>
            </w:r>
          </w:p>
        </w:tc>
        <w:tc>
          <w:tcPr>
            <w:tcW w:type="dxa" w:w="864"/>
          </w:tcPr>
          <w:p>
            <w:r>
              <w:t>Buy</w:t>
            </w:r>
          </w:p>
        </w:tc>
        <w:tc>
          <w:tcPr>
            <w:tcW w:type="dxa" w:w="1728"/>
          </w:tcPr>
          <w:p>
            <w:r>
              <w:t>MIT</w:t>
            </w:r>
          </w:p>
        </w:tc>
        <w:tc>
          <w:tcPr>
            <w:tcW w:type="dxa" w:w="3024"/>
          </w:tcPr>
          <w:p>
            <w:r>
              <w:t>Full Arabic/English bilingual support with RTL/LTR switching via messages/ar.json and messages/en.json. Handles locale routing via next.config.ts plugin.</w:t>
            </w:r>
          </w:p>
        </w:tc>
        <w:tc>
          <w:tcPr>
            <w:tcW w:type="dxa" w:w="1152"/>
          </w:tcPr>
          <w:p>
            <w:r>
              <w:t>Component</w:t>
            </w:r>
          </w:p>
        </w:tc>
      </w:tr>
      <w:tr>
        <w:tc>
          <w:tcPr>
            <w:tcW w:type="dxa" w:w="432"/>
          </w:tcPr>
          <w:p>
            <w:r>
              <w:t>9</w:t>
            </w:r>
          </w:p>
        </w:tc>
        <w:tc>
          <w:tcPr>
            <w:tcW w:type="dxa" w:w="2160"/>
          </w:tcPr>
          <w:p>
            <w:r>
              <w:t>Zustand</w:t>
            </w:r>
          </w:p>
        </w:tc>
        <w:tc>
          <w:tcPr>
            <w:tcW w:type="dxa" w:w="1008"/>
          </w:tcPr>
          <w:p>
            <w:r>
              <w:t>^5.0.12</w:t>
            </w:r>
          </w:p>
        </w:tc>
        <w:tc>
          <w:tcPr>
            <w:tcW w:type="dxa" w:w="864"/>
          </w:tcPr>
          <w:p>
            <w:r>
              <w:t>Buy</w:t>
            </w:r>
          </w:p>
        </w:tc>
        <w:tc>
          <w:tcPr>
            <w:tcW w:type="dxa" w:w="1728"/>
          </w:tcPr>
          <w:p>
            <w:r>
              <w:t>MIT</w:t>
            </w:r>
          </w:p>
        </w:tc>
        <w:tc>
          <w:tcPr>
            <w:tcW w:type="dxa" w:w="3024"/>
          </w:tcPr>
          <w:p>
            <w:r>
              <w:t>Lightweight client-side state management for notificationStore.ts. Zero-boilerplate hook API chosen over Redux for a small-team project.</w:t>
            </w:r>
          </w:p>
        </w:tc>
        <w:tc>
          <w:tcPr>
            <w:tcW w:type="dxa" w:w="1152"/>
          </w:tcPr>
          <w:p>
            <w:r>
              <w:t>Object</w:t>
            </w:r>
          </w:p>
        </w:tc>
      </w:tr>
      <w:tr>
        <w:tc>
          <w:tcPr>
            <w:tcW w:type="dxa" w:w="432"/>
          </w:tcPr>
          <w:p>
            <w:r>
              <w:t>10</w:t>
            </w:r>
          </w:p>
        </w:tc>
        <w:tc>
          <w:tcPr>
            <w:tcW w:type="dxa" w:w="2160"/>
          </w:tcPr>
          <w:p>
            <w:r>
              <w:t>Recharts</w:t>
            </w:r>
          </w:p>
        </w:tc>
        <w:tc>
          <w:tcPr>
            <w:tcW w:type="dxa" w:w="1008"/>
          </w:tcPr>
          <w:p>
            <w:r>
              <w:t>^3.8.1</w:t>
            </w:r>
          </w:p>
        </w:tc>
        <w:tc>
          <w:tcPr>
            <w:tcW w:type="dxa" w:w="864"/>
          </w:tcPr>
          <w:p>
            <w:r>
              <w:t>Buy</w:t>
            </w:r>
          </w:p>
        </w:tc>
        <w:tc>
          <w:tcPr>
            <w:tcW w:type="dxa" w:w="1728"/>
          </w:tcPr>
          <w:p>
            <w:r>
              <w:t>MIT</w:t>
            </w:r>
          </w:p>
        </w:tc>
        <w:tc>
          <w:tcPr>
            <w:tcW w:type="dxa" w:w="3024"/>
          </w:tcPr>
          <w:p>
            <w:r>
              <w:t>Composable React charting library for order volume and performance visualisations on admin and brand dashboards.</w:t>
            </w:r>
          </w:p>
        </w:tc>
        <w:tc>
          <w:tcPr>
            <w:tcW w:type="dxa" w:w="1152"/>
          </w:tcPr>
          <w:p>
            <w:r>
              <w:t>Component</w:t>
            </w:r>
          </w:p>
        </w:tc>
      </w:tr>
      <w:tr>
        <w:tc>
          <w:tcPr>
            <w:tcW w:type="dxa" w:w="432"/>
          </w:tcPr>
          <w:p>
            <w:r>
              <w:t>11</w:t>
            </w:r>
          </w:p>
        </w:tc>
        <w:tc>
          <w:tcPr>
            <w:tcW w:type="dxa" w:w="2160"/>
          </w:tcPr>
          <w:p>
            <w:r>
              <w:t>lucide-react</w:t>
            </w:r>
          </w:p>
        </w:tc>
        <w:tc>
          <w:tcPr>
            <w:tcW w:type="dxa" w:w="1008"/>
          </w:tcPr>
          <w:p>
            <w:r>
              <w:t>^1.7.0</w:t>
            </w:r>
          </w:p>
        </w:tc>
        <w:tc>
          <w:tcPr>
            <w:tcW w:type="dxa" w:w="864"/>
          </w:tcPr>
          <w:p>
            <w:r>
              <w:t>Buy</w:t>
            </w:r>
          </w:p>
        </w:tc>
        <w:tc>
          <w:tcPr>
            <w:tcW w:type="dxa" w:w="1728"/>
          </w:tcPr>
          <w:p>
            <w:r>
              <w:t>ISC</w:t>
            </w:r>
          </w:p>
        </w:tc>
        <w:tc>
          <w:tcPr>
            <w:tcW w:type="dxa" w:w="3024"/>
          </w:tcPr>
          <w:p>
            <w:r>
              <w:t>Icon component library providing all UI iconography across 15+ components.</w:t>
            </w:r>
          </w:p>
        </w:tc>
        <w:tc>
          <w:tcPr>
            <w:tcW w:type="dxa" w:w="1152"/>
          </w:tcPr>
          <w:p>
            <w:r>
              <w:t>Object</w:t>
            </w:r>
          </w:p>
        </w:tc>
      </w:tr>
      <w:tr>
        <w:tc>
          <w:tcPr>
            <w:tcW w:type="dxa" w:w="432"/>
          </w:tcPr>
          <w:p>
            <w:r>
              <w:t>12</w:t>
            </w:r>
          </w:p>
        </w:tc>
        <w:tc>
          <w:tcPr>
            <w:tcW w:type="dxa" w:w="2160"/>
          </w:tcPr>
          <w:p>
            <w:r>
              <w:t>xlsx</w:t>
            </w:r>
          </w:p>
        </w:tc>
        <w:tc>
          <w:tcPr>
            <w:tcW w:type="dxa" w:w="1008"/>
          </w:tcPr>
          <w:p>
            <w:r>
              <w:t>^0.18.5</w:t>
            </w:r>
          </w:p>
        </w:tc>
        <w:tc>
          <w:tcPr>
            <w:tcW w:type="dxa" w:w="864"/>
          </w:tcPr>
          <w:p>
            <w:r>
              <w:t>Buy</w:t>
            </w:r>
          </w:p>
        </w:tc>
        <w:tc>
          <w:tcPr>
            <w:tcW w:type="dxa" w:w="1728"/>
          </w:tcPr>
          <w:p>
            <w:r>
              <w:t>Apache 2.0</w:t>
            </w:r>
          </w:p>
        </w:tc>
        <w:tc>
          <w:tcPr>
            <w:tcW w:type="dxa" w:w="3024"/>
          </w:tcPr>
          <w:p>
            <w:r>
              <w:t>Enables Excel catalogue import in CatalogImportModal.tsx — brand owners bulk-upload product listings via .xlsx files.</w:t>
            </w:r>
          </w:p>
        </w:tc>
        <w:tc>
          <w:tcPr>
            <w:tcW w:type="dxa" w:w="1152"/>
          </w:tcPr>
          <w:p>
            <w:r>
              <w:t>Component</w:t>
            </w:r>
          </w:p>
        </w:tc>
      </w:tr>
      <w:tr>
        <w:tc>
          <w:tcPr>
            <w:tcW w:type="dxa" w:w="432"/>
          </w:tcPr>
          <w:p>
            <w:r>
              <w:t>13</w:t>
            </w:r>
          </w:p>
        </w:tc>
        <w:tc>
          <w:tcPr>
            <w:tcW w:type="dxa" w:w="2160"/>
          </w:tcPr>
          <w:p>
            <w:r>
              <w:t>Custom Trust Engine</w:t>
            </w:r>
          </w:p>
        </w:tc>
        <w:tc>
          <w:tcPr>
            <w:tcW w:type="dxa" w:w="1008"/>
          </w:tcPr>
          <w:p>
            <w:r>
              <w:t>N/A</w:t>
            </w:r>
          </w:p>
        </w:tc>
        <w:tc>
          <w:tcPr>
            <w:tcW w:type="dxa" w:w="864"/>
          </w:tcPr>
          <w:p>
            <w:r>
              <w:t>Make</w:t>
            </w:r>
          </w:p>
        </w:tc>
        <w:tc>
          <w:tcPr>
            <w:tcW w:type="dxa" w:w="1728"/>
          </w:tcPr>
          <w:p>
            <w:r>
              <w:t>Proprietary</w:t>
            </w:r>
          </w:p>
        </w:tc>
        <w:tc>
          <w:tcPr>
            <w:tcW w:type="dxa" w:w="3024"/>
          </w:tcPr>
          <w:p>
            <w:r>
              <w:t>No off-the-shelf solution for Kuwait-specific B2B trust scoring. Calculates response_rate, completion_rate, avg_fulfillment_days, and badge thresholds for BrandTrust and BuyerTrust. Core differentiating IP.</w:t>
            </w:r>
          </w:p>
        </w:tc>
        <w:tc>
          <w:tcPr>
            <w:tcW w:type="dxa" w:w="1152"/>
          </w:tcPr>
          <w:p>
            <w:r>
              <w:t>Abstract</w:t>
            </w:r>
          </w:p>
        </w:tc>
      </w:tr>
      <w:tr>
        <w:tc>
          <w:tcPr>
            <w:tcW w:type="dxa" w:w="432"/>
          </w:tcPr>
          <w:p>
            <w:r>
              <w:t>14</w:t>
            </w:r>
          </w:p>
        </w:tc>
        <w:tc>
          <w:tcPr>
            <w:tcW w:type="dxa" w:w="2160"/>
          </w:tcPr>
          <w:p>
            <w:r>
              <w:t>Custom RBAC Middleware</w:t>
            </w:r>
          </w:p>
        </w:tc>
        <w:tc>
          <w:tcPr>
            <w:tcW w:type="dxa" w:w="1008"/>
          </w:tcPr>
          <w:p>
            <w:r>
              <w:t>N/A</w:t>
            </w:r>
          </w:p>
        </w:tc>
        <w:tc>
          <w:tcPr>
            <w:tcW w:type="dxa" w:w="864"/>
          </w:tcPr>
          <w:p>
            <w:r>
              <w:t>Make</w:t>
            </w:r>
          </w:p>
        </w:tc>
        <w:tc>
          <w:tcPr>
            <w:tcW w:type="dxa" w:w="1728"/>
          </w:tcPr>
          <w:p>
            <w:r>
              <w:t>Proprietary</w:t>
            </w:r>
          </w:p>
        </w:tc>
        <w:tc>
          <w:tcPr>
            <w:tcW w:type="dxa" w:w="3024"/>
          </w:tcPr>
          <w:p>
            <w:r>
              <w:t>Three-tier role model (admin, brand_owner, buyer) does not map to any generic RBAC library. Enforced via getCurrentUser() guard in auth.ts and middleware.ts.</w:t>
            </w:r>
          </w:p>
        </w:tc>
        <w:tc>
          <w:tcPr>
            <w:tcW w:type="dxa" w:w="1152"/>
          </w:tcPr>
          <w:p>
            <w:r>
              <w:t>Abstract</w:t>
            </w:r>
          </w:p>
        </w:tc>
      </w:tr>
      <w:tr>
        <w:tc>
          <w:tcPr>
            <w:tcW w:type="dxa" w:w="432"/>
          </w:tcPr>
          <w:p>
            <w:r>
              <w:t>15</w:t>
            </w:r>
          </w:p>
        </w:tc>
        <w:tc>
          <w:tcPr>
            <w:tcW w:type="dxa" w:w="2160"/>
          </w:tcPr>
          <w:p>
            <w:r>
              <w:t>Custom REST API Layer</w:t>
            </w:r>
          </w:p>
        </w:tc>
        <w:tc>
          <w:tcPr>
            <w:tcW w:type="dxa" w:w="1008"/>
          </w:tcPr>
          <w:p>
            <w:r>
              <w:t>N/A</w:t>
            </w:r>
          </w:p>
        </w:tc>
        <w:tc>
          <w:tcPr>
            <w:tcW w:type="dxa" w:w="864"/>
          </w:tcPr>
          <w:p>
            <w:r>
              <w:t>Make</w:t>
            </w:r>
          </w:p>
        </w:tc>
        <w:tc>
          <w:tcPr>
            <w:tcW w:type="dxa" w:w="1728"/>
          </w:tcPr>
          <w:p>
            <w:r>
              <w:t>Proprietary</w:t>
            </w:r>
          </w:p>
        </w:tc>
        <w:tc>
          <w:tcPr>
            <w:tcW w:type="dxa" w:w="3024"/>
          </w:tcPr>
          <w:p>
            <w:r>
              <w:t>All 25 API handlers encode domain-specific rules: MOQ enforcement, bulk pricing resolution, WhatsApp click tracking, multi-role order lifecycle management.</w:t>
            </w:r>
          </w:p>
        </w:tc>
        <w:tc>
          <w:tcPr>
            <w:tcW w:type="dxa" w:w="1152"/>
          </w:tcPr>
          <w:p>
            <w:r>
              <w:t>Component</w:t>
            </w:r>
          </w:p>
        </w:tc>
      </w:tr>
    </w:tbl>
    <w:p/>
    <w:p>
      <w:pPr/>
      <w:r>
        <w:t>Summary by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rPr>
              <w:t>Decision</w:t>
            </w:r>
          </w:p>
        </w:tc>
        <w:tc>
          <w:tcPr>
            <w:tcW w:type="dxa" w:w="1008"/>
          </w:tcPr>
          <w:p>
            <w:r>
              <w:rPr>
                <w:b/>
              </w:rPr>
              <w:t>Count</w:t>
            </w:r>
          </w:p>
        </w:tc>
        <w:tc>
          <w:tcPr>
            <w:tcW w:type="dxa" w:w="1008"/>
          </w:tcPr>
          <w:p>
            <w:r>
              <w:rPr>
                <w:b/>
              </w:rPr>
              <w:t>Share</w:t>
            </w:r>
          </w:p>
        </w:tc>
        <w:tc>
          <w:tcPr>
            <w:tcW w:type="dxa" w:w="4752"/>
          </w:tcPr>
          <w:p>
            <w:r>
              <w:rPr>
                <w:b/>
              </w:rPr>
              <w:t>Commentary</w:t>
            </w:r>
          </w:p>
        </w:tc>
      </w:tr>
      <w:tr>
        <w:tc>
          <w:tcPr>
            <w:tcW w:type="dxa" w:w="2592"/>
          </w:tcPr>
          <w:p>
            <w:r>
              <w:t>Buy (open-source libraries)</w:t>
            </w:r>
          </w:p>
        </w:tc>
        <w:tc>
          <w:tcPr>
            <w:tcW w:type="dxa" w:w="1008"/>
          </w:tcPr>
          <w:p>
            <w:r>
              <w:t>9</w:t>
            </w:r>
          </w:p>
        </w:tc>
        <w:tc>
          <w:tcPr>
            <w:tcW w:type="dxa" w:w="1008"/>
          </w:tcPr>
          <w:p>
            <w:r>
              <w:t>60%</w:t>
            </w:r>
          </w:p>
        </w:tc>
        <w:tc>
          <w:tcPr>
            <w:tcW w:type="dxa" w:w="4752"/>
          </w:tcPr>
          <w:p>
            <w:r>
              <w:t>Deliberate maximisation of open-source adoption to reduce development effort.</w:t>
            </w:r>
          </w:p>
        </w:tc>
      </w:tr>
      <w:tr>
        <w:tc>
          <w:tcPr>
            <w:tcW w:type="dxa" w:w="2592"/>
          </w:tcPr>
          <w:p>
            <w:r>
              <w:t>Lease (managed cloud services)</w:t>
            </w:r>
          </w:p>
        </w:tc>
        <w:tc>
          <w:tcPr>
            <w:tcW w:type="dxa" w:w="1008"/>
          </w:tcPr>
          <w:p>
            <w:r>
              <w:t>3</w:t>
            </w:r>
          </w:p>
        </w:tc>
        <w:tc>
          <w:tcPr>
            <w:tcW w:type="dxa" w:w="1008"/>
          </w:tcPr>
          <w:p>
            <w:r>
              <w:t>20%</w:t>
            </w:r>
          </w:p>
        </w:tc>
        <w:tc>
          <w:tcPr>
            <w:tcW w:type="dxa" w:w="4752"/>
          </w:tcPr>
          <w:p>
            <w:r>
              <w:t>Infrastructure delegated to Supabase and Vercel; no servers to manage.</w:t>
            </w:r>
          </w:p>
        </w:tc>
      </w:tr>
      <w:tr>
        <w:tc>
          <w:tcPr>
            <w:tcW w:type="dxa" w:w="2592"/>
          </w:tcPr>
          <w:p>
            <w:r>
              <w:t>Make (custom-built in-house)</w:t>
            </w:r>
          </w:p>
        </w:tc>
        <w:tc>
          <w:tcPr>
            <w:tcW w:type="dxa" w:w="1008"/>
          </w:tcPr>
          <w:p>
            <w:r>
              <w:t>3</w:t>
            </w:r>
          </w:p>
        </w:tc>
        <w:tc>
          <w:tcPr>
            <w:tcW w:type="dxa" w:w="1008"/>
          </w:tcPr>
          <w:p>
            <w:r>
              <w:t>20%</w:t>
            </w:r>
          </w:p>
        </w:tc>
        <w:tc>
          <w:tcPr>
            <w:tcW w:type="dxa" w:w="4752"/>
          </w:tcPr>
          <w:p>
            <w:r>
              <w:t>Concentrated exclusively on domain logic constituting the platform's competitive differentiation — Trust Engine, RBAC, and B2B API ruleset.</w:t>
            </w:r>
          </w:p>
        </w:tc>
      </w:tr>
    </w:tbl>
    <w:p/>
    <w:p>
      <w:pPr/>
      <w:r>
        <w:t>No proprietary closed-source software was purchased, keeping total licensing cost at zero for the prototype phase.</w:t>
      </w:r>
    </w:p>
    <w:p>
      <w:pPr>
        <w:pStyle w:val="Heading2"/>
      </w:pPr>
      <w:r>
        <w:t>4.2  Software Reuse Analysis</w:t>
      </w:r>
    </w:p>
    <w:p>
      <w:pPr/>
      <w:r>
        <w:t>The Software Reuse Analysis focuses on the twelve externally-sourced components (nine Buy + three Lease decisions) and catalogues the reuse level, integration depth, and the specific codebase location at which each component is consumed. Reuse classification follows Sommerville's four-level taxonomy (System, Component, Object, Abstract).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rPr>
              <w:t>#</w:t>
            </w:r>
          </w:p>
        </w:tc>
        <w:tc>
          <w:tcPr>
            <w:tcW w:type="dxa" w:w="1872"/>
          </w:tcPr>
          <w:p>
            <w:r>
              <w:rPr>
                <w:b/>
              </w:rPr>
              <w:t>Component</w:t>
            </w:r>
          </w:p>
        </w:tc>
        <w:tc>
          <w:tcPr>
            <w:tcW w:type="dxa" w:w="1008"/>
          </w:tcPr>
          <w:p>
            <w:r>
              <w:rPr>
                <w:b/>
              </w:rPr>
              <w:t>Version</w:t>
            </w:r>
          </w:p>
        </w:tc>
        <w:tc>
          <w:tcPr>
            <w:tcW w:type="dxa" w:w="1296"/>
          </w:tcPr>
          <w:p>
            <w:r>
              <w:rPr>
                <w:b/>
              </w:rPr>
              <w:t>Reuse Level</w:t>
            </w:r>
          </w:p>
        </w:tc>
        <w:tc>
          <w:tcPr>
            <w:tcW w:type="dxa" w:w="1728"/>
          </w:tcPr>
          <w:p>
            <w:r>
              <w:rPr>
                <w:b/>
              </w:rPr>
              <w:t>License</w:t>
            </w:r>
          </w:p>
        </w:tc>
        <w:tc>
          <w:tcPr>
            <w:tcW w:type="dxa" w:w="2880"/>
          </w:tcPr>
          <w:p>
            <w:r>
              <w:rPr>
                <w:b/>
              </w:rPr>
              <w:t>Primary Integration Point</w:t>
            </w:r>
          </w:p>
        </w:tc>
        <w:tc>
          <w:tcPr>
            <w:tcW w:type="dxa" w:w="1584"/>
          </w:tcPr>
          <w:p>
            <w:r>
              <w:rPr>
                <w:b/>
              </w:rPr>
              <w:t>Dependency Type</w:t>
            </w:r>
          </w:p>
        </w:tc>
      </w:tr>
      <w:tr>
        <w:tc>
          <w:tcPr>
            <w:tcW w:type="dxa" w:w="432"/>
          </w:tcPr>
          <w:p>
            <w:r>
              <w:t>1</w:t>
            </w:r>
          </w:p>
        </w:tc>
        <w:tc>
          <w:tcPr>
            <w:tcW w:type="dxa" w:w="1872"/>
          </w:tcPr>
          <w:p>
            <w:r>
              <w:t>Next.js Framework</w:t>
            </w:r>
          </w:p>
        </w:tc>
        <w:tc>
          <w:tcPr>
            <w:tcW w:type="dxa" w:w="1008"/>
          </w:tcPr>
          <w:p>
            <w:r>
              <w:t>16.2.2</w:t>
            </w:r>
          </w:p>
        </w:tc>
        <w:tc>
          <w:tcPr>
            <w:tcW w:type="dxa" w:w="1296"/>
          </w:tcPr>
          <w:p>
            <w:r>
              <w:t>System</w:t>
            </w:r>
          </w:p>
        </w:tc>
        <w:tc>
          <w:tcPr>
            <w:tcW w:type="dxa" w:w="1728"/>
          </w:tcPr>
          <w:p>
            <w:r>
              <w:t>MIT</w:t>
            </w:r>
          </w:p>
        </w:tc>
        <w:tc>
          <w:tcPr>
            <w:tcW w:type="dxa" w:w="2880"/>
          </w:tcPr>
          <w:p>
            <w:r>
              <w:t>next.config.ts; entire src/app/ directory (App Router convention)</w:t>
            </w:r>
          </w:p>
        </w:tc>
        <w:tc>
          <w:tcPr>
            <w:tcW w:type="dxa" w:w="1584"/>
          </w:tcPr>
          <w:p>
            <w:r>
              <w:t>Framework — entire application is scaffolded inside Next.js</w:t>
            </w:r>
          </w:p>
        </w:tc>
      </w:tr>
      <w:tr>
        <w:tc>
          <w:tcPr>
            <w:tcW w:type="dxa" w:w="432"/>
          </w:tcPr>
          <w:p>
            <w:r>
              <w:t>2</w:t>
            </w:r>
          </w:p>
        </w:tc>
        <w:tc>
          <w:tcPr>
            <w:tcW w:type="dxa" w:w="1872"/>
          </w:tcPr>
          <w:p>
            <w:r>
              <w:t>React</w:t>
            </w:r>
          </w:p>
        </w:tc>
        <w:tc>
          <w:tcPr>
            <w:tcW w:type="dxa" w:w="1008"/>
          </w:tcPr>
          <w:p>
            <w:r>
              <w:t>19.2.4</w:t>
            </w:r>
          </w:p>
        </w:tc>
        <w:tc>
          <w:tcPr>
            <w:tcW w:type="dxa" w:w="1296"/>
          </w:tcPr>
          <w:p>
            <w:r>
              <w:t>Component</w:t>
            </w:r>
          </w:p>
        </w:tc>
        <w:tc>
          <w:tcPr>
            <w:tcW w:type="dxa" w:w="1728"/>
          </w:tcPr>
          <w:p>
            <w:r>
              <w:t>MIT</w:t>
            </w:r>
          </w:p>
        </w:tc>
        <w:tc>
          <w:tcPr>
            <w:tcW w:type="dxa" w:w="2880"/>
          </w:tcPr>
          <w:p>
            <w:r>
              <w:t>All .tsx files; JSX transform via tsconfig.json jsx: 'react-jsx'</w:t>
            </w:r>
          </w:p>
        </w:tc>
        <w:tc>
          <w:tcPr>
            <w:tcW w:type="dxa" w:w="1584"/>
          </w:tcPr>
          <w:p>
            <w:r>
              <w:t>Runtime library — all UI components are React components</w:t>
            </w:r>
          </w:p>
        </w:tc>
      </w:tr>
      <w:tr>
        <w:tc>
          <w:tcPr>
            <w:tcW w:type="dxa" w:w="432"/>
          </w:tcPr>
          <w:p>
            <w:r>
              <w:t>3</w:t>
            </w:r>
          </w:p>
        </w:tc>
        <w:tc>
          <w:tcPr>
            <w:tcW w:type="dxa" w:w="1872"/>
          </w:tcPr>
          <w:p>
            <w:r>
              <w:t>TypeScript</w:t>
            </w:r>
          </w:p>
        </w:tc>
        <w:tc>
          <w:tcPr>
            <w:tcW w:type="dxa" w:w="1008"/>
          </w:tcPr>
          <w:p>
            <w:r>
              <w:t>^5.x</w:t>
            </w:r>
          </w:p>
        </w:tc>
        <w:tc>
          <w:tcPr>
            <w:tcW w:type="dxa" w:w="1296"/>
          </w:tcPr>
          <w:p>
            <w:r>
              <w:t>System</w:t>
            </w:r>
          </w:p>
        </w:tc>
        <w:tc>
          <w:tcPr>
            <w:tcW w:type="dxa" w:w="1728"/>
          </w:tcPr>
          <w:p>
            <w:r>
              <w:t>Apache 2.0</w:t>
            </w:r>
          </w:p>
        </w:tc>
        <w:tc>
          <w:tcPr>
            <w:tcW w:type="dxa" w:w="2880"/>
          </w:tcPr>
          <w:p>
            <w:r>
              <w:t>tsconfig.json (strict: true); all .ts and .tsx source files</w:t>
            </w:r>
          </w:p>
        </w:tc>
        <w:tc>
          <w:tcPr>
            <w:tcW w:type="dxa" w:w="1584"/>
          </w:tcPr>
          <w:p>
            <w:r>
              <w:t>Compiler — type-checks all 93 source files at build time</w:t>
            </w:r>
          </w:p>
        </w:tc>
      </w:tr>
      <w:tr>
        <w:tc>
          <w:tcPr>
            <w:tcW w:type="dxa" w:w="432"/>
          </w:tcPr>
          <w:p>
            <w:r>
              <w:t>4</w:t>
            </w:r>
          </w:p>
        </w:tc>
        <w:tc>
          <w:tcPr>
            <w:tcW w:type="dxa" w:w="1872"/>
          </w:tcPr>
          <w:p>
            <w:r>
              <w:t>Supabase Auth (Lease)</w:t>
            </w:r>
          </w:p>
        </w:tc>
        <w:tc>
          <w:tcPr>
            <w:tcW w:type="dxa" w:w="1008"/>
          </w:tcPr>
          <w:p>
            <w:r>
              <w:t>^2.101.1</w:t>
            </w:r>
          </w:p>
        </w:tc>
        <w:tc>
          <w:tcPr>
            <w:tcW w:type="dxa" w:w="1296"/>
          </w:tcPr>
          <w:p>
            <w:r>
              <w:t>System</w:t>
            </w:r>
          </w:p>
        </w:tc>
        <w:tc>
          <w:tcPr>
            <w:tcW w:type="dxa" w:w="1728"/>
          </w:tcPr>
          <w:p>
            <w:r>
              <w:t>Apache 2.0 / Supabase ToS</w:t>
            </w:r>
          </w:p>
        </w:tc>
        <w:tc>
          <w:tcPr>
            <w:tcW w:type="dxa" w:w="2880"/>
          </w:tcPr>
          <w:p>
            <w:r>
              <w:t>src/utils/supabase/server.ts → consumed by src/lib/auth.ts</w:t>
            </w:r>
          </w:p>
        </w:tc>
        <w:tc>
          <w:tcPr>
            <w:tcW w:type="dxa" w:w="1584"/>
          </w:tcPr>
          <w:p>
            <w:r>
              <w:t>Managed service — JWT session management delegated entirely to Supabase</w:t>
            </w:r>
          </w:p>
        </w:tc>
      </w:tr>
      <w:tr>
        <w:tc>
          <w:tcPr>
            <w:tcW w:type="dxa" w:w="432"/>
          </w:tcPr>
          <w:p>
            <w:r>
              <w:t>5</w:t>
            </w:r>
          </w:p>
        </w:tc>
        <w:tc>
          <w:tcPr>
            <w:tcW w:type="dxa" w:w="1872"/>
          </w:tcPr>
          <w:p>
            <w:r>
              <w:t>@supabase/ssr SDK</w:t>
            </w:r>
          </w:p>
        </w:tc>
        <w:tc>
          <w:tcPr>
            <w:tcW w:type="dxa" w:w="1008"/>
          </w:tcPr>
          <w:p>
            <w:r>
              <w:t>^0.10.0</w:t>
            </w:r>
          </w:p>
        </w:tc>
        <w:tc>
          <w:tcPr>
            <w:tcW w:type="dxa" w:w="1296"/>
          </w:tcPr>
          <w:p>
            <w:r>
              <w:t>Component</w:t>
            </w:r>
          </w:p>
        </w:tc>
        <w:tc>
          <w:tcPr>
            <w:tcW w:type="dxa" w:w="1728"/>
          </w:tcPr>
          <w:p>
            <w:r>
              <w:t>Apache 2.0</w:t>
            </w:r>
          </w:p>
        </w:tc>
        <w:tc>
          <w:tcPr>
            <w:tcW w:type="dxa" w:w="2880"/>
          </w:tcPr>
          <w:p>
            <w:r>
              <w:t>src/utils/supabase/server.ts (createServerClient); src/utils/supabase/client.ts (createBrowserClient)</w:t>
            </w:r>
          </w:p>
        </w:tc>
        <w:tc>
          <w:tcPr>
            <w:tcW w:type="dxa" w:w="1584"/>
          </w:tcPr>
          <w:p>
            <w:r>
              <w:t>SDK — adapts Supabase Auth to Next.js cookie-based SSR sessions</w:t>
            </w:r>
          </w:p>
        </w:tc>
      </w:tr>
      <w:tr>
        <w:tc>
          <w:tcPr>
            <w:tcW w:type="dxa" w:w="432"/>
          </w:tcPr>
          <w:p>
            <w:r>
              <w:t>6</w:t>
            </w:r>
          </w:p>
        </w:tc>
        <w:tc>
          <w:tcPr>
            <w:tcW w:type="dxa" w:w="1872"/>
          </w:tcPr>
          <w:p>
            <w:r>
              <w:t>PostgreSQL (Lease)</w:t>
            </w:r>
          </w:p>
        </w:tc>
        <w:tc>
          <w:tcPr>
            <w:tcW w:type="dxa" w:w="1008"/>
          </w:tcPr>
          <w:p>
            <w:r>
              <w:t>Managed</w:t>
            </w:r>
          </w:p>
        </w:tc>
        <w:tc>
          <w:tcPr>
            <w:tcW w:type="dxa" w:w="1296"/>
          </w:tcPr>
          <w:p>
            <w:r>
              <w:t>System</w:t>
            </w:r>
          </w:p>
        </w:tc>
        <w:tc>
          <w:tcPr>
            <w:tcW w:type="dxa" w:w="1728"/>
          </w:tcPr>
          <w:p>
            <w:r>
              <w:t>PostgreSQL Lic. / Supabase ToS</w:t>
            </w:r>
          </w:p>
        </w:tc>
        <w:tc>
          <w:tcPr>
            <w:tcW w:type="dxa" w:w="2880"/>
          </w:tcPr>
          <w:p>
            <w:r>
              <w:t>Target production store; currently accessed via Supabase dashboard for auth; db.ts will point to PostgreSQL post-migration</w:t>
            </w:r>
          </w:p>
        </w:tc>
        <w:tc>
          <w:tcPr>
            <w:tcW w:type="dxa" w:w="1584"/>
          </w:tcPr>
          <w:p>
            <w:r>
              <w:t>Managed service — no local PostgreSQL installation required</w:t>
            </w:r>
          </w:p>
        </w:tc>
      </w:tr>
      <w:tr>
        <w:tc>
          <w:tcPr>
            <w:tcW w:type="dxa" w:w="432"/>
          </w:tcPr>
          <w:p>
            <w:r>
              <w:t>7</w:t>
            </w:r>
          </w:p>
        </w:tc>
        <w:tc>
          <w:tcPr>
            <w:tcW w:type="dxa" w:w="1872"/>
          </w:tcPr>
          <w:p>
            <w:r>
              <w:t>Vercel (Lease)</w:t>
            </w:r>
          </w:p>
        </w:tc>
        <w:tc>
          <w:tcPr>
            <w:tcW w:type="dxa" w:w="1008"/>
          </w:tcPr>
          <w:p>
            <w:r>
              <w:t>N/A</w:t>
            </w:r>
          </w:p>
        </w:tc>
        <w:tc>
          <w:tcPr>
            <w:tcW w:type="dxa" w:w="1296"/>
          </w:tcPr>
          <w:p>
            <w:r>
              <w:t>System</w:t>
            </w:r>
          </w:p>
        </w:tc>
        <w:tc>
          <w:tcPr>
            <w:tcW w:type="dxa" w:w="1728"/>
          </w:tcPr>
          <w:p>
            <w:r>
              <w:t>Proprietary ToS</w:t>
            </w:r>
          </w:p>
        </w:tc>
        <w:tc>
          <w:tcPr>
            <w:tcW w:type="dxa" w:w="2880"/>
          </w:tcPr>
          <w:p>
            <w:r>
              <w:t>vercel.json (implicit); Git remote → Vercel CI/CD webhook</w:t>
            </w:r>
          </w:p>
        </w:tc>
        <w:tc>
          <w:tcPr>
            <w:tcW w:type="dxa" w:w="1584"/>
          </w:tcPr>
          <w:p>
            <w:r>
              <w:t>Managed service — hosts all Next.js SSR pages and serverless API routes</w:t>
            </w:r>
          </w:p>
        </w:tc>
      </w:tr>
      <w:tr>
        <w:tc>
          <w:tcPr>
            <w:tcW w:type="dxa" w:w="432"/>
          </w:tcPr>
          <w:p>
            <w:r>
              <w:t>8</w:t>
            </w:r>
          </w:p>
        </w:tc>
        <w:tc>
          <w:tcPr>
            <w:tcW w:type="dxa" w:w="1872"/>
          </w:tcPr>
          <w:p>
            <w:r>
              <w:t>next-intl</w:t>
            </w:r>
          </w:p>
        </w:tc>
        <w:tc>
          <w:tcPr>
            <w:tcW w:type="dxa" w:w="1008"/>
          </w:tcPr>
          <w:p>
            <w:r>
              <w:t>^4.9.0</w:t>
            </w:r>
          </w:p>
        </w:tc>
        <w:tc>
          <w:tcPr>
            <w:tcW w:type="dxa" w:w="1296"/>
          </w:tcPr>
          <w:p>
            <w:r>
              <w:t>Component</w:t>
            </w:r>
          </w:p>
        </w:tc>
        <w:tc>
          <w:tcPr>
            <w:tcW w:type="dxa" w:w="1728"/>
          </w:tcPr>
          <w:p>
            <w:r>
              <w:t>MIT</w:t>
            </w:r>
          </w:p>
        </w:tc>
        <w:tc>
          <w:tcPr>
            <w:tcW w:type="dxa" w:w="2880"/>
          </w:tcPr>
          <w:p>
            <w:r>
              <w:t>src/i18n/request.ts; src/i18n.ts; next.config.ts (withNextIntl plugin); messages/ar.json + messages/en.json</w:t>
            </w:r>
          </w:p>
        </w:tc>
        <w:tc>
          <w:tcPr>
            <w:tcW w:type="dxa" w:w="1584"/>
          </w:tcPr>
          <w:p>
            <w:r>
              <w:t>Plugin + library — wraps the Next.js router for locale-aware routing</w:t>
            </w:r>
          </w:p>
        </w:tc>
      </w:tr>
      <w:tr>
        <w:tc>
          <w:tcPr>
            <w:tcW w:type="dxa" w:w="432"/>
          </w:tcPr>
          <w:p>
            <w:r>
              <w:t>9</w:t>
            </w:r>
          </w:p>
        </w:tc>
        <w:tc>
          <w:tcPr>
            <w:tcW w:type="dxa" w:w="1872"/>
          </w:tcPr>
          <w:p>
            <w:r>
              <w:t>Zustand</w:t>
            </w:r>
          </w:p>
        </w:tc>
        <w:tc>
          <w:tcPr>
            <w:tcW w:type="dxa" w:w="1008"/>
          </w:tcPr>
          <w:p>
            <w:r>
              <w:t>^5.0.12</w:t>
            </w:r>
          </w:p>
        </w:tc>
        <w:tc>
          <w:tcPr>
            <w:tcW w:type="dxa" w:w="1296"/>
          </w:tcPr>
          <w:p>
            <w:r>
              <w:t>Object</w:t>
            </w:r>
          </w:p>
        </w:tc>
        <w:tc>
          <w:tcPr>
            <w:tcW w:type="dxa" w:w="1728"/>
          </w:tcPr>
          <w:p>
            <w:r>
              <w:t>MIT</w:t>
            </w:r>
          </w:p>
        </w:tc>
        <w:tc>
          <w:tcPr>
            <w:tcW w:type="dxa" w:w="2880"/>
          </w:tcPr>
          <w:p>
            <w:r>
              <w:t>src/store/notificationStore.ts (create()); consumed by NotificationBell.tsx and RealtimeProvider.tsx</w:t>
            </w:r>
          </w:p>
        </w:tc>
        <w:tc>
          <w:tcPr>
            <w:tcW w:type="dxa" w:w="1584"/>
          </w:tcPr>
          <w:p>
            <w:r>
              <w:t>Library — single store slice; zero-boilerplate hook API</w:t>
            </w:r>
          </w:p>
        </w:tc>
      </w:tr>
      <w:tr>
        <w:tc>
          <w:tcPr>
            <w:tcW w:type="dxa" w:w="432"/>
          </w:tcPr>
          <w:p>
            <w:r>
              <w:t>10</w:t>
            </w:r>
          </w:p>
        </w:tc>
        <w:tc>
          <w:tcPr>
            <w:tcW w:type="dxa" w:w="1872"/>
          </w:tcPr>
          <w:p>
            <w:r>
              <w:t>Recharts</w:t>
            </w:r>
          </w:p>
        </w:tc>
        <w:tc>
          <w:tcPr>
            <w:tcW w:type="dxa" w:w="1008"/>
          </w:tcPr>
          <w:p>
            <w:r>
              <w:t>^3.8.1</w:t>
            </w:r>
          </w:p>
        </w:tc>
        <w:tc>
          <w:tcPr>
            <w:tcW w:type="dxa" w:w="1296"/>
          </w:tcPr>
          <w:p>
            <w:r>
              <w:t>Component</w:t>
            </w:r>
          </w:p>
        </w:tc>
        <w:tc>
          <w:tcPr>
            <w:tcW w:type="dxa" w:w="1728"/>
          </w:tcPr>
          <w:p>
            <w:r>
              <w:t>MIT</w:t>
            </w:r>
          </w:p>
        </w:tc>
        <w:tc>
          <w:tcPr>
            <w:tcW w:type="dxa" w:w="2880"/>
          </w:tcPr>
          <w:p>
            <w:r>
              <w:t>src/app/admin/dashboard/page.tsx; src/app/brand/dashboard/page.tsx</w:t>
            </w:r>
          </w:p>
        </w:tc>
        <w:tc>
          <w:tcPr>
            <w:tcW w:type="dxa" w:w="1584"/>
          </w:tcPr>
          <w:p>
            <w:r>
              <w:t>Library — composable chart components rendered inside React pages</w:t>
            </w:r>
          </w:p>
        </w:tc>
      </w:tr>
      <w:tr>
        <w:tc>
          <w:tcPr>
            <w:tcW w:type="dxa" w:w="432"/>
          </w:tcPr>
          <w:p>
            <w:r>
              <w:t>11</w:t>
            </w:r>
          </w:p>
        </w:tc>
        <w:tc>
          <w:tcPr>
            <w:tcW w:type="dxa" w:w="1872"/>
          </w:tcPr>
          <w:p>
            <w:r>
              <w:t>lucide-react</w:t>
            </w:r>
          </w:p>
        </w:tc>
        <w:tc>
          <w:tcPr>
            <w:tcW w:type="dxa" w:w="1008"/>
          </w:tcPr>
          <w:p>
            <w:r>
              <w:t>^1.7.0</w:t>
            </w:r>
          </w:p>
        </w:tc>
        <w:tc>
          <w:tcPr>
            <w:tcW w:type="dxa" w:w="1296"/>
          </w:tcPr>
          <w:p>
            <w:r>
              <w:t>Object</w:t>
            </w:r>
          </w:p>
        </w:tc>
        <w:tc>
          <w:tcPr>
            <w:tcW w:type="dxa" w:w="1728"/>
          </w:tcPr>
          <w:p>
            <w:r>
              <w:t>ISC</w:t>
            </w:r>
          </w:p>
        </w:tc>
        <w:tc>
          <w:tcPr>
            <w:tcW w:type="dxa" w:w="2880"/>
          </w:tcPr>
          <w:p>
            <w:r>
              <w:t>15+ component files (Bell, ShoppingCart, Star, Check, X, ...)</w:t>
            </w:r>
          </w:p>
        </w:tc>
        <w:tc>
          <w:tcPr>
            <w:tcW w:type="dxa" w:w="1584"/>
          </w:tcPr>
          <w:p>
            <w:r>
              <w:t>Library — individual SVG icon components imported by name</w:t>
            </w:r>
          </w:p>
        </w:tc>
      </w:tr>
      <w:tr>
        <w:tc>
          <w:tcPr>
            <w:tcW w:type="dxa" w:w="432"/>
          </w:tcPr>
          <w:p>
            <w:r>
              <w:t>12</w:t>
            </w:r>
          </w:p>
        </w:tc>
        <w:tc>
          <w:tcPr>
            <w:tcW w:type="dxa" w:w="1872"/>
          </w:tcPr>
          <w:p>
            <w:r>
              <w:t>xlsx</w:t>
            </w:r>
          </w:p>
        </w:tc>
        <w:tc>
          <w:tcPr>
            <w:tcW w:type="dxa" w:w="1008"/>
          </w:tcPr>
          <w:p>
            <w:r>
              <w:t>^0.18.5</w:t>
            </w:r>
          </w:p>
        </w:tc>
        <w:tc>
          <w:tcPr>
            <w:tcW w:type="dxa" w:w="1296"/>
          </w:tcPr>
          <w:p>
            <w:r>
              <w:t>Component</w:t>
            </w:r>
          </w:p>
        </w:tc>
        <w:tc>
          <w:tcPr>
            <w:tcW w:type="dxa" w:w="1728"/>
          </w:tcPr>
          <w:p>
            <w:r>
              <w:t>Apache 2.0</w:t>
            </w:r>
          </w:p>
        </w:tc>
        <w:tc>
          <w:tcPr>
            <w:tcW w:type="dxa" w:w="2880"/>
          </w:tcPr>
          <w:p>
            <w:r>
              <w:t>src/components/CatalogImportModal.tsx; src/app/api/products/bulk/route.ts</w:t>
            </w:r>
          </w:p>
        </w:tc>
        <w:tc>
          <w:tcPr>
            <w:tcW w:type="dxa" w:w="1584"/>
          </w:tcPr>
          <w:p>
            <w:r>
              <w:t>Library — XLSX.read() and XLSX.utils.sheet_to_json() called directly</w:t>
            </w:r>
          </w:p>
        </w:tc>
      </w:tr>
    </w:tbl>
    <w:p/>
    <w:p>
      <w:pPr>
        <w:pStyle w:val="Heading2"/>
      </w:pPr>
      <w:r>
        <w:t>4.3  Coding Artefacts &amp; Project Structure</w:t>
      </w:r>
    </w:p>
    <w:p>
      <w:pPr/>
      <w:r>
        <w:t>The Kuwait B2B Hub was developed using a modular, component-driven architecture built on the Next.js 16 App Router paradigm. All core application logic, routing, and UI components are encapsulated within the src/ directory, enforcing a clear separation between presentation, business logic, and data access layers. The directory tree below represents the final physical structure of the workspace repository. API routes are shown in flattened path notation for brevity.</w:t>
      </w:r>
    </w:p>
    <w:p>
      <w:pPr/>
      <w:r>
        <w:t>Figure 8 — Kuwait B2B Hub: Final Project Folder Structure</w:t>
      </w:r>
    </w:p>
    <w:p>
      <w:pPr>
        <w:spacing w:before="0" w:after="0"/>
      </w:pPr>
      <w:r>
        <w:rPr>
          <w:rFonts w:ascii="Courier New" w:hAnsi="Courier New"/>
          <w:sz w:val="14"/>
        </w:rPr>
        <w:t>Kuwait B2B Hub</w:t>
      </w:r>
    </w:p>
    <w:p>
      <w:pPr>
        <w:spacing w:before="0" w:after="0"/>
      </w:pPr>
      <w:r>
        <w:rPr>
          <w:rFonts w:ascii="Courier New" w:hAnsi="Courier New"/>
          <w:sz w:val="14"/>
        </w:rPr>
        <w:t>/app</w:t>
      </w:r>
    </w:p>
    <w:p>
      <w:pPr>
        <w:spacing w:before="0" w:after="0"/>
      </w:pPr>
      <w:r>
        <w:rPr>
          <w:rFonts w:ascii="Courier New" w:hAnsi="Courier New"/>
          <w:sz w:val="14"/>
        </w:rPr>
        <w:t>├── messages/</w:t>
      </w:r>
    </w:p>
    <w:p>
      <w:pPr>
        <w:spacing w:before="0" w:after="0"/>
      </w:pPr>
      <w:r>
        <w:rPr>
          <w:rFonts w:ascii="Courier New" w:hAnsi="Courier New"/>
          <w:sz w:val="14"/>
        </w:rPr>
        <w:t>│   ├── ar.json</w:t>
      </w:r>
    </w:p>
    <w:p>
      <w:pPr>
        <w:spacing w:before="0" w:after="0"/>
      </w:pPr>
      <w:r>
        <w:rPr>
          <w:rFonts w:ascii="Courier New" w:hAnsi="Courier New"/>
          <w:sz w:val="14"/>
        </w:rPr>
        <w:t>│   └── en.json</w:t>
      </w:r>
    </w:p>
    <w:p>
      <w:pPr>
        <w:spacing w:before="0" w:after="0"/>
      </w:pPr>
      <w:r>
        <w:rPr>
          <w:rFonts w:ascii="Courier New" w:hAnsi="Courier New"/>
          <w:sz w:val="14"/>
        </w:rPr>
        <w:t>├── public/</w:t>
      </w:r>
    </w:p>
    <w:p>
      <w:pPr>
        <w:spacing w:before="0" w:after="0"/>
      </w:pPr>
      <w:r>
        <w:rPr>
          <w:rFonts w:ascii="Courier New" w:hAnsi="Courier New"/>
          <w:sz w:val="14"/>
        </w:rPr>
        <w:t>│   ├── file.svg  globe.svg  next.svg  vercel.svg  window.svg</w:t>
      </w:r>
    </w:p>
    <w:p>
      <w:pPr>
        <w:spacing w:before="0" w:after="0"/>
      </w:pPr>
      <w:r>
        <w:rPr>
          <w:rFonts w:ascii="Courier New" w:hAnsi="Courier New"/>
          <w:sz w:val="14"/>
        </w:rPr>
        <w:t>│   └── robots.txt</w:t>
      </w:r>
    </w:p>
    <w:p>
      <w:pPr>
        <w:spacing w:before="0" w:after="0"/>
      </w:pPr>
      <w:r>
        <w:rPr>
          <w:rFonts w:ascii="Courier New" w:hAnsi="Courier New"/>
          <w:sz w:val="14"/>
        </w:rPr>
        <w:t>├── src/</w:t>
      </w:r>
    </w:p>
    <w:p>
      <w:pPr>
        <w:spacing w:before="0" w:after="0"/>
      </w:pPr>
      <w:r>
        <w:rPr>
          <w:rFonts w:ascii="Courier New" w:hAnsi="Courier New"/>
          <w:sz w:val="14"/>
        </w:rPr>
        <w:t>│   ├── app/</w:t>
      </w:r>
    </w:p>
    <w:p>
      <w:pPr>
        <w:spacing w:before="0" w:after="0"/>
      </w:pPr>
      <w:r>
        <w:rPr>
          <w:rFonts w:ascii="Courier New" w:hAnsi="Courier New"/>
          <w:sz w:val="14"/>
        </w:rPr>
        <w:t>│   │   ├── admin/</w:t>
      </w:r>
    </w:p>
    <w:p>
      <w:pPr>
        <w:spacing w:before="0" w:after="0"/>
      </w:pPr>
      <w:r>
        <w:rPr>
          <w:rFonts w:ascii="Courier New" w:hAnsi="Courier New"/>
          <w:sz w:val="14"/>
        </w:rPr>
        <w:t>│   │   │   ├── brands/page.tsx</w:t>
      </w:r>
    </w:p>
    <w:p>
      <w:pPr>
        <w:spacing w:before="0" w:after="0"/>
      </w:pPr>
      <w:r>
        <w:rPr>
          <w:rFonts w:ascii="Courier New" w:hAnsi="Courier New"/>
          <w:sz w:val="14"/>
        </w:rPr>
        <w:t>│   │   │   ├── dashboard/page.tsx</w:t>
      </w:r>
    </w:p>
    <w:p>
      <w:pPr>
        <w:spacing w:before="0" w:after="0"/>
      </w:pPr>
      <w:r>
        <w:rPr>
          <w:rFonts w:ascii="Courier New" w:hAnsi="Courier New"/>
          <w:sz w:val="14"/>
        </w:rPr>
        <w:t>│   │   │   ├── orders/page.tsx</w:t>
      </w:r>
    </w:p>
    <w:p>
      <w:pPr>
        <w:spacing w:before="0" w:after="0"/>
      </w:pPr>
      <w:r>
        <w:rPr>
          <w:rFonts w:ascii="Courier New" w:hAnsi="Courier New"/>
          <w:sz w:val="14"/>
        </w:rPr>
        <w:t>│   │   │   └── users/page.tsx</w:t>
      </w:r>
    </w:p>
    <w:p>
      <w:pPr>
        <w:spacing w:before="0" w:after="0"/>
      </w:pPr>
      <w:r>
        <w:rPr>
          <w:rFonts w:ascii="Courier New" w:hAnsi="Courier New"/>
          <w:sz w:val="14"/>
        </w:rPr>
        <w:t>│   │   ├── api/</w:t>
      </w:r>
    </w:p>
    <w:p>
      <w:pPr>
        <w:spacing w:before="0" w:after="0"/>
      </w:pPr>
      <w:r>
        <w:rPr>
          <w:rFonts w:ascii="Courier New" w:hAnsi="Courier New"/>
          <w:sz w:val="14"/>
        </w:rPr>
        <w:t>│   │   │   ├── admin/brands/[id]/route.ts    admin/brands/route.ts</w:t>
      </w:r>
    </w:p>
    <w:p>
      <w:pPr>
        <w:spacing w:before="0" w:after="0"/>
      </w:pPr>
      <w:r>
        <w:rPr>
          <w:rFonts w:ascii="Courier New" w:hAnsi="Courier New"/>
          <w:sz w:val="14"/>
        </w:rPr>
        <w:t>│   │   │   ├── admin/orders/route.ts         admin/reviews/[id]/route.ts</w:t>
      </w:r>
    </w:p>
    <w:p>
      <w:pPr>
        <w:spacing w:before="0" w:after="0"/>
      </w:pPr>
      <w:r>
        <w:rPr>
          <w:rFonts w:ascii="Courier New" w:hAnsi="Courier New"/>
          <w:sz w:val="14"/>
        </w:rPr>
        <w:t>│   │   │   ├── admin/users/route.ts</w:t>
      </w:r>
    </w:p>
    <w:p>
      <w:pPr>
        <w:spacing w:before="0" w:after="0"/>
      </w:pPr>
      <w:r>
        <w:rPr>
          <w:rFonts w:ascii="Courier New" w:hAnsi="Courier New"/>
          <w:sz w:val="14"/>
        </w:rPr>
        <w:t>│   │   │   ├── auth/login/route.ts           auth/logout/route.ts</w:t>
      </w:r>
    </w:p>
    <w:p>
      <w:pPr>
        <w:spacing w:before="0" w:after="0"/>
      </w:pPr>
      <w:r>
        <w:rPr>
          <w:rFonts w:ascii="Courier New" w:hAnsi="Courier New"/>
          <w:sz w:val="14"/>
        </w:rPr>
        <w:t>│   │   │   ├── auth/me/route.ts              auth/register/route.ts</w:t>
      </w:r>
    </w:p>
    <w:p>
      <w:pPr>
        <w:spacing w:before="0" w:after="0"/>
      </w:pPr>
      <w:r>
        <w:rPr>
          <w:rFonts w:ascii="Courier New" w:hAnsi="Courier New"/>
          <w:sz w:val="14"/>
        </w:rPr>
        <w:t>│   │   │   ├── brands/[id]/route.ts          brands/route.ts</w:t>
      </w:r>
    </w:p>
    <w:p>
      <w:pPr>
        <w:spacing w:before="0" w:after="0"/>
      </w:pPr>
      <w:r>
        <w:rPr>
          <w:rFonts w:ascii="Courier New" w:hAnsi="Courier New"/>
          <w:sz w:val="14"/>
        </w:rPr>
        <w:t>│   │   │   ├── brands/whatsapp-click/route.ts</w:t>
      </w:r>
    </w:p>
    <w:p>
      <w:pPr>
        <w:spacing w:before="0" w:after="0"/>
      </w:pPr>
      <w:r>
        <w:rPr>
          <w:rFonts w:ascii="Courier New" w:hAnsi="Courier New"/>
          <w:sz w:val="14"/>
        </w:rPr>
        <w:t>│   │   │   ├── exchange-rates/route.ts       messages/route.ts</w:t>
      </w:r>
    </w:p>
    <w:p>
      <w:pPr>
        <w:spacing w:before="0" w:after="0"/>
      </w:pPr>
      <w:r>
        <w:rPr>
          <w:rFonts w:ascii="Courier New" w:hAnsi="Courier New"/>
          <w:sz w:val="14"/>
        </w:rPr>
        <w:t>│   │   │   ├── notifications/[id]/route.ts   notifications/route.ts</w:t>
      </w:r>
    </w:p>
    <w:p>
      <w:pPr>
        <w:spacing w:before="0" w:after="0"/>
      </w:pPr>
      <w:r>
        <w:rPr>
          <w:rFonts w:ascii="Courier New" w:hAnsi="Courier New"/>
          <w:sz w:val="14"/>
        </w:rPr>
        <w:t>│   │   │   ├── orders/[id]/route.ts          orders/route.ts</w:t>
      </w:r>
    </w:p>
    <w:p>
      <w:pPr>
        <w:spacing w:before="0" w:after="0"/>
      </w:pPr>
      <w:r>
        <w:rPr>
          <w:rFonts w:ascii="Courier New" w:hAnsi="Courier New"/>
          <w:sz w:val="14"/>
        </w:rPr>
        <w:t>│   │   │   ├── products/[id]/route.ts        products/bulk/route.ts</w:t>
      </w:r>
    </w:p>
    <w:p>
      <w:pPr>
        <w:spacing w:before="0" w:after="0"/>
      </w:pPr>
      <w:r>
        <w:rPr>
          <w:rFonts w:ascii="Courier New" w:hAnsi="Courier New"/>
          <w:sz w:val="14"/>
        </w:rPr>
        <w:t>│   │   │   ├── products/route.ts</w:t>
      </w:r>
    </w:p>
    <w:p>
      <w:pPr>
        <w:spacing w:before="0" w:after="0"/>
      </w:pPr>
      <w:r>
        <w:rPr>
          <w:rFonts w:ascii="Courier New" w:hAnsi="Courier New"/>
          <w:sz w:val="14"/>
        </w:rPr>
        <w:t>│   │   │   ├── reviews/[id]/reply/route.ts   reviews/[id]/route.ts</w:t>
      </w:r>
    </w:p>
    <w:p>
      <w:pPr>
        <w:spacing w:before="0" w:after="0"/>
      </w:pPr>
      <w:r>
        <w:rPr>
          <w:rFonts w:ascii="Courier New" w:hAnsi="Courier New"/>
          <w:sz w:val="14"/>
        </w:rPr>
        <w:t>│   │   │   ├── reviews/route.ts              trust/[id]/route.ts</w:t>
      </w:r>
    </w:p>
    <w:p>
      <w:pPr>
        <w:spacing w:before="0" w:after="0"/>
      </w:pPr>
      <w:r>
        <w:rPr>
          <w:rFonts w:ascii="Courier New" w:hAnsi="Courier New"/>
          <w:sz w:val="14"/>
        </w:rPr>
        <w:t>│   │   ├── brand/</w:t>
      </w:r>
    </w:p>
    <w:p>
      <w:pPr>
        <w:spacing w:before="0" w:after="0"/>
      </w:pPr>
      <w:r>
        <w:rPr>
          <w:rFonts w:ascii="Courier New" w:hAnsi="Courier New"/>
          <w:sz w:val="14"/>
        </w:rPr>
        <w:t>│   │   │   ├── dashboard/page.tsx</w:t>
      </w:r>
    </w:p>
    <w:p>
      <w:pPr>
        <w:spacing w:before="0" w:after="0"/>
      </w:pPr>
      <w:r>
        <w:rPr>
          <w:rFonts w:ascii="Courier New" w:hAnsi="Courier New"/>
          <w:sz w:val="14"/>
        </w:rPr>
        <w:t>│   │   │   ├── orders/[id]/page.tsx          orders/page.tsx</w:t>
      </w:r>
    </w:p>
    <w:p>
      <w:pPr>
        <w:spacing w:before="0" w:after="0"/>
      </w:pPr>
      <w:r>
        <w:rPr>
          <w:rFonts w:ascii="Courier New" w:hAnsi="Courier New"/>
          <w:sz w:val="14"/>
        </w:rPr>
        <w:t>│   │   │   ├── products/[id]/edit/page.tsx   products/new/page.tsx</w:t>
      </w:r>
    </w:p>
    <w:p>
      <w:pPr>
        <w:spacing w:before="0" w:after="0"/>
      </w:pPr>
      <w:r>
        <w:rPr>
          <w:rFonts w:ascii="Courier New" w:hAnsi="Courier New"/>
          <w:sz w:val="14"/>
        </w:rPr>
        <w:t>│   │   │   ├── products/page.tsx             profile/page.tsx</w:t>
      </w:r>
    </w:p>
    <w:p>
      <w:pPr>
        <w:spacing w:before="0" w:after="0"/>
      </w:pPr>
      <w:r>
        <w:rPr>
          <w:rFonts w:ascii="Courier New" w:hAnsi="Courier New"/>
          <w:sz w:val="14"/>
        </w:rPr>
        <w:t>│   │   ├── brands/[id]/page.tsx</w:t>
      </w:r>
    </w:p>
    <w:p>
      <w:pPr>
        <w:spacing w:before="0" w:after="0"/>
      </w:pPr>
      <w:r>
        <w:rPr>
          <w:rFonts w:ascii="Courier New" w:hAnsi="Courier New"/>
          <w:sz w:val="14"/>
        </w:rPr>
        <w:t>│   │   ├── dashboard/page.tsx                login/page.tsx</w:t>
      </w:r>
    </w:p>
    <w:p>
      <w:pPr>
        <w:spacing w:before="0" w:after="0"/>
      </w:pPr>
      <w:r>
        <w:rPr>
          <w:rFonts w:ascii="Courier New" w:hAnsi="Courier New"/>
          <w:sz w:val="14"/>
        </w:rPr>
        <w:t>│   │   ├── marketplace/page.tsx              notifications/page.tsx</w:t>
      </w:r>
    </w:p>
    <w:p>
      <w:pPr>
        <w:spacing w:before="0" w:after="0"/>
      </w:pPr>
      <w:r>
        <w:rPr>
          <w:rFonts w:ascii="Courier New" w:hAnsi="Courier New"/>
          <w:sz w:val="14"/>
        </w:rPr>
        <w:t>│   │   ├── orders/[id]/page.tsx              orders/page.tsx</w:t>
      </w:r>
    </w:p>
    <w:p>
      <w:pPr>
        <w:spacing w:before="0" w:after="0"/>
      </w:pPr>
      <w:r>
        <w:rPr>
          <w:rFonts w:ascii="Courier New" w:hAnsi="Courier New"/>
          <w:sz w:val="14"/>
        </w:rPr>
        <w:t>│   │   ├── pending/page.tsx                  register/page.tsx</w:t>
      </w:r>
    </w:p>
    <w:p>
      <w:pPr>
        <w:spacing w:before="0" w:after="0"/>
      </w:pPr>
      <w:r>
        <w:rPr>
          <w:rFonts w:ascii="Courier New" w:hAnsi="Courier New"/>
          <w:sz w:val="14"/>
        </w:rPr>
        <w:t>│   │   ├── favicon.ico  globals.css  layout.tsx</w:t>
      </w:r>
    </w:p>
    <w:p>
      <w:pPr>
        <w:spacing w:before="0" w:after="0"/>
      </w:pPr>
      <w:r>
        <w:rPr>
          <w:rFonts w:ascii="Courier New" w:hAnsi="Courier New"/>
          <w:sz w:val="14"/>
        </w:rPr>
        <w:t>│   │   ├── page.module.css  page.tsx  sitemap.ts</w:t>
      </w:r>
    </w:p>
    <w:p>
      <w:pPr>
        <w:spacing w:before="0" w:after="0"/>
      </w:pPr>
      <w:r>
        <w:rPr>
          <w:rFonts w:ascii="Courier New" w:hAnsi="Courier New"/>
          <w:sz w:val="14"/>
        </w:rPr>
        <w:t>│   │   ├── components/</w:t>
      </w:r>
    </w:p>
    <w:p>
      <w:pPr>
        <w:spacing w:before="0" w:after="0"/>
      </w:pPr>
      <w:r>
        <w:rPr>
          <w:rFonts w:ascii="Courier New" w:hAnsi="Courier New"/>
          <w:sz w:val="14"/>
        </w:rPr>
        <w:t>│   │   │   ├── providers/RealtimeProvider.tsx</w:t>
      </w:r>
    </w:p>
    <w:p>
      <w:pPr>
        <w:spacing w:before="0" w:after="0"/>
      </w:pPr>
      <w:r>
        <w:rPr>
          <w:rFonts w:ascii="Courier New" w:hAnsi="Courier New"/>
          <w:sz w:val="14"/>
        </w:rPr>
        <w:t>│   │   │   ├── BottomNav.tsx      BrandAvatar.tsx     BrandCard.tsx</w:t>
      </w:r>
    </w:p>
    <w:p>
      <w:pPr>
        <w:spacing w:before="0" w:after="0"/>
      </w:pPr>
      <w:r>
        <w:rPr>
          <w:rFonts w:ascii="Courier New" w:hAnsi="Courier New"/>
          <w:sz w:val="14"/>
        </w:rPr>
        <w:t>│   │   │   ├── BrandSidebar.tsx   BuyerTrustCard.tsx  CatalogImportModal.tsx</w:t>
      </w:r>
    </w:p>
    <w:p>
      <w:pPr>
        <w:spacing w:before="0" w:after="0"/>
      </w:pPr>
      <w:r>
        <w:rPr>
          <w:rFonts w:ascii="Courier New" w:hAnsi="Courier New"/>
          <w:sz w:val="14"/>
        </w:rPr>
        <w:t>│   │   │   ├── CurrencySelector.tsx  ImageUrlInput.tsx  LandingPage.tsx</w:t>
      </w:r>
    </w:p>
    <w:p>
      <w:pPr>
        <w:spacing w:before="0" w:after="0"/>
      </w:pPr>
      <w:r>
        <w:rPr>
          <w:rFonts w:ascii="Courier New" w:hAnsi="Courier New"/>
          <w:sz w:val="14"/>
        </w:rPr>
        <w:t>│   │   │   ├── LanguageToggle.tsx    MarketModal.tsx    MobileTopBar.tsx</w:t>
      </w:r>
    </w:p>
    <w:p>
      <w:pPr>
        <w:spacing w:before="0" w:after="0"/>
      </w:pPr>
      <w:r>
        <w:rPr>
          <w:rFonts w:ascii="Courier New" w:hAnsi="Courier New"/>
          <w:sz w:val="14"/>
        </w:rPr>
        <w:t>│   │   │   ├── Navbar.tsx         NotificationBell.tsx  Providers.tsx</w:t>
      </w:r>
    </w:p>
    <w:p>
      <w:pPr>
        <w:spacing w:before="0" w:after="0"/>
      </w:pPr>
      <w:r>
        <w:rPr>
          <w:rFonts w:ascii="Courier New" w:hAnsi="Courier New"/>
          <w:sz w:val="14"/>
        </w:rPr>
        <w:t>│   │   │   ├── RatingBreakdown.tsx  ReviewCard.tsx     ReviewModal.tsx</w:t>
      </w:r>
    </w:p>
    <w:p>
      <w:pPr>
        <w:spacing w:before="0" w:after="0"/>
      </w:pPr>
      <w:r>
        <w:rPr>
          <w:rFonts w:ascii="Courier New" w:hAnsi="Courier New"/>
          <w:sz w:val="14"/>
        </w:rPr>
        <w:t>│   │   │   ├── StarRating.tsx     StatusBadge.tsx     TrustScore.tsx</w:t>
      </w:r>
    </w:p>
    <w:p>
      <w:pPr>
        <w:spacing w:before="0" w:after="0"/>
      </w:pPr>
      <w:r>
        <w:rPr>
          <w:rFonts w:ascii="Courier New" w:hAnsi="Courier New"/>
          <w:sz w:val="14"/>
        </w:rPr>
        <w:t>│   │   │   └── VerifiedBadge.tsx  WhatsAppButton.tsx</w:t>
      </w:r>
    </w:p>
    <w:p>
      <w:pPr>
        <w:spacing w:before="0" w:after="0"/>
      </w:pPr>
      <w:r>
        <w:rPr>
          <w:rFonts w:ascii="Courier New" w:hAnsi="Courier New"/>
          <w:sz w:val="14"/>
        </w:rPr>
        <w:t>│   │   ├── contexts/CurrencyContext.tsx</w:t>
      </w:r>
    </w:p>
    <w:p>
      <w:pPr>
        <w:spacing w:before="0" w:after="0"/>
      </w:pPr>
      <w:r>
        <w:rPr>
          <w:rFonts w:ascii="Courier New" w:hAnsi="Courier New"/>
          <w:sz w:val="14"/>
        </w:rPr>
        <w:t>│   │   ├── data/db.json</w:t>
      </w:r>
    </w:p>
    <w:p>
      <w:pPr>
        <w:spacing w:before="0" w:after="0"/>
      </w:pPr>
      <w:r>
        <w:rPr>
          <w:rFonts w:ascii="Courier New" w:hAnsi="Courier New"/>
          <w:sz w:val="14"/>
        </w:rPr>
        <w:t>│   │   ├── hooks/</w:t>
      </w:r>
    </w:p>
    <w:p>
      <w:pPr>
        <w:spacing w:before="0" w:after="0"/>
      </w:pPr>
      <w:r>
        <w:rPr>
          <w:rFonts w:ascii="Courier New" w:hAnsi="Courier New"/>
          <w:sz w:val="14"/>
        </w:rPr>
        <w:t>│   │   │   ├── useInView.ts              useRealtimeBrandOrders.ts</w:t>
      </w:r>
    </w:p>
    <w:p>
      <w:pPr>
        <w:spacing w:before="0" w:after="0"/>
      </w:pPr>
      <w:r>
        <w:rPr>
          <w:rFonts w:ascii="Courier New" w:hAnsi="Courier New"/>
          <w:sz w:val="14"/>
        </w:rPr>
        <w:t>│   │   │   ├── useRealtimeNotifications.ts  useRealtimeOrder.ts</w:t>
      </w:r>
    </w:p>
    <w:p>
      <w:pPr>
        <w:spacing w:before="0" w:after="0"/>
      </w:pPr>
      <w:r>
        <w:rPr>
          <w:rFonts w:ascii="Courier New" w:hAnsi="Courier New"/>
          <w:sz w:val="14"/>
        </w:rPr>
        <w:t>│   │   ├── i18n/request.ts</w:t>
      </w:r>
    </w:p>
    <w:p>
      <w:pPr>
        <w:spacing w:before="0" w:after="0"/>
      </w:pPr>
      <w:r>
        <w:rPr>
          <w:rFonts w:ascii="Courier New" w:hAnsi="Courier New"/>
          <w:sz w:val="14"/>
        </w:rPr>
        <w:t>│   │   ├── lib/</w:t>
      </w:r>
    </w:p>
    <w:p>
      <w:pPr>
        <w:spacing w:before="0" w:after="0"/>
      </w:pPr>
      <w:r>
        <w:rPr>
          <w:rFonts w:ascii="Courier New" w:hAnsi="Courier New"/>
          <w:sz w:val="14"/>
        </w:rPr>
        <w:t>│   │   │   ├── supabase/client.ts</w:t>
      </w:r>
    </w:p>
    <w:p>
      <w:pPr>
        <w:spacing w:before="0" w:after="0"/>
      </w:pPr>
      <w:r>
        <w:rPr>
          <w:rFonts w:ascii="Courier New" w:hAnsi="Courier New"/>
          <w:sz w:val="14"/>
        </w:rPr>
        <w:t>│   │   │   ├── auth.ts          currencies.ts    db.ts</w:t>
      </w:r>
    </w:p>
    <w:p>
      <w:pPr>
        <w:spacing w:before="0" w:after="0"/>
      </w:pPr>
      <w:r>
        <w:rPr>
          <w:rFonts w:ascii="Courier New" w:hAnsi="Courier New"/>
          <w:sz w:val="14"/>
        </w:rPr>
        <w:t>│   │   │   ├── formatters.ts    i18n.ts          notifications.ts</w:t>
      </w:r>
    </w:p>
    <w:p>
      <w:pPr>
        <w:spacing w:before="0" w:after="0"/>
      </w:pPr>
      <w:r>
        <w:rPr>
          <w:rFonts w:ascii="Courier New" w:hAnsi="Courier New"/>
          <w:sz w:val="14"/>
        </w:rPr>
        <w:t>│   │   │   └── pricingUtils.ts</w:t>
      </w:r>
    </w:p>
    <w:p>
      <w:pPr>
        <w:spacing w:before="0" w:after="0"/>
      </w:pPr>
      <w:r>
        <w:rPr>
          <w:rFonts w:ascii="Courier New" w:hAnsi="Courier New"/>
          <w:sz w:val="14"/>
        </w:rPr>
        <w:t>│   │   ├── store/notificationStore.ts</w:t>
      </w:r>
    </w:p>
    <w:p>
      <w:pPr>
        <w:spacing w:before="0" w:after="0"/>
      </w:pPr>
      <w:r>
        <w:rPr>
          <w:rFonts w:ascii="Courier New" w:hAnsi="Courier New"/>
          <w:sz w:val="14"/>
        </w:rPr>
        <w:t>│   │   └── utils/supabase/</w:t>
      </w:r>
    </w:p>
    <w:p>
      <w:pPr>
        <w:spacing w:before="0" w:after="0"/>
      </w:pPr>
      <w:r>
        <w:rPr>
          <w:rFonts w:ascii="Courier New" w:hAnsi="Courier New"/>
          <w:sz w:val="14"/>
        </w:rPr>
        <w:t>│   │       ├── client.ts  middleware.ts  server.ts</w:t>
      </w:r>
    </w:p>
    <w:p>
      <w:pPr>
        <w:spacing w:before="0" w:after="0"/>
      </w:pPr>
      <w:r>
        <w:rPr>
          <w:rFonts w:ascii="Courier New" w:hAnsi="Courier New"/>
          <w:sz w:val="14"/>
        </w:rPr>
        <w:t>│   ├── i18n.ts  middleware.ts  navigation.ts</w:t>
      </w:r>
    </w:p>
    <w:p>
      <w:pPr>
        <w:spacing w:before="0" w:after="0"/>
      </w:pPr>
      <w:r>
        <w:rPr>
          <w:rFonts w:ascii="Courier New" w:hAnsi="Courier New"/>
          <w:sz w:val="14"/>
        </w:rPr>
        <w:t>├── next.config.ts</w:t>
      </w:r>
    </w:p>
    <w:p>
      <w:pPr>
        <w:spacing w:before="0" w:after="0"/>
      </w:pPr>
      <w:r>
        <w:rPr>
          <w:rFonts w:ascii="Courier New" w:hAnsi="Courier New"/>
          <w:sz w:val="14"/>
        </w:rPr>
        <w:t>├── package.json</w:t>
      </w:r>
    </w:p>
    <w:p>
      <w:pPr>
        <w:spacing w:before="0" w:after="0"/>
      </w:pPr>
      <w:r>
        <w:rPr>
          <w:rFonts w:ascii="Courier New" w:hAnsi="Courier New"/>
          <w:sz w:val="14"/>
        </w:rPr>
        <w:t>└── tsconfig.json</w:t>
      </w:r>
    </w:p>
    <w:p/>
    <w:p>
      <w:pPr/>
      <w:r>
        <w:t>The project enforces strict architectural boundaries: server-side API logic is isolated in /src/app/api; reusable UI elements, custom React hooks, and global notification state (managed via Zustand) reside in /components, /hooks, and /store respectively. Supabase client initialisation and authentication middleware are grouped under /utils/supabase, providing a secure, globally accessible database connection across server and client components.</w:t>
      </w:r>
    </w:p>
    <w:p>
      <w:pPr/>
      <w:r>
        <w:t>SLOC Summary by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tcPr>
          <w:p>
            <w:r>
              <w:rPr>
                <w:b/>
              </w:rPr>
              <w:t>Category</w:t>
            </w:r>
          </w:p>
        </w:tc>
        <w:tc>
          <w:tcPr>
            <w:tcW w:type="dxa" w:w="864"/>
          </w:tcPr>
          <w:p>
            <w:r>
              <w:rPr>
                <w:b/>
              </w:rPr>
              <w:t>Files</w:t>
            </w:r>
          </w:p>
        </w:tc>
        <w:tc>
          <w:tcPr>
            <w:tcW w:type="dxa" w:w="1296"/>
          </w:tcPr>
          <w:p>
            <w:r>
              <w:rPr>
                <w:b/>
              </w:rPr>
              <w:t>LOC</w:t>
            </w:r>
          </w:p>
        </w:tc>
        <w:tc>
          <w:tcPr>
            <w:tcW w:type="dxa" w:w="1152"/>
          </w:tcPr>
          <w:p>
            <w:r>
              <w:rPr>
                <w:b/>
              </w:rPr>
              <w:t>KLOC</w:t>
            </w:r>
          </w:p>
        </w:tc>
        <w:tc>
          <w:tcPr>
            <w:tcW w:type="dxa" w:w="1152"/>
          </w:tcPr>
          <w:p>
            <w:r>
              <w:rPr>
                <w:b/>
              </w:rPr>
              <w:t>Share</w:t>
            </w:r>
          </w:p>
        </w:tc>
      </w:tr>
      <w:tr>
        <w:tc>
          <w:tcPr>
            <w:tcW w:type="dxa" w:w="3744"/>
          </w:tcPr>
          <w:p>
            <w:r>
              <w:t>Pages — Buyer / Public</w:t>
            </w:r>
          </w:p>
        </w:tc>
        <w:tc>
          <w:tcPr>
            <w:tcW w:type="dxa" w:w="864"/>
          </w:tcPr>
          <w:p>
            <w:r>
              <w:t>11</w:t>
            </w:r>
          </w:p>
        </w:tc>
        <w:tc>
          <w:tcPr>
            <w:tcW w:type="dxa" w:w="1296"/>
          </w:tcPr>
          <w:p>
            <w:r>
              <w:t>2,344</w:t>
            </w:r>
          </w:p>
        </w:tc>
        <w:tc>
          <w:tcPr>
            <w:tcW w:type="dxa" w:w="1152"/>
          </w:tcPr>
          <w:p>
            <w:r>
              <w:t>2.34</w:t>
            </w:r>
          </w:p>
        </w:tc>
        <w:tc>
          <w:tcPr>
            <w:tcW w:type="dxa" w:w="1152"/>
          </w:tcPr>
          <w:p>
            <w:r>
              <w:t>20.6%</w:t>
            </w:r>
          </w:p>
        </w:tc>
      </w:tr>
      <w:tr>
        <w:tc>
          <w:tcPr>
            <w:tcW w:type="dxa" w:w="3744"/>
          </w:tcPr>
          <w:p>
            <w:r>
              <w:t>Components</w:t>
            </w:r>
          </w:p>
        </w:tc>
        <w:tc>
          <w:tcPr>
            <w:tcW w:type="dxa" w:w="864"/>
          </w:tcPr>
          <w:p>
            <w:r>
              <w:t>24</w:t>
            </w:r>
          </w:p>
        </w:tc>
        <w:tc>
          <w:tcPr>
            <w:tcW w:type="dxa" w:w="1296"/>
          </w:tcPr>
          <w:p>
            <w:r>
              <w:t>3,802</w:t>
            </w:r>
          </w:p>
        </w:tc>
        <w:tc>
          <w:tcPr>
            <w:tcW w:type="dxa" w:w="1152"/>
          </w:tcPr>
          <w:p>
            <w:r>
              <w:t>3.80</w:t>
            </w:r>
          </w:p>
        </w:tc>
        <w:tc>
          <w:tcPr>
            <w:tcW w:type="dxa" w:w="1152"/>
          </w:tcPr>
          <w:p>
            <w:r>
              <w:t>33.5%</w:t>
            </w:r>
          </w:p>
        </w:tc>
      </w:tr>
      <w:tr>
        <w:tc>
          <w:tcPr>
            <w:tcW w:type="dxa" w:w="3744"/>
          </w:tcPr>
          <w:p>
            <w:r>
              <w:t>Pages — Brand Portal</w:t>
            </w:r>
          </w:p>
        </w:tc>
        <w:tc>
          <w:tcPr>
            <w:tcW w:type="dxa" w:w="864"/>
          </w:tcPr>
          <w:p>
            <w:r>
              <w:t>8</w:t>
            </w:r>
          </w:p>
        </w:tc>
        <w:tc>
          <w:tcPr>
            <w:tcW w:type="dxa" w:w="1296"/>
          </w:tcPr>
          <w:p>
            <w:r>
              <w:t>2,213</w:t>
            </w:r>
          </w:p>
        </w:tc>
        <w:tc>
          <w:tcPr>
            <w:tcW w:type="dxa" w:w="1152"/>
          </w:tcPr>
          <w:p>
            <w:r>
              <w:t>2.21</w:t>
            </w:r>
          </w:p>
        </w:tc>
        <w:tc>
          <w:tcPr>
            <w:tcW w:type="dxa" w:w="1152"/>
          </w:tcPr>
          <w:p>
            <w:r>
              <w:t>19.5%</w:t>
            </w:r>
          </w:p>
        </w:tc>
      </w:tr>
      <w:tr>
        <w:tc>
          <w:tcPr>
            <w:tcW w:type="dxa" w:w="3744"/>
          </w:tcPr>
          <w:p>
            <w:r>
              <w:t>API Routes</w:t>
            </w:r>
          </w:p>
        </w:tc>
        <w:tc>
          <w:tcPr>
            <w:tcW w:type="dxa" w:w="864"/>
          </w:tcPr>
          <w:p>
            <w:r>
              <w:t>25</w:t>
            </w:r>
          </w:p>
        </w:tc>
        <w:tc>
          <w:tcPr>
            <w:tcW w:type="dxa" w:w="1296"/>
          </w:tcPr>
          <w:p>
            <w:r>
              <w:t>1,289</w:t>
            </w:r>
          </w:p>
        </w:tc>
        <w:tc>
          <w:tcPr>
            <w:tcW w:type="dxa" w:w="1152"/>
          </w:tcPr>
          <w:p>
            <w:r>
              <w:t>1.29</w:t>
            </w:r>
          </w:p>
        </w:tc>
        <w:tc>
          <w:tcPr>
            <w:tcW w:type="dxa" w:w="1152"/>
          </w:tcPr>
          <w:p>
            <w:r>
              <w:t>11.4%</w:t>
            </w:r>
          </w:p>
        </w:tc>
      </w:tr>
      <w:tr>
        <w:tc>
          <w:tcPr>
            <w:tcW w:type="dxa" w:w="3744"/>
          </w:tcPr>
          <w:p>
            <w:r>
              <w:t>Pages — Admin</w:t>
            </w:r>
          </w:p>
        </w:tc>
        <w:tc>
          <w:tcPr>
            <w:tcW w:type="dxa" w:w="864"/>
          </w:tcPr>
          <w:p>
            <w:r>
              <w:t>4</w:t>
            </w:r>
          </w:p>
        </w:tc>
        <w:tc>
          <w:tcPr>
            <w:tcW w:type="dxa" w:w="1296"/>
          </w:tcPr>
          <w:p>
            <w:r>
              <w:t>790</w:t>
            </w:r>
          </w:p>
        </w:tc>
        <w:tc>
          <w:tcPr>
            <w:tcW w:type="dxa" w:w="1152"/>
          </w:tcPr>
          <w:p>
            <w:r>
              <w:t>0.79</w:t>
            </w:r>
          </w:p>
        </w:tc>
        <w:tc>
          <w:tcPr>
            <w:tcW w:type="dxa" w:w="1152"/>
          </w:tcPr>
          <w:p>
            <w:r>
              <w:t>7.0%</w:t>
            </w:r>
          </w:p>
        </w:tc>
      </w:tr>
      <w:tr>
        <w:tc>
          <w:tcPr>
            <w:tcW w:type="dxa" w:w="3744"/>
          </w:tcPr>
          <w:p>
            <w:r>
              <w:t>Lib / Utilities</w:t>
            </w:r>
          </w:p>
        </w:tc>
        <w:tc>
          <w:tcPr>
            <w:tcW w:type="dxa" w:w="864"/>
          </w:tcPr>
          <w:p>
            <w:r>
              <w:t>11</w:t>
            </w:r>
          </w:p>
        </w:tc>
        <w:tc>
          <w:tcPr>
            <w:tcW w:type="dxa" w:w="1296"/>
          </w:tcPr>
          <w:p>
            <w:r>
              <w:t>485</w:t>
            </w:r>
          </w:p>
        </w:tc>
        <w:tc>
          <w:tcPr>
            <w:tcW w:type="dxa" w:w="1152"/>
          </w:tcPr>
          <w:p>
            <w:r>
              <w:t>0.48</w:t>
            </w:r>
          </w:p>
        </w:tc>
        <w:tc>
          <w:tcPr>
            <w:tcW w:type="dxa" w:w="1152"/>
          </w:tcPr>
          <w:p>
            <w:r>
              <w:t>4.3%</w:t>
            </w:r>
          </w:p>
        </w:tc>
      </w:tr>
      <w:tr>
        <w:tc>
          <w:tcPr>
            <w:tcW w:type="dxa" w:w="3744"/>
          </w:tcPr>
          <w:p>
            <w:r>
              <w:t>Hooks</w:t>
            </w:r>
          </w:p>
        </w:tc>
        <w:tc>
          <w:tcPr>
            <w:tcW w:type="dxa" w:w="864"/>
          </w:tcPr>
          <w:p>
            <w:r>
              <w:t>4</w:t>
            </w:r>
          </w:p>
        </w:tc>
        <w:tc>
          <w:tcPr>
            <w:tcW w:type="dxa" w:w="1296"/>
          </w:tcPr>
          <w:p>
            <w:r>
              <w:t>228</w:t>
            </w:r>
          </w:p>
        </w:tc>
        <w:tc>
          <w:tcPr>
            <w:tcW w:type="dxa" w:w="1152"/>
          </w:tcPr>
          <w:p>
            <w:r>
              <w:t>0.23</w:t>
            </w:r>
          </w:p>
        </w:tc>
        <w:tc>
          <w:tcPr>
            <w:tcW w:type="dxa" w:w="1152"/>
          </w:tcPr>
          <w:p>
            <w:r>
              <w:t>2.0%</w:t>
            </w:r>
          </w:p>
        </w:tc>
      </w:tr>
      <w:tr>
        <w:tc>
          <w:tcPr>
            <w:tcW w:type="dxa" w:w="3744"/>
          </w:tcPr>
          <w:p>
            <w:r>
              <w:t>Store / Context</w:t>
            </w:r>
          </w:p>
        </w:tc>
        <w:tc>
          <w:tcPr>
            <w:tcW w:type="dxa" w:w="864"/>
          </w:tcPr>
          <w:p>
            <w:r>
              <w:t>2</w:t>
            </w:r>
          </w:p>
        </w:tc>
        <w:tc>
          <w:tcPr>
            <w:tcW w:type="dxa" w:w="1296"/>
          </w:tcPr>
          <w:p>
            <w:r>
              <w:t>138</w:t>
            </w:r>
          </w:p>
        </w:tc>
        <w:tc>
          <w:tcPr>
            <w:tcW w:type="dxa" w:w="1152"/>
          </w:tcPr>
          <w:p>
            <w:r>
              <w:t>0.14</w:t>
            </w:r>
          </w:p>
        </w:tc>
        <w:tc>
          <w:tcPr>
            <w:tcW w:type="dxa" w:w="1152"/>
          </w:tcPr>
          <w:p>
            <w:r>
              <w:t>1.2%</w:t>
            </w:r>
          </w:p>
        </w:tc>
      </w:tr>
      <w:tr>
        <w:tc>
          <w:tcPr>
            <w:tcW w:type="dxa" w:w="3744"/>
          </w:tcPr>
          <w:p>
            <w:r>
              <w:t>Config / i18n / Middleware</w:t>
            </w:r>
          </w:p>
        </w:tc>
        <w:tc>
          <w:tcPr>
            <w:tcW w:type="dxa" w:w="864"/>
          </w:tcPr>
          <w:p>
            <w:r>
              <w:t>4</w:t>
            </w:r>
          </w:p>
        </w:tc>
        <w:tc>
          <w:tcPr>
            <w:tcW w:type="dxa" w:w="1296"/>
          </w:tcPr>
          <w:p>
            <w:r>
              <w:t>64</w:t>
            </w:r>
          </w:p>
        </w:tc>
        <w:tc>
          <w:tcPr>
            <w:tcW w:type="dxa" w:w="1152"/>
          </w:tcPr>
          <w:p>
            <w:r>
              <w:t>0.06</w:t>
            </w:r>
          </w:p>
        </w:tc>
        <w:tc>
          <w:tcPr>
            <w:tcW w:type="dxa" w:w="1152"/>
          </w:tcPr>
          <w:p>
            <w:r>
              <w:t>0.6%</w:t>
            </w:r>
          </w:p>
        </w:tc>
      </w:tr>
      <w:tr>
        <w:tc>
          <w:tcPr>
            <w:tcW w:type="dxa" w:w="3744"/>
          </w:tcPr>
          <w:p>
            <w:r>
              <w:t>TOTAL</w:t>
            </w:r>
          </w:p>
        </w:tc>
        <w:tc>
          <w:tcPr>
            <w:tcW w:type="dxa" w:w="864"/>
          </w:tcPr>
          <w:p>
            <w:r>
              <w:t>93</w:t>
            </w:r>
          </w:p>
        </w:tc>
        <w:tc>
          <w:tcPr>
            <w:tcW w:type="dxa" w:w="1296"/>
          </w:tcPr>
          <w:p>
            <w:r>
              <w:t>11,353</w:t>
            </w:r>
          </w:p>
        </w:tc>
        <w:tc>
          <w:tcPr>
            <w:tcW w:type="dxa" w:w="1152"/>
          </w:tcPr>
          <w:p>
            <w:r>
              <w:t>11.35</w:t>
            </w:r>
          </w:p>
        </w:tc>
        <w:tc>
          <w:tcPr>
            <w:tcW w:type="dxa" w:w="1152"/>
          </w:tcPr>
          <w:p>
            <w:r>
              <w:t>100%</w:t>
            </w:r>
          </w:p>
        </w:tc>
      </w:tr>
    </w:tbl>
    <w:p/>
    <w:p>
      <w:pPr/>
      <w:r>
        <w:t>The project totals 11.35 KLOC across 93 source files. The largest single category is Components (3.80 KLOC, 33.5%), driven primarily by LandingPage.tsx (913 lines), CatalogImportModal.tsx (560 lines), and NotificationBell.tsx (337 lines). The 25 API route handlers account for 1.29 KLOC, reflecting the lightweight, function-per-route server design of the Next.js App Router.</w:t>
      </w:r>
    </w:p>
    <w:p>
      <w:pPr>
        <w:pStyle w:val="Heading2"/>
      </w:pPr>
      <w:r>
        <w:t>4.4  Configuration Management</w:t>
      </w:r>
    </w:p>
    <w:p>
      <w:pPr/>
      <w:r>
        <w:t>Configuration Management (CM) encompasses the practices used to systematically control, track, and audit all changes to the Kuwait B2B Hub codebase throughout its development lifecycle. Procedures follow ISO/IEC 12207 guidelines, ensuring every version of the system is reproducible, traceable, and consistent across all development environments.</w:t>
      </w:r>
    </w:p>
    <w:p>
      <w:pPr>
        <w:pStyle w:val="Heading3"/>
      </w:pPr>
      <w:r>
        <w:t>4.4.1  Versioning Scheme</w:t>
      </w:r>
    </w:p>
    <w:p>
      <w:pPr/>
      <w:r>
        <w:t>The Kuwait B2B Hub adopts a four-part versioning scheme:  PHASE . MAJOR . MINOR . PATCH</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Field</w:t>
            </w:r>
          </w:p>
        </w:tc>
        <w:tc>
          <w:tcPr>
            <w:tcW w:type="dxa" w:w="1152"/>
          </w:tcPr>
          <w:p>
            <w:r>
              <w:rPr>
                <w:b/>
              </w:rPr>
              <w:t>Position</w:t>
            </w:r>
          </w:p>
        </w:tc>
        <w:tc>
          <w:tcPr>
            <w:tcW w:type="dxa" w:w="5040"/>
          </w:tcPr>
          <w:p>
            <w:r>
              <w:rPr>
                <w:b/>
              </w:rPr>
              <w:t>Trigger for Increment</w:t>
            </w:r>
          </w:p>
        </w:tc>
        <w:tc>
          <w:tcPr>
            <w:tcW w:type="dxa" w:w="2016"/>
          </w:tcPr>
          <w:p>
            <w:r>
              <w:rPr>
                <w:b/>
              </w:rPr>
              <w:t>Example</w:t>
            </w:r>
          </w:p>
        </w:tc>
      </w:tr>
      <w:tr>
        <w:tc>
          <w:tcPr>
            <w:tcW w:type="dxa" w:w="1152"/>
          </w:tcPr>
          <w:p>
            <w:r>
              <w:t>Phase</w:t>
            </w:r>
          </w:p>
        </w:tc>
        <w:tc>
          <w:tcPr>
            <w:tcW w:type="dxa" w:w="1152"/>
          </w:tcPr>
          <w:p>
            <w:r>
              <w:t>1st</w:t>
            </w:r>
          </w:p>
        </w:tc>
        <w:tc>
          <w:tcPr>
            <w:tcW w:type="dxa" w:w="5040"/>
          </w:tcPr>
          <w:p>
            <w:r>
              <w:t>Advancement to a new development phase</w:t>
            </w:r>
          </w:p>
        </w:tc>
        <w:tc>
          <w:tcPr>
            <w:tcW w:type="dxa" w:w="2016"/>
          </w:tcPr>
          <w:p>
            <w:r>
              <w:t>1 → 2</w:t>
            </w:r>
          </w:p>
        </w:tc>
      </w:tr>
      <w:tr>
        <w:tc>
          <w:tcPr>
            <w:tcW w:type="dxa" w:w="1152"/>
          </w:tcPr>
          <w:p>
            <w:r>
              <w:t>Major</w:t>
            </w:r>
          </w:p>
        </w:tc>
        <w:tc>
          <w:tcPr>
            <w:tcW w:type="dxa" w:w="1152"/>
          </w:tcPr>
          <w:p>
            <w:r>
              <w:t>2nd</w:t>
            </w:r>
          </w:p>
        </w:tc>
        <w:tc>
          <w:tcPr>
            <w:tcW w:type="dxa" w:w="5040"/>
          </w:tcPr>
          <w:p>
            <w:r>
              <w:t>Architectural change, new subsystem, or breaking API change</w:t>
            </w:r>
          </w:p>
        </w:tc>
        <w:tc>
          <w:tcPr>
            <w:tcW w:type="dxa" w:w="2016"/>
          </w:tcPr>
          <w:p>
            <w:r>
              <w:t>1.0 → 1.1</w:t>
            </w:r>
          </w:p>
        </w:tc>
      </w:tr>
      <w:tr>
        <w:tc>
          <w:tcPr>
            <w:tcW w:type="dxa" w:w="1152"/>
          </w:tcPr>
          <w:p>
            <w:r>
              <w:t>Minor</w:t>
            </w:r>
          </w:p>
        </w:tc>
        <w:tc>
          <w:tcPr>
            <w:tcW w:type="dxa" w:w="1152"/>
          </w:tcPr>
          <w:p>
            <w:r>
              <w:t>3rd</w:t>
            </w:r>
          </w:p>
        </w:tc>
        <w:tc>
          <w:tcPr>
            <w:tcW w:type="dxa" w:w="5040"/>
          </w:tcPr>
          <w:p>
            <w:r>
              <w:t>Non-breaking feature addition or workflow enhancement</w:t>
            </w:r>
          </w:p>
        </w:tc>
        <w:tc>
          <w:tcPr>
            <w:tcW w:type="dxa" w:w="2016"/>
          </w:tcPr>
          <w:p>
            <w:r>
              <w:t>1.1.0 → 1.1.1</w:t>
            </w:r>
          </w:p>
        </w:tc>
      </w:tr>
      <w:tr>
        <w:tc>
          <w:tcPr>
            <w:tcW w:type="dxa" w:w="1152"/>
          </w:tcPr>
          <w:p>
            <w:r>
              <w:t>Patch</w:t>
            </w:r>
          </w:p>
        </w:tc>
        <w:tc>
          <w:tcPr>
            <w:tcW w:type="dxa" w:w="1152"/>
          </w:tcPr>
          <w:p>
            <w:r>
              <w:t>4th</w:t>
            </w:r>
          </w:p>
        </w:tc>
        <w:tc>
          <w:tcPr>
            <w:tcW w:type="dxa" w:w="5040"/>
          </w:tcPr>
          <w:p>
            <w:r>
              <w:t>Bug fix, security patch, or configuration adjustment</w:t>
            </w:r>
          </w:p>
        </w:tc>
        <w:tc>
          <w:tcPr>
            <w:tcW w:type="dxa" w:w="2016"/>
          </w:tcPr>
          <w:p>
            <w:r>
              <w:t>1.1.1.0 → 1.1.1.1</w:t>
            </w:r>
          </w:p>
        </w:tc>
      </w:tr>
    </w:tbl>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Phase</w:t>
            </w:r>
          </w:p>
        </w:tc>
        <w:tc>
          <w:tcPr>
            <w:tcW w:type="dxa" w:w="1440"/>
          </w:tcPr>
          <w:p>
            <w:r>
              <w:rPr>
                <w:b/>
              </w:rPr>
              <w:t>Code</w:t>
            </w:r>
          </w:p>
        </w:tc>
        <w:tc>
          <w:tcPr>
            <w:tcW w:type="dxa" w:w="5328"/>
          </w:tcPr>
          <w:p>
            <w:r>
              <w:rPr>
                <w:b/>
              </w:rPr>
              <w:t>Scope</w:t>
            </w:r>
          </w:p>
        </w:tc>
      </w:tr>
      <w:tr>
        <w:tc>
          <w:tcPr>
            <w:tcW w:type="dxa" w:w="2592"/>
          </w:tcPr>
          <w:p>
            <w:r>
              <w:t>Planning &amp; Requirements</w:t>
            </w:r>
          </w:p>
        </w:tc>
        <w:tc>
          <w:tcPr>
            <w:tcW w:type="dxa" w:w="1440"/>
          </w:tcPr>
          <w:p>
            <w:r>
              <w:t>1.x.x.x</w:t>
            </w:r>
          </w:p>
        </w:tc>
        <w:tc>
          <w:tcPr>
            <w:tcW w:type="dxa" w:w="5328"/>
          </w:tcPr>
          <w:p>
            <w:r>
              <w:t>Project scaffolding, schema design, environment setup</w:t>
            </w:r>
          </w:p>
        </w:tc>
      </w:tr>
      <w:tr>
        <w:tc>
          <w:tcPr>
            <w:tcW w:type="dxa" w:w="2592"/>
          </w:tcPr>
          <w:p>
            <w:r>
              <w:t>Design &amp; Architecture</w:t>
            </w:r>
          </w:p>
        </w:tc>
        <w:tc>
          <w:tcPr>
            <w:tcW w:type="dxa" w:w="1440"/>
          </w:tcPr>
          <w:p>
            <w:r>
              <w:t>2.x.x.x</w:t>
            </w:r>
          </w:p>
        </w:tc>
        <w:tc>
          <w:tcPr>
            <w:tcW w:type="dxa" w:w="5328"/>
          </w:tcPr>
          <w:p>
            <w:r>
              <w:t>Component structure, routing hierarchy, database interface design</w:t>
            </w:r>
          </w:p>
        </w:tc>
      </w:tr>
      <w:tr>
        <w:tc>
          <w:tcPr>
            <w:tcW w:type="dxa" w:w="2592"/>
          </w:tcPr>
          <w:p>
            <w:r>
              <w:t>Implementation</w:t>
            </w:r>
          </w:p>
        </w:tc>
        <w:tc>
          <w:tcPr>
            <w:tcW w:type="dxa" w:w="1440"/>
          </w:tcPr>
          <w:p>
            <w:r>
              <w:t>3.x.x.x</w:t>
            </w:r>
          </w:p>
        </w:tc>
        <w:tc>
          <w:tcPr>
            <w:tcW w:type="dxa" w:w="5328"/>
          </w:tcPr>
          <w:p>
            <w:r>
              <w:t>Feature development, API routes, UI components, integrations</w:t>
            </w:r>
          </w:p>
        </w:tc>
      </w:tr>
      <w:tr>
        <w:tc>
          <w:tcPr>
            <w:tcW w:type="dxa" w:w="2592"/>
          </w:tcPr>
          <w:p>
            <w:r>
              <w:t>Testing &amp; Stabilisation</w:t>
            </w:r>
          </w:p>
        </w:tc>
        <w:tc>
          <w:tcPr>
            <w:tcW w:type="dxa" w:w="1440"/>
          </w:tcPr>
          <w:p>
            <w:r>
              <w:t>4.x.x.x</w:t>
            </w:r>
          </w:p>
        </w:tc>
        <w:tc>
          <w:tcPr>
            <w:tcW w:type="dxa" w:w="5328"/>
          </w:tcPr>
          <w:p>
            <w:r>
              <w:t>Defect resolution, security hardening, performance tuning</w:t>
            </w:r>
          </w:p>
        </w:tc>
      </w:tr>
    </w:tbl>
    <w:p/>
    <w:p>
      <w:pPr/>
      <w:r>
        <w:t>The project entered version 3.0.0.0 at the commencement of full implementation and reached 3.5.2.1 at the time of final submission.</w:t>
      </w:r>
    </w:p>
    <w:p>
      <w:pPr>
        <w:pStyle w:val="Heading3"/>
      </w:pPr>
      <w:r>
        <w:t>4.4.2  Configuration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CI ID</w:t>
            </w:r>
          </w:p>
        </w:tc>
        <w:tc>
          <w:tcPr>
            <w:tcW w:type="dxa" w:w="3600"/>
          </w:tcPr>
          <w:p>
            <w:r>
              <w:rPr>
                <w:b/>
              </w:rPr>
              <w:t>Item</w:t>
            </w:r>
          </w:p>
        </w:tc>
        <w:tc>
          <w:tcPr>
            <w:tcW w:type="dxa" w:w="1728"/>
          </w:tcPr>
          <w:p>
            <w:r>
              <w:rPr>
                <w:b/>
              </w:rPr>
              <w:t>Type</w:t>
            </w:r>
          </w:p>
        </w:tc>
        <w:tc>
          <w:tcPr>
            <w:tcW w:type="dxa" w:w="2880"/>
          </w:tcPr>
          <w:p>
            <w:r>
              <w:rPr>
                <w:b/>
              </w:rPr>
              <w:t>Storage Location</w:t>
            </w:r>
          </w:p>
        </w:tc>
      </w:tr>
      <w:tr>
        <w:tc>
          <w:tcPr>
            <w:tcW w:type="dxa" w:w="1152"/>
          </w:tcPr>
          <w:p>
            <w:r>
              <w:t>CI-01</w:t>
            </w:r>
          </w:p>
        </w:tc>
        <w:tc>
          <w:tcPr>
            <w:tcW w:type="dxa" w:w="3600"/>
          </w:tcPr>
          <w:p>
            <w:r>
              <w:t>Application Source Code (src/)</w:t>
            </w:r>
          </w:p>
        </w:tc>
        <w:tc>
          <w:tcPr>
            <w:tcW w:type="dxa" w:w="1728"/>
          </w:tcPr>
          <w:p>
            <w:r>
              <w:t>Software</w:t>
            </w:r>
          </w:p>
        </w:tc>
        <w:tc>
          <w:tcPr>
            <w:tcW w:type="dxa" w:w="2880"/>
          </w:tcPr>
          <w:p>
            <w:r>
              <w:t>Git repository</w:t>
            </w:r>
          </w:p>
        </w:tc>
      </w:tr>
      <w:tr>
        <w:tc>
          <w:tcPr>
            <w:tcW w:type="dxa" w:w="1152"/>
          </w:tcPr>
          <w:p>
            <w:r>
              <w:t>CI-02</w:t>
            </w:r>
          </w:p>
        </w:tc>
        <w:tc>
          <w:tcPr>
            <w:tcW w:type="dxa" w:w="3600"/>
          </w:tcPr>
          <w:p>
            <w:r>
              <w:t>Database Schema Interfaces (src/lib/db.ts)</w:t>
            </w:r>
          </w:p>
        </w:tc>
        <w:tc>
          <w:tcPr>
            <w:tcW w:type="dxa" w:w="1728"/>
          </w:tcPr>
          <w:p>
            <w:r>
              <w:t>Software</w:t>
            </w:r>
          </w:p>
        </w:tc>
        <w:tc>
          <w:tcPr>
            <w:tcW w:type="dxa" w:w="2880"/>
          </w:tcPr>
          <w:p>
            <w:r>
              <w:t>Git repository</w:t>
            </w:r>
          </w:p>
        </w:tc>
      </w:tr>
      <w:tr>
        <w:tc>
          <w:tcPr>
            <w:tcW w:type="dxa" w:w="1152"/>
          </w:tcPr>
          <w:p>
            <w:r>
              <w:t>CI-03</w:t>
            </w:r>
          </w:p>
        </w:tc>
        <w:tc>
          <w:tcPr>
            <w:tcW w:type="dxa" w:w="3600"/>
          </w:tcPr>
          <w:p>
            <w:r>
              <w:t>Environment Configuration (.env.local)</w:t>
            </w:r>
          </w:p>
        </w:tc>
        <w:tc>
          <w:tcPr>
            <w:tcW w:type="dxa" w:w="1728"/>
          </w:tcPr>
          <w:p>
            <w:r>
              <w:t>Configuration</w:t>
            </w:r>
          </w:p>
        </w:tc>
        <w:tc>
          <w:tcPr>
            <w:tcW w:type="dxa" w:w="2880"/>
          </w:tcPr>
          <w:p>
            <w:r>
              <w:t>Secured — NOT version-controlled</w:t>
            </w:r>
          </w:p>
        </w:tc>
      </w:tr>
      <w:tr>
        <w:tc>
          <w:tcPr>
            <w:tcW w:type="dxa" w:w="1152"/>
          </w:tcPr>
          <w:p>
            <w:r>
              <w:t>CI-04</w:t>
            </w:r>
          </w:p>
        </w:tc>
        <w:tc>
          <w:tcPr>
            <w:tcW w:type="dxa" w:w="3600"/>
          </w:tcPr>
          <w:p>
            <w:r>
              <w:t>Dependency Manifest (package.json)</w:t>
            </w:r>
          </w:p>
        </w:tc>
        <w:tc>
          <w:tcPr>
            <w:tcW w:type="dxa" w:w="1728"/>
          </w:tcPr>
          <w:p>
            <w:r>
              <w:t>Configuration</w:t>
            </w:r>
          </w:p>
        </w:tc>
        <w:tc>
          <w:tcPr>
            <w:tcW w:type="dxa" w:w="2880"/>
          </w:tcPr>
          <w:p>
            <w:r>
              <w:t>Git repository</w:t>
            </w:r>
          </w:p>
        </w:tc>
      </w:tr>
      <w:tr>
        <w:tc>
          <w:tcPr>
            <w:tcW w:type="dxa" w:w="1152"/>
          </w:tcPr>
          <w:p>
            <w:r>
              <w:t>CI-05</w:t>
            </w:r>
          </w:p>
        </w:tc>
        <w:tc>
          <w:tcPr>
            <w:tcW w:type="dxa" w:w="3600"/>
          </w:tcPr>
          <w:p>
            <w:r>
              <w:t>Internationalisation Messages (messages/)</w:t>
            </w:r>
          </w:p>
        </w:tc>
        <w:tc>
          <w:tcPr>
            <w:tcW w:type="dxa" w:w="1728"/>
          </w:tcPr>
          <w:p>
            <w:r>
              <w:t>Data</w:t>
            </w:r>
          </w:p>
        </w:tc>
        <w:tc>
          <w:tcPr>
            <w:tcW w:type="dxa" w:w="2880"/>
          </w:tcPr>
          <w:p>
            <w:r>
              <w:t>Git repository</w:t>
            </w:r>
          </w:p>
        </w:tc>
      </w:tr>
      <w:tr>
        <w:tc>
          <w:tcPr>
            <w:tcW w:type="dxa" w:w="1152"/>
          </w:tcPr>
          <w:p>
            <w:r>
              <w:t>CI-06</w:t>
            </w:r>
          </w:p>
        </w:tc>
        <w:tc>
          <w:tcPr>
            <w:tcW w:type="dxa" w:w="3600"/>
          </w:tcPr>
          <w:p>
            <w:r>
              <w:t>Final Project Report (.docx)</w:t>
            </w:r>
          </w:p>
        </w:tc>
        <w:tc>
          <w:tcPr>
            <w:tcW w:type="dxa" w:w="1728"/>
          </w:tcPr>
          <w:p>
            <w:r>
              <w:t>Document</w:t>
            </w:r>
          </w:p>
        </w:tc>
        <w:tc>
          <w:tcPr>
            <w:tcW w:type="dxa" w:w="2880"/>
          </w:tcPr>
          <w:p>
            <w:r>
              <w:t>Team shared drive</w:t>
            </w:r>
          </w:p>
        </w:tc>
      </w:tr>
      <w:tr>
        <w:tc>
          <w:tcPr>
            <w:tcW w:type="dxa" w:w="1152"/>
          </w:tcPr>
          <w:p>
            <w:r>
              <w:t>CI-07</w:t>
            </w:r>
          </w:p>
        </w:tc>
        <w:tc>
          <w:tcPr>
            <w:tcW w:type="dxa" w:w="3600"/>
          </w:tcPr>
          <w:p>
            <w:r>
              <w:t>Prototype Database (src/data/db.json)</w:t>
            </w:r>
          </w:p>
        </w:tc>
        <w:tc>
          <w:tcPr>
            <w:tcW w:type="dxa" w:w="1728"/>
          </w:tcPr>
          <w:p>
            <w:r>
              <w:t>Data</w:t>
            </w:r>
          </w:p>
        </w:tc>
        <w:tc>
          <w:tcPr>
            <w:tcW w:type="dxa" w:w="2880"/>
          </w:tcPr>
          <w:p>
            <w:r>
              <w:t>Git repository</w:t>
            </w:r>
          </w:p>
        </w:tc>
      </w:tr>
      <w:tr>
        <w:tc>
          <w:tcPr>
            <w:tcW w:type="dxa" w:w="1152"/>
          </w:tcPr>
          <w:p>
            <w:r>
              <w:t>CI-08</w:t>
            </w:r>
          </w:p>
        </w:tc>
        <w:tc>
          <w:tcPr>
            <w:tcW w:type="dxa" w:w="3600"/>
          </w:tcPr>
          <w:p>
            <w:r>
              <w:t>Deployment Configuration (next.config.ts)</w:t>
            </w:r>
          </w:p>
        </w:tc>
        <w:tc>
          <w:tcPr>
            <w:tcW w:type="dxa" w:w="1728"/>
          </w:tcPr>
          <w:p>
            <w:r>
              <w:t>Configuration</w:t>
            </w:r>
          </w:p>
        </w:tc>
        <w:tc>
          <w:tcPr>
            <w:tcW w:type="dxa" w:w="2880"/>
          </w:tcPr>
          <w:p>
            <w:r>
              <w:t>Git repository</w:t>
            </w:r>
          </w:p>
        </w:tc>
      </w:tr>
    </w:tbl>
    <w:p/>
    <w:p>
      <w:pPr>
        <w:pStyle w:val="Heading3"/>
      </w:pPr>
      <w:r>
        <w:t>4.4.3  Change Request Log</w:t>
      </w:r>
    </w:p>
    <w:p>
      <w:pPr/>
      <w:r>
        <w:t>Changes are typed using the IEEE 1219 taxonomy — Corrective (defect/security fix), Adaptive (environment change), Perfective (new capability), Preventive (proactive restructure).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008"/>
          </w:tcPr>
          <w:p>
            <w:r>
              <w:rPr>
                <w:b/>
              </w:rPr>
              <w:t>CR ID</w:t>
            </w:r>
          </w:p>
        </w:tc>
        <w:tc>
          <w:tcPr>
            <w:tcW w:type="dxa" w:w="4320"/>
          </w:tcPr>
          <w:p>
            <w:r>
              <w:rPr>
                <w:b/>
              </w:rPr>
              <w:t>Change Description</w:t>
            </w:r>
          </w:p>
        </w:tc>
        <w:tc>
          <w:tcPr>
            <w:tcW w:type="dxa" w:w="1296"/>
          </w:tcPr>
          <w:p>
            <w:r>
              <w:rPr>
                <w:b/>
              </w:rPr>
              <w:t>Type</w:t>
            </w:r>
          </w:p>
        </w:tc>
        <w:tc>
          <w:tcPr>
            <w:tcW w:type="dxa" w:w="1152"/>
          </w:tcPr>
          <w:p>
            <w:r>
              <w:rPr>
                <w:b/>
              </w:rPr>
              <w:t>Priority</w:t>
            </w:r>
          </w:p>
        </w:tc>
        <w:tc>
          <w:tcPr>
            <w:tcW w:type="dxa" w:w="1008"/>
          </w:tcPr>
          <w:p>
            <w:r>
              <w:rPr>
                <w:b/>
              </w:rPr>
              <w:t>Old Ver.</w:t>
            </w:r>
          </w:p>
        </w:tc>
        <w:tc>
          <w:tcPr>
            <w:tcW w:type="dxa" w:w="1008"/>
          </w:tcPr>
          <w:p>
            <w:r>
              <w:rPr>
                <w:b/>
              </w:rPr>
              <w:t>New Ver.</w:t>
            </w:r>
          </w:p>
        </w:tc>
        <w:tc>
          <w:tcPr>
            <w:tcW w:type="dxa" w:w="1008"/>
          </w:tcPr>
          <w:p>
            <w:r>
              <w:rPr>
                <w:b/>
              </w:rPr>
              <w:t>Status</w:t>
            </w:r>
          </w:p>
        </w:tc>
      </w:tr>
      <w:tr>
        <w:tc>
          <w:tcPr>
            <w:tcW w:type="dxa" w:w="1008"/>
          </w:tcPr>
          <w:p>
            <w:r>
              <w:t>CR-001</w:t>
            </w:r>
          </w:p>
        </w:tc>
        <w:tc>
          <w:tcPr>
            <w:tcW w:type="dxa" w:w="4320"/>
          </w:tcPr>
          <w:p>
            <w:r>
              <w:t>Initial project scaffold — Next.js 16 App Router setup, TypeScript configuration, package.json baseline.</w:t>
            </w:r>
          </w:p>
        </w:tc>
        <w:tc>
          <w:tcPr>
            <w:tcW w:type="dxa" w:w="1296"/>
          </w:tcPr>
          <w:p>
            <w:r>
              <w:t>Perfective</w:t>
            </w:r>
          </w:p>
        </w:tc>
        <w:tc>
          <w:tcPr>
            <w:tcW w:type="dxa" w:w="1152"/>
          </w:tcPr>
          <w:p>
            <w:r>
              <w:t>High</w:t>
            </w:r>
          </w:p>
        </w:tc>
        <w:tc>
          <w:tcPr>
            <w:tcW w:type="dxa" w:w="1008"/>
          </w:tcPr>
          <w:p>
            <w:r>
              <w:t>3.0.0.0</w:t>
            </w:r>
          </w:p>
        </w:tc>
        <w:tc>
          <w:tcPr>
            <w:tcW w:type="dxa" w:w="1008"/>
          </w:tcPr>
          <w:p>
            <w:r>
              <w:t>3.1.0.0</w:t>
            </w:r>
          </w:p>
        </w:tc>
        <w:tc>
          <w:tcPr>
            <w:tcW w:type="dxa" w:w="1008"/>
          </w:tcPr>
          <w:p>
            <w:r>
              <w:t>Closed</w:t>
            </w:r>
          </w:p>
        </w:tc>
      </w:tr>
      <w:tr>
        <w:tc>
          <w:tcPr>
            <w:tcW w:type="dxa" w:w="1008"/>
          </w:tcPr>
          <w:p>
            <w:r>
              <w:t>CR-002</w:t>
            </w:r>
          </w:p>
        </w:tc>
        <w:tc>
          <w:tcPr>
            <w:tcW w:type="dxa" w:w="4320"/>
          </w:tcPr>
          <w:p>
            <w:r>
              <w:t>Database schema &amp; interface design — Defined all 10 TypeScript interfaces in db.ts. Established readDB() / writeDB() / generateId() utilities.</w:t>
            </w:r>
          </w:p>
        </w:tc>
        <w:tc>
          <w:tcPr>
            <w:tcW w:type="dxa" w:w="1296"/>
          </w:tcPr>
          <w:p>
            <w:r>
              <w:t>Perfective</w:t>
            </w:r>
          </w:p>
        </w:tc>
        <w:tc>
          <w:tcPr>
            <w:tcW w:type="dxa" w:w="1152"/>
          </w:tcPr>
          <w:p>
            <w:r>
              <w:t>High</w:t>
            </w:r>
          </w:p>
        </w:tc>
        <w:tc>
          <w:tcPr>
            <w:tcW w:type="dxa" w:w="1008"/>
          </w:tcPr>
          <w:p>
            <w:r>
              <w:t>3.1.0.0</w:t>
            </w:r>
          </w:p>
        </w:tc>
        <w:tc>
          <w:tcPr>
            <w:tcW w:type="dxa" w:w="1008"/>
          </w:tcPr>
          <w:p>
            <w:r>
              <w:t>3.2.0.0</w:t>
            </w:r>
          </w:p>
        </w:tc>
        <w:tc>
          <w:tcPr>
            <w:tcW w:type="dxa" w:w="1008"/>
          </w:tcPr>
          <w:p>
            <w:r>
              <w:t>Closed</w:t>
            </w:r>
          </w:p>
        </w:tc>
      </w:tr>
      <w:tr>
        <w:tc>
          <w:tcPr>
            <w:tcW w:type="dxa" w:w="1008"/>
          </w:tcPr>
          <w:p>
            <w:r>
              <w:t>CR-003</w:t>
            </w:r>
          </w:p>
        </w:tc>
        <w:tc>
          <w:tcPr>
            <w:tcW w:type="dxa" w:w="4320"/>
          </w:tcPr>
          <w:p>
            <w:r>
              <w:t>Arabic language &amp; RTL support — Integrated next-intl v4.9; created ar.json and en.json; added LanguageToggle component and locale-aware routing middleware. Refactored all hard-coded strings across 24 UI components.</w:t>
            </w:r>
          </w:p>
        </w:tc>
        <w:tc>
          <w:tcPr>
            <w:tcW w:type="dxa" w:w="1296"/>
          </w:tcPr>
          <w:p>
            <w:r>
              <w:t>Adaptive</w:t>
            </w:r>
          </w:p>
        </w:tc>
        <w:tc>
          <w:tcPr>
            <w:tcW w:type="dxa" w:w="1152"/>
          </w:tcPr>
          <w:p>
            <w:r>
              <w:t>High</w:t>
            </w:r>
          </w:p>
        </w:tc>
        <w:tc>
          <w:tcPr>
            <w:tcW w:type="dxa" w:w="1008"/>
          </w:tcPr>
          <w:p>
            <w:r>
              <w:t>3.2.0.0</w:t>
            </w:r>
          </w:p>
        </w:tc>
        <w:tc>
          <w:tcPr>
            <w:tcW w:type="dxa" w:w="1008"/>
          </w:tcPr>
          <w:p>
            <w:r>
              <w:t>3.3.0.0</w:t>
            </w:r>
          </w:p>
        </w:tc>
        <w:tc>
          <w:tcPr>
            <w:tcW w:type="dxa" w:w="1008"/>
          </w:tcPr>
          <w:p>
            <w:r>
              <w:t>Closed</w:t>
            </w:r>
          </w:p>
        </w:tc>
      </w:tr>
      <w:tr>
        <w:tc>
          <w:tcPr>
            <w:tcW w:type="dxa" w:w="1008"/>
          </w:tcPr>
          <w:p>
            <w:r>
              <w:t>CR-004</w:t>
            </w:r>
          </w:p>
        </w:tc>
        <w:tc>
          <w:tcPr>
            <w:tcW w:type="dxa" w:w="4320"/>
          </w:tcPr>
          <w:p>
            <w:r>
              <w:t>Supabase Auth integration — Migrated session management to Supabase JWT. Introduced src/utils/supabase/server.ts and client.ts using @supabase/ssr. Updated getCurrentUser() to delegate to supabase.auth.getUser().</w:t>
            </w:r>
          </w:p>
        </w:tc>
        <w:tc>
          <w:tcPr>
            <w:tcW w:type="dxa" w:w="1296"/>
          </w:tcPr>
          <w:p>
            <w:r>
              <w:t>Adaptive</w:t>
            </w:r>
          </w:p>
        </w:tc>
        <w:tc>
          <w:tcPr>
            <w:tcW w:type="dxa" w:w="1152"/>
          </w:tcPr>
          <w:p>
            <w:r>
              <w:t>High</w:t>
            </w:r>
          </w:p>
        </w:tc>
        <w:tc>
          <w:tcPr>
            <w:tcW w:type="dxa" w:w="1008"/>
          </w:tcPr>
          <w:p>
            <w:r>
              <w:t>3.3.0.0</w:t>
            </w:r>
          </w:p>
        </w:tc>
        <w:tc>
          <w:tcPr>
            <w:tcW w:type="dxa" w:w="1008"/>
          </w:tcPr>
          <w:p>
            <w:r>
              <w:t>3.4.0.0</w:t>
            </w:r>
          </w:p>
        </w:tc>
        <w:tc>
          <w:tcPr>
            <w:tcW w:type="dxa" w:w="1008"/>
          </w:tcPr>
          <w:p>
            <w:r>
              <w:t>Closed</w:t>
            </w:r>
          </w:p>
        </w:tc>
      </w:tr>
      <w:tr>
        <w:tc>
          <w:tcPr>
            <w:tcW w:type="dxa" w:w="1008"/>
          </w:tcPr>
          <w:p>
            <w:r>
              <w:t>CR-005</w:t>
            </w:r>
          </w:p>
        </w:tc>
        <w:tc>
          <w:tcPr>
            <w:tcW w:type="dxa" w:w="4320"/>
          </w:tcPr>
          <w:p>
            <w:r>
              <w:t>XSS vulnerability remediation — Unsanitised output identified in BrandCard.tsx, ReviewCard.tsx, and LandingPage.tsx. Applied React JSX escaping; hardened cookies: b2b_user_id set to httpOnly: true, SameSite: 'lax'.</w:t>
            </w:r>
          </w:p>
        </w:tc>
        <w:tc>
          <w:tcPr>
            <w:tcW w:type="dxa" w:w="1296"/>
          </w:tcPr>
          <w:p>
            <w:r>
              <w:t>Corrective</w:t>
            </w:r>
          </w:p>
        </w:tc>
        <w:tc>
          <w:tcPr>
            <w:tcW w:type="dxa" w:w="1152"/>
          </w:tcPr>
          <w:p>
            <w:r>
              <w:t>Critical</w:t>
            </w:r>
          </w:p>
        </w:tc>
        <w:tc>
          <w:tcPr>
            <w:tcW w:type="dxa" w:w="1008"/>
          </w:tcPr>
          <w:p>
            <w:r>
              <w:t>3.4.0.0</w:t>
            </w:r>
          </w:p>
        </w:tc>
        <w:tc>
          <w:tcPr>
            <w:tcW w:type="dxa" w:w="1008"/>
          </w:tcPr>
          <w:p>
            <w:r>
              <w:t>3.4.0.1</w:t>
            </w:r>
          </w:p>
        </w:tc>
        <w:tc>
          <w:tcPr>
            <w:tcW w:type="dxa" w:w="1008"/>
          </w:tcPr>
          <w:p>
            <w:r>
              <w:t>Closed</w:t>
            </w:r>
          </w:p>
        </w:tc>
      </w:tr>
      <w:tr>
        <w:tc>
          <w:tcPr>
            <w:tcW w:type="dxa" w:w="1008"/>
          </w:tcPr>
          <w:p>
            <w:r>
              <w:t>CR-006</w:t>
            </w:r>
          </w:p>
        </w:tc>
        <w:tc>
          <w:tcPr>
            <w:tcW w:type="dxa" w:w="4320"/>
          </w:tcPr>
          <w:p>
            <w:r>
              <w:t>Bulk pricing tier system — Extended Product interface with bulk_pricing_tiers[]. Updated POST /api/orders to resolve unit_price from matching tier range. Added UI controls in product creation and edit pages.</w:t>
            </w:r>
          </w:p>
        </w:tc>
        <w:tc>
          <w:tcPr>
            <w:tcW w:type="dxa" w:w="1296"/>
          </w:tcPr>
          <w:p>
            <w:r>
              <w:t>Perfective</w:t>
            </w:r>
          </w:p>
        </w:tc>
        <w:tc>
          <w:tcPr>
            <w:tcW w:type="dxa" w:w="1152"/>
          </w:tcPr>
          <w:p>
            <w:r>
              <w:t>High</w:t>
            </w:r>
          </w:p>
        </w:tc>
        <w:tc>
          <w:tcPr>
            <w:tcW w:type="dxa" w:w="1008"/>
          </w:tcPr>
          <w:p>
            <w:r>
              <w:t>3.4.0.1</w:t>
            </w:r>
          </w:p>
        </w:tc>
        <w:tc>
          <w:tcPr>
            <w:tcW w:type="dxa" w:w="1008"/>
          </w:tcPr>
          <w:p>
            <w:r>
              <w:t>3.4.1.0</w:t>
            </w:r>
          </w:p>
        </w:tc>
        <w:tc>
          <w:tcPr>
            <w:tcW w:type="dxa" w:w="1008"/>
          </w:tcPr>
          <w:p>
            <w:r>
              <w:t>Closed</w:t>
            </w:r>
          </w:p>
        </w:tc>
      </w:tr>
      <w:tr>
        <w:tc>
          <w:tcPr>
            <w:tcW w:type="dxa" w:w="1008"/>
          </w:tcPr>
          <w:p>
            <w:r>
              <w:t>CR-007</w:t>
            </w:r>
          </w:p>
        </w:tc>
        <w:tc>
          <w:tcPr>
            <w:tcW w:type="dxa" w:w="4320"/>
          </w:tcPr>
          <w:p>
            <w:r>
              <w:t>Trust Score Engine — Designed BrandTrust and BuyerTrust scoring with response_rate, completion_rate, avg_fulfillment_days, and badge metrics.</w:t>
            </w:r>
          </w:p>
        </w:tc>
        <w:tc>
          <w:tcPr>
            <w:tcW w:type="dxa" w:w="1296"/>
          </w:tcPr>
          <w:p>
            <w:r>
              <w:t>Perfective</w:t>
            </w:r>
          </w:p>
        </w:tc>
        <w:tc>
          <w:tcPr>
            <w:tcW w:type="dxa" w:w="1152"/>
          </w:tcPr>
          <w:p>
            <w:r>
              <w:t>High</w:t>
            </w:r>
          </w:p>
        </w:tc>
        <w:tc>
          <w:tcPr>
            <w:tcW w:type="dxa" w:w="1008"/>
          </w:tcPr>
          <w:p>
            <w:r>
              <w:t>3.4.1.0</w:t>
            </w:r>
          </w:p>
        </w:tc>
        <w:tc>
          <w:tcPr>
            <w:tcW w:type="dxa" w:w="1008"/>
          </w:tcPr>
          <w:p>
            <w:r>
              <w:t>3.5.0.0</w:t>
            </w:r>
          </w:p>
        </w:tc>
        <w:tc>
          <w:tcPr>
            <w:tcW w:type="dxa" w:w="1008"/>
          </w:tcPr>
          <w:p>
            <w:r>
              <w:t>Closed</w:t>
            </w:r>
          </w:p>
        </w:tc>
      </w:tr>
      <w:tr>
        <w:tc>
          <w:tcPr>
            <w:tcW w:type="dxa" w:w="1008"/>
          </w:tcPr>
          <w:p>
            <w:r>
              <w:t>CR-008</w:t>
            </w:r>
          </w:p>
        </w:tc>
        <w:tc>
          <w:tcPr>
            <w:tcW w:type="dxa" w:w="4320"/>
          </w:tcPr>
          <w:p>
            <w:r>
              <w:t>Real-time notification system — Introduced Zustand v5 store, RealtimeProvider.tsx, NotificationBell.tsx, and createNotification() / createNotificationForMany() integrated into all key workflows.</w:t>
            </w:r>
          </w:p>
        </w:tc>
        <w:tc>
          <w:tcPr>
            <w:tcW w:type="dxa" w:w="1296"/>
          </w:tcPr>
          <w:p>
            <w:r>
              <w:t>Perfective</w:t>
            </w:r>
          </w:p>
        </w:tc>
        <w:tc>
          <w:tcPr>
            <w:tcW w:type="dxa" w:w="1152"/>
          </w:tcPr>
          <w:p>
            <w:r>
              <w:t>Medium</w:t>
            </w:r>
          </w:p>
        </w:tc>
        <w:tc>
          <w:tcPr>
            <w:tcW w:type="dxa" w:w="1008"/>
          </w:tcPr>
          <w:p>
            <w:r>
              <w:t>3.5.0.0</w:t>
            </w:r>
          </w:p>
        </w:tc>
        <w:tc>
          <w:tcPr>
            <w:tcW w:type="dxa" w:w="1008"/>
          </w:tcPr>
          <w:p>
            <w:r>
              <w:t>3.5.1.0</w:t>
            </w:r>
          </w:p>
        </w:tc>
        <w:tc>
          <w:tcPr>
            <w:tcW w:type="dxa" w:w="1008"/>
          </w:tcPr>
          <w:p>
            <w:r>
              <w:t>Closed</w:t>
            </w:r>
          </w:p>
        </w:tc>
      </w:tr>
      <w:tr>
        <w:tc>
          <w:tcPr>
            <w:tcW w:type="dxa" w:w="1008"/>
          </w:tcPr>
          <w:p>
            <w:r>
              <w:t>CR-009</w:t>
            </w:r>
          </w:p>
        </w:tc>
        <w:tc>
          <w:tcPr>
            <w:tcW w:type="dxa" w:w="4320"/>
          </w:tcPr>
          <w:p>
            <w:r>
              <w:t>Multi-currency GCC support — Added CurrencyConfig interface and CURRENCIES registry covering KWD, SAR, AED, QAR, BHD, OMR with ISO 4217 codes, VAT rates, locale strings.</w:t>
            </w:r>
          </w:p>
        </w:tc>
        <w:tc>
          <w:tcPr>
            <w:tcW w:type="dxa" w:w="1296"/>
          </w:tcPr>
          <w:p>
            <w:r>
              <w:t>Perfective</w:t>
            </w:r>
          </w:p>
        </w:tc>
        <w:tc>
          <w:tcPr>
            <w:tcW w:type="dxa" w:w="1152"/>
          </w:tcPr>
          <w:p>
            <w:r>
              <w:t>Medium</w:t>
            </w:r>
          </w:p>
        </w:tc>
        <w:tc>
          <w:tcPr>
            <w:tcW w:type="dxa" w:w="1008"/>
          </w:tcPr>
          <w:p>
            <w:r>
              <w:t>3.5.1.0</w:t>
            </w:r>
          </w:p>
        </w:tc>
        <w:tc>
          <w:tcPr>
            <w:tcW w:type="dxa" w:w="1008"/>
          </w:tcPr>
          <w:p>
            <w:r>
              <w:t>3.5.2.0</w:t>
            </w:r>
          </w:p>
        </w:tc>
        <w:tc>
          <w:tcPr>
            <w:tcW w:type="dxa" w:w="1008"/>
          </w:tcPr>
          <w:p>
            <w:r>
              <w:t>Closed</w:t>
            </w:r>
          </w:p>
        </w:tc>
      </w:tr>
      <w:tr>
        <w:tc>
          <w:tcPr>
            <w:tcW w:type="dxa" w:w="1008"/>
          </w:tcPr>
          <w:p>
            <w:r>
              <w:t>CR-010</w:t>
            </w:r>
          </w:p>
        </w:tc>
        <w:tc>
          <w:tcPr>
            <w:tcW w:type="dxa" w:w="4320"/>
          </w:tcPr>
          <w:p>
            <w:r>
              <w:t>Excel catalogue bulk import — Added CatalogImportModal.tsx (560 LOC) enabling brand owners to upload .xlsx product catalogues parsed via the xlsx library and submitted to POST /api/products/bulk.</w:t>
            </w:r>
          </w:p>
        </w:tc>
        <w:tc>
          <w:tcPr>
            <w:tcW w:type="dxa" w:w="1296"/>
          </w:tcPr>
          <w:p>
            <w:r>
              <w:t>Perfective</w:t>
            </w:r>
          </w:p>
        </w:tc>
        <w:tc>
          <w:tcPr>
            <w:tcW w:type="dxa" w:w="1152"/>
          </w:tcPr>
          <w:p>
            <w:r>
              <w:t>Low</w:t>
            </w:r>
          </w:p>
        </w:tc>
        <w:tc>
          <w:tcPr>
            <w:tcW w:type="dxa" w:w="1008"/>
          </w:tcPr>
          <w:p>
            <w:r>
              <w:t>3.5.2.0</w:t>
            </w:r>
          </w:p>
        </w:tc>
        <w:tc>
          <w:tcPr>
            <w:tcW w:type="dxa" w:w="1008"/>
          </w:tcPr>
          <w:p>
            <w:r>
              <w:t>3.5.2.1</w:t>
            </w:r>
          </w:p>
        </w:tc>
        <w:tc>
          <w:tcPr>
            <w:tcW w:type="dxa" w:w="1008"/>
          </w:tcPr>
          <w:p>
            <w:r>
              <w:t>Closed</w:t>
            </w:r>
          </w:p>
        </w:tc>
      </w:tr>
    </w:tbl>
    <w:p/>
    <w:p>
      <w:pPr>
        <w:pStyle w:val="Heading3"/>
      </w:pPr>
      <w:r>
        <w:t>4.4.4  Version Baseline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1728"/>
          </w:tcPr>
          <w:p>
            <w:r>
              <w:rPr>
                <w:b/>
              </w:rPr>
              <w:t>Version</w:t>
            </w:r>
          </w:p>
        </w:tc>
        <w:tc>
          <w:tcPr>
            <w:tcW w:type="dxa" w:w="4752"/>
          </w:tcPr>
          <w:p>
            <w:r>
              <w:rPr>
                <w:b/>
              </w:rPr>
              <w:t>Key Deliverable</w:t>
            </w:r>
          </w:p>
        </w:tc>
      </w:tr>
      <w:tr>
        <w:tc>
          <w:tcPr>
            <w:tcW w:type="dxa" w:w="2880"/>
          </w:tcPr>
          <w:p>
            <w:r>
              <w:t>Project Scaffold</w:t>
            </w:r>
          </w:p>
        </w:tc>
        <w:tc>
          <w:tcPr>
            <w:tcW w:type="dxa" w:w="1728"/>
          </w:tcPr>
          <w:p>
            <w:r>
              <w:t>3.1.0.0</w:t>
            </w:r>
          </w:p>
        </w:tc>
        <w:tc>
          <w:tcPr>
            <w:tcW w:type="dxa" w:w="4752"/>
          </w:tcPr>
          <w:p>
            <w:r>
              <w:t>Next.js 16 setup, TypeScript baseline</w:t>
            </w:r>
          </w:p>
        </w:tc>
      </w:tr>
      <w:tr>
        <w:tc>
          <w:tcPr>
            <w:tcW w:type="dxa" w:w="2880"/>
          </w:tcPr>
          <w:p>
            <w:r>
              <w:t>Schema Freeze</w:t>
            </w:r>
          </w:p>
        </w:tc>
        <w:tc>
          <w:tcPr>
            <w:tcW w:type="dxa" w:w="1728"/>
          </w:tcPr>
          <w:p>
            <w:r>
              <w:t>3.2.0.0</w:t>
            </w:r>
          </w:p>
        </w:tc>
        <w:tc>
          <w:tcPr>
            <w:tcW w:type="dxa" w:w="4752"/>
          </w:tcPr>
          <w:p>
            <w:r>
              <w:t>All 10 db.ts interfaces defined</w:t>
            </w:r>
          </w:p>
        </w:tc>
      </w:tr>
      <w:tr>
        <w:tc>
          <w:tcPr>
            <w:tcW w:type="dxa" w:w="2880"/>
          </w:tcPr>
          <w:p>
            <w:r>
              <w:t>Bilingual Release</w:t>
            </w:r>
          </w:p>
        </w:tc>
        <w:tc>
          <w:tcPr>
            <w:tcW w:type="dxa" w:w="1728"/>
          </w:tcPr>
          <w:p>
            <w:r>
              <w:t>3.3.0.0</w:t>
            </w:r>
          </w:p>
        </w:tc>
        <w:tc>
          <w:tcPr>
            <w:tcW w:type="dxa" w:w="4752"/>
          </w:tcPr>
          <w:p>
            <w:r>
              <w:t>Arabic RTL support live</w:t>
            </w:r>
          </w:p>
        </w:tc>
      </w:tr>
      <w:tr>
        <w:tc>
          <w:tcPr>
            <w:tcW w:type="dxa" w:w="2880"/>
          </w:tcPr>
          <w:p>
            <w:r>
              <w:t>Auth Stabilisation</w:t>
            </w:r>
          </w:p>
        </w:tc>
        <w:tc>
          <w:tcPr>
            <w:tcW w:type="dxa" w:w="1728"/>
          </w:tcPr>
          <w:p>
            <w:r>
              <w:t>3.4.0.0</w:t>
            </w:r>
          </w:p>
        </w:tc>
        <w:tc>
          <w:tcPr>
            <w:tcW w:type="dxa" w:w="4752"/>
          </w:tcPr>
          <w:p>
            <w:r>
              <w:t>Supabase JWT sessions active</w:t>
            </w:r>
          </w:p>
        </w:tc>
      </w:tr>
      <w:tr>
        <w:tc>
          <w:tcPr>
            <w:tcW w:type="dxa" w:w="2880"/>
          </w:tcPr>
          <w:p>
            <w:r>
              <w:t>Security Patch</w:t>
            </w:r>
          </w:p>
        </w:tc>
        <w:tc>
          <w:tcPr>
            <w:tcW w:type="dxa" w:w="1728"/>
          </w:tcPr>
          <w:p>
            <w:r>
              <w:t>3.4.0.1</w:t>
            </w:r>
          </w:p>
        </w:tc>
        <w:tc>
          <w:tcPr>
            <w:tcW w:type="dxa" w:w="4752"/>
          </w:tcPr>
          <w:p>
            <w:r>
              <w:t>XSS vulnerability closed</w:t>
            </w:r>
          </w:p>
        </w:tc>
      </w:tr>
      <w:tr>
        <w:tc>
          <w:tcPr>
            <w:tcW w:type="dxa" w:w="2880"/>
          </w:tcPr>
          <w:p>
            <w:r>
              <w:t>B2B Pricing Complete</w:t>
            </w:r>
          </w:p>
        </w:tc>
        <w:tc>
          <w:tcPr>
            <w:tcW w:type="dxa" w:w="1728"/>
          </w:tcPr>
          <w:p>
            <w:r>
              <w:t>3.4.1.0</w:t>
            </w:r>
          </w:p>
        </w:tc>
        <w:tc>
          <w:tcPr>
            <w:tcW w:type="dxa" w:w="4752"/>
          </w:tcPr>
          <w:p>
            <w:r>
              <w:t>Bulk pricing tiers implemented</w:t>
            </w:r>
          </w:p>
        </w:tc>
      </w:tr>
      <w:tr>
        <w:tc>
          <w:tcPr>
            <w:tcW w:type="dxa" w:w="2880"/>
          </w:tcPr>
          <w:p>
            <w:r>
              <w:t>Trust Engine Release</w:t>
            </w:r>
          </w:p>
        </w:tc>
        <w:tc>
          <w:tcPr>
            <w:tcW w:type="dxa" w:w="1728"/>
          </w:tcPr>
          <w:p>
            <w:r>
              <w:t>3.5.0.0</w:t>
            </w:r>
          </w:p>
        </w:tc>
        <w:tc>
          <w:tcPr>
            <w:tcW w:type="dxa" w:w="4752"/>
          </w:tcPr>
          <w:p>
            <w:r>
              <w:t>BrandTrust / BuyerTrust scoring live</w:t>
            </w:r>
          </w:p>
        </w:tc>
      </w:tr>
      <w:tr>
        <w:tc>
          <w:tcPr>
            <w:tcW w:type="dxa" w:w="2880"/>
          </w:tcPr>
          <w:p>
            <w:r>
              <w:t>Notifications Release</w:t>
            </w:r>
          </w:p>
        </w:tc>
        <w:tc>
          <w:tcPr>
            <w:tcW w:type="dxa" w:w="1728"/>
          </w:tcPr>
          <w:p>
            <w:r>
              <w:t>3.5.1.0</w:t>
            </w:r>
          </w:p>
        </w:tc>
        <w:tc>
          <w:tcPr>
            <w:tcW w:type="dxa" w:w="4752"/>
          </w:tcPr>
          <w:p>
            <w:r>
              <w:t>Real-time notification system active</w:t>
            </w:r>
          </w:p>
        </w:tc>
      </w:tr>
      <w:tr>
        <w:tc>
          <w:tcPr>
            <w:tcW w:type="dxa" w:w="2880"/>
          </w:tcPr>
          <w:p>
            <w:r>
              <w:t>GCC Currency Support</w:t>
            </w:r>
          </w:p>
        </w:tc>
        <w:tc>
          <w:tcPr>
            <w:tcW w:type="dxa" w:w="1728"/>
          </w:tcPr>
          <w:p>
            <w:r>
              <w:t>3.5.2.0</w:t>
            </w:r>
          </w:p>
        </w:tc>
        <w:tc>
          <w:tcPr>
            <w:tcW w:type="dxa" w:w="4752"/>
          </w:tcPr>
          <w:p>
            <w:r>
              <w:t>Six-currency selector live</w:t>
            </w:r>
          </w:p>
        </w:tc>
      </w:tr>
      <w:tr>
        <w:tc>
          <w:tcPr>
            <w:tcW w:type="dxa" w:w="2880"/>
          </w:tcPr>
          <w:p>
            <w:r>
              <w:t>Final Submission</w:t>
            </w:r>
          </w:p>
        </w:tc>
        <w:tc>
          <w:tcPr>
            <w:tcW w:type="dxa" w:w="1728"/>
          </w:tcPr>
          <w:p>
            <w:r>
              <w:t>3.5.2.1</w:t>
            </w:r>
          </w:p>
        </w:tc>
        <w:tc>
          <w:tcPr>
            <w:tcW w:type="dxa" w:w="4752"/>
          </w:tcPr>
          <w:p>
            <w:r>
              <w:t>Excel import; full feature freeze</w:t>
            </w:r>
          </w:p>
        </w:tc>
      </w:tr>
    </w:tbl>
    <w:p/>
    <w:p>
      <w:pPr>
        <w:pStyle w:val="Heading2"/>
      </w:pPr>
      <w:r>
        <w:t>4.5  Development &amp; Deployment Specification</w:t>
      </w:r>
    </w:p>
    <w:p>
      <w:pPr>
        <w:pStyle w:val="Heading3"/>
      </w:pPr>
      <w:r>
        <w:t>4.5.1  Hardware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Pr>
                <w:b/>
              </w:rPr>
              <w:t>Specification</w:t>
            </w:r>
          </w:p>
        </w:tc>
        <w:tc>
          <w:tcPr>
            <w:tcW w:type="dxa" w:w="2160"/>
          </w:tcPr>
          <w:p>
            <w:r>
              <w:rPr>
                <w:b/>
              </w:rPr>
              <w:t>Minimum (Dev)</w:t>
            </w:r>
          </w:p>
        </w:tc>
        <w:tc>
          <w:tcPr>
            <w:tcW w:type="dxa" w:w="2592"/>
          </w:tcPr>
          <w:p>
            <w:r>
              <w:rPr>
                <w:b/>
              </w:rPr>
              <w:t>Recommended (Dev)</w:t>
            </w:r>
          </w:p>
        </w:tc>
        <w:tc>
          <w:tcPr>
            <w:tcW w:type="dxa" w:w="2736"/>
          </w:tcPr>
          <w:p>
            <w:r>
              <w:rPr>
                <w:b/>
              </w:rPr>
              <w:t>Production (Vercel — Managed)</w:t>
            </w:r>
          </w:p>
        </w:tc>
      </w:tr>
      <w:tr>
        <w:tc>
          <w:tcPr>
            <w:tcW w:type="dxa" w:w="1872"/>
          </w:tcPr>
          <w:p>
            <w:r>
              <w:t>CPU</w:t>
            </w:r>
          </w:p>
        </w:tc>
        <w:tc>
          <w:tcPr>
            <w:tcW w:type="dxa" w:w="2160"/>
          </w:tcPr>
          <w:p>
            <w:r>
              <w:t>Dual-core 2.0 GHz (x86-64 or ARM64)</w:t>
            </w:r>
          </w:p>
        </w:tc>
        <w:tc>
          <w:tcPr>
            <w:tcW w:type="dxa" w:w="2592"/>
          </w:tcPr>
          <w:p>
            <w:r>
              <w:t>Quad-core 2.5 GHz+ (Apple M-series or Intel i5/i7)</w:t>
            </w:r>
          </w:p>
        </w:tc>
        <w:tc>
          <w:tcPr>
            <w:tcW w:type="dxa" w:w="2736"/>
          </w:tcPr>
          <w:p>
            <w:r>
              <w:t>Managed serverless — no configuration required</w:t>
            </w:r>
          </w:p>
        </w:tc>
      </w:tr>
      <w:tr>
        <w:tc>
          <w:tcPr>
            <w:tcW w:type="dxa" w:w="1872"/>
          </w:tcPr>
          <w:p>
            <w:r>
              <w:t>RAM</w:t>
            </w:r>
          </w:p>
        </w:tc>
        <w:tc>
          <w:tcPr>
            <w:tcW w:type="dxa" w:w="2160"/>
          </w:tcPr>
          <w:p>
            <w:r>
              <w:t>8 GB</w:t>
            </w:r>
          </w:p>
        </w:tc>
        <w:tc>
          <w:tcPr>
            <w:tcW w:type="dxa" w:w="2592"/>
          </w:tcPr>
          <w:p>
            <w:r>
              <w:t>16 GB</w:t>
            </w:r>
          </w:p>
        </w:tc>
        <w:tc>
          <w:tcPr>
            <w:tcW w:type="dxa" w:w="2736"/>
          </w:tcPr>
          <w:p>
            <w:r>
              <w:t>Per-function memory: 1024 MB (Vercel default)</w:t>
            </w:r>
          </w:p>
        </w:tc>
      </w:tr>
      <w:tr>
        <w:tc>
          <w:tcPr>
            <w:tcW w:type="dxa" w:w="1872"/>
          </w:tcPr>
          <w:p>
            <w:r>
              <w:t>Storage</w:t>
            </w:r>
          </w:p>
        </w:tc>
        <w:tc>
          <w:tcPr>
            <w:tcW w:type="dxa" w:w="2160"/>
          </w:tcPr>
          <w:p>
            <w:r>
              <w:t>10 GB free (SSD preferred)</w:t>
            </w:r>
          </w:p>
        </w:tc>
        <w:tc>
          <w:tcPr>
            <w:tcW w:type="dxa" w:w="2592"/>
          </w:tcPr>
          <w:p>
            <w:r>
              <w:t>50 GB free SSD</w:t>
            </w:r>
          </w:p>
        </w:tc>
        <w:tc>
          <w:tcPr>
            <w:tcW w:type="dxa" w:w="2736"/>
          </w:tcPr>
          <w:p>
            <w:r>
              <w:t>Ephemeral — Supabase handles data persistence</w:t>
            </w:r>
          </w:p>
        </w:tc>
      </w:tr>
      <w:tr>
        <w:tc>
          <w:tcPr>
            <w:tcW w:type="dxa" w:w="1872"/>
          </w:tcPr>
          <w:p>
            <w:r>
              <w:t>Display</w:t>
            </w:r>
          </w:p>
        </w:tc>
        <w:tc>
          <w:tcPr>
            <w:tcW w:type="dxa" w:w="2160"/>
          </w:tcPr>
          <w:p>
            <w:r>
              <w:t>1280 × 720</w:t>
            </w:r>
          </w:p>
        </w:tc>
        <w:tc>
          <w:tcPr>
            <w:tcW w:type="dxa" w:w="2592"/>
          </w:tcPr>
          <w:p>
            <w:r>
              <w:t>1920 × 1080 or higher</w:t>
            </w:r>
          </w:p>
        </w:tc>
        <w:tc>
          <w:tcPr>
            <w:tcW w:type="dxa" w:w="2736"/>
          </w:tcPr>
          <w:p>
            <w:r>
              <w:t>N/A</w:t>
            </w:r>
          </w:p>
        </w:tc>
      </w:tr>
      <w:tr>
        <w:tc>
          <w:tcPr>
            <w:tcW w:type="dxa" w:w="1872"/>
          </w:tcPr>
          <w:p>
            <w:r>
              <w:t>Network</w:t>
            </w:r>
          </w:p>
        </w:tc>
        <w:tc>
          <w:tcPr>
            <w:tcW w:type="dxa" w:w="2160"/>
          </w:tcPr>
          <w:p>
            <w:r>
              <w:t>Broadband (10 Mbps+) — required for Supabase cloud</w:t>
            </w:r>
          </w:p>
        </w:tc>
        <w:tc>
          <w:tcPr>
            <w:tcW w:type="dxa" w:w="2592"/>
          </w:tcPr>
          <w:p>
            <w:r>
              <w:t>Broadband (50 Mbps+)</w:t>
            </w:r>
          </w:p>
        </w:tc>
        <w:tc>
          <w:tcPr>
            <w:tcW w:type="dxa" w:w="2736"/>
          </w:tcPr>
          <w:p>
            <w:r>
              <w:t>Vercel global edge CDN</w:t>
            </w:r>
          </w:p>
        </w:tc>
      </w:tr>
      <w:tr>
        <w:tc>
          <w:tcPr>
            <w:tcW w:type="dxa" w:w="1872"/>
          </w:tcPr>
          <w:p>
            <w:r>
              <w:t>Architecture</w:t>
            </w:r>
          </w:p>
        </w:tc>
        <w:tc>
          <w:tcPr>
            <w:tcW w:type="dxa" w:w="2160"/>
          </w:tcPr>
          <w:p>
            <w:r>
              <w:t>x86-64 or Apple Silicon (ARM64)</w:t>
            </w:r>
          </w:p>
        </w:tc>
        <w:tc>
          <w:tcPr>
            <w:tcW w:type="dxa" w:w="2592"/>
          </w:tcPr>
          <w:p>
            <w:r>
              <w:t>Apple Silicon M1/M2/M3 or x86-64</w:t>
            </w:r>
          </w:p>
        </w:tc>
        <w:tc>
          <w:tcPr>
            <w:tcW w:type="dxa" w:w="2736"/>
          </w:tcPr>
          <w:p>
            <w:r>
              <w:t>Serverless (x86-64, Linux)</w:t>
            </w:r>
          </w:p>
        </w:tc>
      </w:tr>
    </w:tbl>
    <w:p/>
    <w:p>
      <w:pPr/>
      <w:r>
        <w:t>The development team worked primarily on macOS Ventura (Darwin 22.5.0) on Apple Silicon. No hardware-level incompatibilities were identified on Windows 11 or Ubuntu 22.04 LTS during peer reviews.</w:t>
      </w:r>
    </w:p>
    <w:p>
      <w:pPr>
        <w:pStyle w:val="Heading3"/>
      </w:pPr>
      <w:r>
        <w:t>4.5.2  Software Requirements</w:t>
      </w:r>
    </w:p>
    <w:p>
      <w:pPr/>
      <w:r>
        <w:t>Operating System:</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Platform</w:t>
            </w:r>
          </w:p>
        </w:tc>
        <w:tc>
          <w:tcPr>
            <w:tcW w:type="dxa" w:w="2880"/>
          </w:tcPr>
          <w:p>
            <w:r>
              <w:rPr>
                <w:b/>
              </w:rPr>
              <w:t>Version</w:t>
            </w:r>
          </w:p>
        </w:tc>
        <w:tc>
          <w:tcPr>
            <w:tcW w:type="dxa" w:w="4320"/>
          </w:tcPr>
          <w:p>
            <w:r>
              <w:rPr>
                <w:b/>
              </w:rPr>
              <w:t>Support Status</w:t>
            </w:r>
          </w:p>
        </w:tc>
      </w:tr>
      <w:tr>
        <w:tc>
          <w:tcPr>
            <w:tcW w:type="dxa" w:w="2160"/>
          </w:tcPr>
          <w:p>
            <w:r>
              <w:t>macOS</w:t>
            </w:r>
          </w:p>
        </w:tc>
        <w:tc>
          <w:tcPr>
            <w:tcW w:type="dxa" w:w="2880"/>
          </w:tcPr>
          <w:p>
            <w:r>
              <w:t>Ventura 13.x or later</w:t>
            </w:r>
          </w:p>
        </w:tc>
        <w:tc>
          <w:tcPr>
            <w:tcW w:type="dxa" w:w="4320"/>
          </w:tcPr>
          <w:p>
            <w:r>
              <w:t>Primary — used by development team</w:t>
            </w:r>
          </w:p>
        </w:tc>
      </w:tr>
      <w:tr>
        <w:tc>
          <w:tcPr>
            <w:tcW w:type="dxa" w:w="2160"/>
          </w:tcPr>
          <w:p>
            <w:r>
              <w:t>Windows</w:t>
            </w:r>
          </w:p>
        </w:tc>
        <w:tc>
          <w:tcPr>
            <w:tcW w:type="dxa" w:w="2880"/>
          </w:tcPr>
          <w:p>
            <w:r>
              <w:t>11 (Build 22000+)</w:t>
            </w:r>
          </w:p>
        </w:tc>
        <w:tc>
          <w:tcPr>
            <w:tcW w:type="dxa" w:w="4320"/>
          </w:tcPr>
          <w:p>
            <w:r>
              <w:t>Compatible</w:t>
            </w:r>
          </w:p>
        </w:tc>
      </w:tr>
      <w:tr>
        <w:tc>
          <w:tcPr>
            <w:tcW w:type="dxa" w:w="2160"/>
          </w:tcPr>
          <w:p>
            <w:r>
              <w:t>Ubuntu / Debian</w:t>
            </w:r>
          </w:p>
        </w:tc>
        <w:tc>
          <w:tcPr>
            <w:tcW w:type="dxa" w:w="2880"/>
          </w:tcPr>
          <w:p>
            <w:r>
              <w:t>22.04 LTS or later</w:t>
            </w:r>
          </w:p>
        </w:tc>
        <w:tc>
          <w:tcPr>
            <w:tcW w:type="dxa" w:w="4320"/>
          </w:tcPr>
          <w:p>
            <w:r>
              <w:t>Compatible</w:t>
            </w:r>
          </w:p>
        </w:tc>
      </w:tr>
    </w:tbl>
    <w:p/>
    <w:p>
      <w:pPr/>
      <w:r>
        <w:t>Runtime &amp; Package Manager:</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Software</w:t>
            </w:r>
          </w:p>
        </w:tc>
        <w:tc>
          <w:tcPr>
            <w:tcW w:type="dxa" w:w="1728"/>
          </w:tcPr>
          <w:p>
            <w:r>
              <w:rPr>
                <w:b/>
              </w:rPr>
              <w:t>Version Used</w:t>
            </w:r>
          </w:p>
        </w:tc>
        <w:tc>
          <w:tcPr>
            <w:tcW w:type="dxa" w:w="1872"/>
          </w:tcPr>
          <w:p>
            <w:r>
              <w:rPr>
                <w:b/>
              </w:rPr>
              <w:t>Minimum Required</w:t>
            </w:r>
          </w:p>
        </w:tc>
        <w:tc>
          <w:tcPr>
            <w:tcW w:type="dxa" w:w="4032"/>
          </w:tcPr>
          <w:p>
            <w:r>
              <w:rPr>
                <w:b/>
              </w:rPr>
              <w:t>Notes</w:t>
            </w:r>
          </w:p>
        </w:tc>
      </w:tr>
      <w:tr>
        <w:tc>
          <w:tcPr>
            <w:tcW w:type="dxa" w:w="1728"/>
          </w:tcPr>
          <w:p>
            <w:r>
              <w:t>Node.js</w:t>
            </w:r>
          </w:p>
        </w:tc>
        <w:tc>
          <w:tcPr>
            <w:tcW w:type="dxa" w:w="1728"/>
          </w:tcPr>
          <w:p>
            <w:r>
              <w:t>v24.14.0</w:t>
            </w:r>
          </w:p>
        </w:tc>
        <w:tc>
          <w:tcPr>
            <w:tcW w:type="dxa" w:w="1872"/>
          </w:tcPr>
          <w:p>
            <w:r>
              <w:t>v20.0.0 LTS</w:t>
            </w:r>
          </w:p>
        </w:tc>
        <w:tc>
          <w:tcPr>
            <w:tcW w:type="dxa" w:w="4032"/>
          </w:tcPr>
          <w:p>
            <w:r>
              <w:t>Next.js 16 requires Node ≥ 20. Developed and tested on Node 24. @types/node: ^20 confirms Node 20 as minimum target.</w:t>
            </w:r>
          </w:p>
        </w:tc>
      </w:tr>
      <w:tr>
        <w:tc>
          <w:tcPr>
            <w:tcW w:type="dxa" w:w="1728"/>
          </w:tcPr>
          <w:p>
            <w:r>
              <w:t>npm</w:t>
            </w:r>
          </w:p>
        </w:tc>
        <w:tc>
          <w:tcPr>
            <w:tcW w:type="dxa" w:w="1728"/>
          </w:tcPr>
          <w:p>
            <w:r>
              <w:t>v11.9.0</w:t>
            </w:r>
          </w:p>
        </w:tc>
        <w:tc>
          <w:tcPr>
            <w:tcW w:type="dxa" w:w="1872"/>
          </w:tcPr>
          <w:p>
            <w:r>
              <w:t>v10.0.0</w:t>
            </w:r>
          </w:p>
        </w:tc>
        <w:tc>
          <w:tcPr>
            <w:tcW w:type="dxa" w:w="4032"/>
          </w:tcPr>
          <w:p>
            <w:r>
              <w:t>Ships with Node 24. Used for all dependency installation and scripting.</w:t>
            </w:r>
          </w:p>
        </w:tc>
      </w:tr>
      <w:tr>
        <w:tc>
          <w:tcPr>
            <w:tcW w:type="dxa" w:w="1728"/>
          </w:tcPr>
          <w:p>
            <w:r>
              <w:t>Git</w:t>
            </w:r>
          </w:p>
        </w:tc>
        <w:tc>
          <w:tcPr>
            <w:tcW w:type="dxa" w:w="1728"/>
          </w:tcPr>
          <w:p>
            <w:r>
              <w:t>2.40+</w:t>
            </w:r>
          </w:p>
        </w:tc>
        <w:tc>
          <w:tcPr>
            <w:tcW w:type="dxa" w:w="1872"/>
          </w:tcPr>
          <w:p>
            <w:r>
              <w:t>2.30+</w:t>
            </w:r>
          </w:p>
        </w:tc>
        <w:tc>
          <w:tcPr>
            <w:tcW w:type="dxa" w:w="4032"/>
          </w:tcPr>
          <w:p>
            <w:r>
              <w:t>Version control and change tracking.</w:t>
            </w:r>
          </w:p>
        </w:tc>
      </w:tr>
    </w:tbl>
    <w:p/>
    <w:p>
      <w:pPr/>
      <w:r>
        <w:t>Core Framework &amp; Language:</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Software</w:t>
            </w:r>
          </w:p>
        </w:tc>
        <w:tc>
          <w:tcPr>
            <w:tcW w:type="dxa" w:w="1296"/>
          </w:tcPr>
          <w:p>
            <w:r>
              <w:rPr>
                <w:b/>
              </w:rPr>
              <w:t>Version</w:t>
            </w:r>
          </w:p>
        </w:tc>
        <w:tc>
          <w:tcPr>
            <w:tcW w:type="dxa" w:w="1440"/>
          </w:tcPr>
          <w:p>
            <w:r>
              <w:rPr>
                <w:b/>
              </w:rPr>
              <w:t>License</w:t>
            </w:r>
          </w:p>
        </w:tc>
        <w:tc>
          <w:tcPr>
            <w:tcW w:type="dxa" w:w="4896"/>
          </w:tcPr>
          <w:p>
            <w:r>
              <w:rPr>
                <w:b/>
              </w:rPr>
              <w:t>Role</w:t>
            </w:r>
          </w:p>
        </w:tc>
      </w:tr>
      <w:tr>
        <w:tc>
          <w:tcPr>
            <w:tcW w:type="dxa" w:w="1728"/>
          </w:tcPr>
          <w:p>
            <w:r>
              <w:t>Next.js</w:t>
            </w:r>
          </w:p>
        </w:tc>
        <w:tc>
          <w:tcPr>
            <w:tcW w:type="dxa" w:w="1296"/>
          </w:tcPr>
          <w:p>
            <w:r>
              <w:t>16.2.2</w:t>
            </w:r>
          </w:p>
        </w:tc>
        <w:tc>
          <w:tcPr>
            <w:tcW w:type="dxa" w:w="1440"/>
          </w:tcPr>
          <w:p>
            <w:r>
              <w:t>MIT</w:t>
            </w:r>
          </w:p>
        </w:tc>
        <w:tc>
          <w:tcPr>
            <w:tcW w:type="dxa" w:w="4896"/>
          </w:tcPr>
          <w:p>
            <w:r>
              <w:t>Full-stack React framework — App Router, SSR, API routes, middleware</w:t>
            </w:r>
          </w:p>
        </w:tc>
      </w:tr>
      <w:tr>
        <w:tc>
          <w:tcPr>
            <w:tcW w:type="dxa" w:w="1728"/>
          </w:tcPr>
          <w:p>
            <w:r>
              <w:t>React</w:t>
            </w:r>
          </w:p>
        </w:tc>
        <w:tc>
          <w:tcPr>
            <w:tcW w:type="dxa" w:w="1296"/>
          </w:tcPr>
          <w:p>
            <w:r>
              <w:t>19.2.4</w:t>
            </w:r>
          </w:p>
        </w:tc>
        <w:tc>
          <w:tcPr>
            <w:tcW w:type="dxa" w:w="1440"/>
          </w:tcPr>
          <w:p>
            <w:r>
              <w:t>MIT</w:t>
            </w:r>
          </w:p>
        </w:tc>
        <w:tc>
          <w:tcPr>
            <w:tcW w:type="dxa" w:w="4896"/>
          </w:tcPr>
          <w:p>
            <w:r>
              <w:t>UI component rendering (Server + Client Components)</w:t>
            </w:r>
          </w:p>
        </w:tc>
      </w:tr>
      <w:tr>
        <w:tc>
          <w:tcPr>
            <w:tcW w:type="dxa" w:w="1728"/>
          </w:tcPr>
          <w:p>
            <w:r>
              <w:t>TypeScript</w:t>
            </w:r>
          </w:p>
        </w:tc>
        <w:tc>
          <w:tcPr>
            <w:tcW w:type="dxa" w:w="1296"/>
          </w:tcPr>
          <w:p>
            <w:r>
              <w:t>^5.x</w:t>
            </w:r>
          </w:p>
        </w:tc>
        <w:tc>
          <w:tcPr>
            <w:tcW w:type="dxa" w:w="1440"/>
          </w:tcPr>
          <w:p>
            <w:r>
              <w:t>Apache 2.0</w:t>
            </w:r>
          </w:p>
        </w:tc>
        <w:tc>
          <w:tcPr>
            <w:tcW w:type="dxa" w:w="4896"/>
          </w:tcPr>
          <w:p>
            <w:r>
              <w:t>Statically typed — strict mode enabled across all 93 source files</w:t>
            </w:r>
          </w:p>
        </w:tc>
      </w:tr>
      <w:tr>
        <w:tc>
          <w:tcPr>
            <w:tcW w:type="dxa" w:w="1728"/>
          </w:tcPr>
          <w:p>
            <w:r>
              <w:t>ESLint</w:t>
            </w:r>
          </w:p>
        </w:tc>
        <w:tc>
          <w:tcPr>
            <w:tcW w:type="dxa" w:w="1296"/>
          </w:tcPr>
          <w:p>
            <w:r>
              <w:t>^9.x</w:t>
            </w:r>
          </w:p>
        </w:tc>
        <w:tc>
          <w:tcPr>
            <w:tcW w:type="dxa" w:w="1440"/>
          </w:tcPr>
          <w:p>
            <w:r>
              <w:t>MIT</w:t>
            </w:r>
          </w:p>
        </w:tc>
        <w:tc>
          <w:tcPr>
            <w:tcW w:type="dxa" w:w="4896"/>
          </w:tcPr>
          <w:p>
            <w:r>
              <w:t>Static analysis (eslint-config-next: 16.2.2)</w:t>
            </w:r>
          </w:p>
        </w:tc>
      </w:tr>
    </w:tbl>
    <w:p/>
    <w:p>
      <w:pPr/>
      <w:r>
        <w:t>TypeScript compiler options (tsconfig.json):</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Option</w:t>
            </w:r>
          </w:p>
        </w:tc>
        <w:tc>
          <w:tcPr>
            <w:tcW w:type="dxa" w:w="1872"/>
          </w:tcPr>
          <w:p>
            <w:r>
              <w:rPr>
                <w:b/>
              </w:rPr>
              <w:t>Value</w:t>
            </w:r>
          </w:p>
        </w:tc>
        <w:tc>
          <w:tcPr>
            <w:tcW w:type="dxa" w:w="5328"/>
          </w:tcPr>
          <w:p>
            <w:r>
              <w:rPr>
                <w:b/>
              </w:rPr>
              <w:t>Effect</w:t>
            </w:r>
          </w:p>
        </w:tc>
      </w:tr>
      <w:tr>
        <w:tc>
          <w:tcPr>
            <w:tcW w:type="dxa" w:w="2160"/>
          </w:tcPr>
          <w:p>
            <w:r>
              <w:t>target</w:t>
            </w:r>
          </w:p>
        </w:tc>
        <w:tc>
          <w:tcPr>
            <w:tcW w:type="dxa" w:w="1872"/>
          </w:tcPr>
          <w:p>
            <w:r>
              <w:t>ES2017</w:t>
            </w:r>
          </w:p>
        </w:tc>
        <w:tc>
          <w:tcPr>
            <w:tcW w:type="dxa" w:w="5328"/>
          </w:tcPr>
          <w:p>
            <w:r>
              <w:t>Broad browser and Node compatibility</w:t>
            </w:r>
          </w:p>
        </w:tc>
      </w:tr>
      <w:tr>
        <w:tc>
          <w:tcPr>
            <w:tcW w:type="dxa" w:w="2160"/>
          </w:tcPr>
          <w:p>
            <w:r>
              <w:t>strict</w:t>
            </w:r>
          </w:p>
        </w:tc>
        <w:tc>
          <w:tcPr>
            <w:tcW w:type="dxa" w:w="1872"/>
          </w:tcPr>
          <w:p>
            <w:r>
              <w:t>true</w:t>
            </w:r>
          </w:p>
        </w:tc>
        <w:tc>
          <w:tcPr>
            <w:tcW w:type="dxa" w:w="5328"/>
          </w:tcPr>
          <w:p>
            <w:r>
              <w:t>All strict type-checking rules enabled</w:t>
            </w:r>
          </w:p>
        </w:tc>
      </w:tr>
      <w:tr>
        <w:tc>
          <w:tcPr>
            <w:tcW w:type="dxa" w:w="2160"/>
          </w:tcPr>
          <w:p>
            <w:r>
              <w:t>moduleResolution</w:t>
            </w:r>
          </w:p>
        </w:tc>
        <w:tc>
          <w:tcPr>
            <w:tcW w:type="dxa" w:w="1872"/>
          </w:tcPr>
          <w:p>
            <w:r>
              <w:t>bundler</w:t>
            </w:r>
          </w:p>
        </w:tc>
        <w:tc>
          <w:tcPr>
            <w:tcW w:type="dxa" w:w="5328"/>
          </w:tcPr>
          <w:p>
            <w:r>
              <w:t>Optimised for Next.js 16 bundler-based resolution</w:t>
            </w:r>
          </w:p>
        </w:tc>
      </w:tr>
      <w:tr>
        <w:tc>
          <w:tcPr>
            <w:tcW w:type="dxa" w:w="2160"/>
          </w:tcPr>
          <w:p>
            <w:r>
              <w:t>jsx</w:t>
            </w:r>
          </w:p>
        </w:tc>
        <w:tc>
          <w:tcPr>
            <w:tcW w:type="dxa" w:w="1872"/>
          </w:tcPr>
          <w:p>
            <w:r>
              <w:t>react-jsx</w:t>
            </w:r>
          </w:p>
        </w:tc>
        <w:tc>
          <w:tcPr>
            <w:tcW w:type="dxa" w:w="5328"/>
          </w:tcPr>
          <w:p>
            <w:r>
              <w:t>Automatic JSX transform — no import React needed</w:t>
            </w:r>
          </w:p>
        </w:tc>
      </w:tr>
      <w:tr>
        <w:tc>
          <w:tcPr>
            <w:tcW w:type="dxa" w:w="2160"/>
          </w:tcPr>
          <w:p>
            <w:r>
              <w:t>incremental</w:t>
            </w:r>
          </w:p>
        </w:tc>
        <w:tc>
          <w:tcPr>
            <w:tcW w:type="dxa" w:w="1872"/>
          </w:tcPr>
          <w:p>
            <w:r>
              <w:t>true</w:t>
            </w:r>
          </w:p>
        </w:tc>
        <w:tc>
          <w:tcPr>
            <w:tcW w:type="dxa" w:w="5328"/>
          </w:tcPr>
          <w:p>
            <w:r>
              <w:t>Caches compilations to speed up rebuilds</w:t>
            </w:r>
          </w:p>
        </w:tc>
      </w:tr>
      <w:tr>
        <w:tc>
          <w:tcPr>
            <w:tcW w:type="dxa" w:w="2160"/>
          </w:tcPr>
          <w:p>
            <w:r>
              <w:t>paths</w:t>
            </w:r>
          </w:p>
        </w:tc>
        <w:tc>
          <w:tcPr>
            <w:tcW w:type="dxa" w:w="1872"/>
          </w:tcPr>
          <w:p>
            <w:r>
              <w:t>@/* → ./src/*</w:t>
            </w:r>
          </w:p>
        </w:tc>
        <w:tc>
          <w:tcPr>
            <w:tcW w:type="dxa" w:w="5328"/>
          </w:tcPr>
          <w:p>
            <w:r>
              <w:t>Absolute imports via @/ alias across codebase</w:t>
            </w:r>
          </w:p>
        </w:tc>
      </w:tr>
    </w:tbl>
    <w:p/>
    <w:p>
      <w:pPr/>
      <w:r>
        <w:t>Cloud Services &amp; Backend Infrastructure:</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Pr>
                <w:b/>
              </w:rPr>
              <w:t>Service</w:t>
            </w:r>
          </w:p>
        </w:tc>
        <w:tc>
          <w:tcPr>
            <w:tcW w:type="dxa" w:w="2304"/>
          </w:tcPr>
          <w:p>
            <w:r>
              <w:rPr>
                <w:b/>
              </w:rPr>
              <w:t>Version / Tier</w:t>
            </w:r>
          </w:p>
        </w:tc>
        <w:tc>
          <w:tcPr>
            <w:tcW w:type="dxa" w:w="2448"/>
          </w:tcPr>
          <w:p>
            <w:r>
              <w:rPr>
                <w:b/>
              </w:rPr>
              <w:t>Role</w:t>
            </w:r>
          </w:p>
        </w:tc>
        <w:tc>
          <w:tcPr>
            <w:tcW w:type="dxa" w:w="2736"/>
          </w:tcPr>
          <w:p>
            <w:r>
              <w:rPr>
                <w:b/>
              </w:rPr>
              <w:t>Configuration</w:t>
            </w:r>
          </w:p>
        </w:tc>
      </w:tr>
      <w:tr>
        <w:tc>
          <w:tcPr>
            <w:tcW w:type="dxa" w:w="1872"/>
          </w:tcPr>
          <w:p>
            <w:r>
              <w:t>Supabase Auth</w:t>
            </w:r>
          </w:p>
        </w:tc>
        <w:tc>
          <w:tcPr>
            <w:tcW w:type="dxa" w:w="2304"/>
          </w:tcPr>
          <w:p>
            <w:r>
              <w:t>@supabase/supabase-js ^2.101.1</w:t>
            </w:r>
          </w:p>
        </w:tc>
        <w:tc>
          <w:tcPr>
            <w:tcW w:type="dxa" w:w="2448"/>
          </w:tcPr>
          <w:p>
            <w:r>
              <w:t>JWT session management</w:t>
            </w:r>
          </w:p>
        </w:tc>
        <w:tc>
          <w:tcPr>
            <w:tcW w:type="dxa" w:w="2736"/>
          </w:tcPr>
          <w:p>
            <w:r>
              <w:t>NEXT_PUBLIC_SUPABASE_URL + NEXT_PUBLIC_SUPABASE_ANON_KEY</w:t>
            </w:r>
          </w:p>
        </w:tc>
      </w:tr>
      <w:tr>
        <w:tc>
          <w:tcPr>
            <w:tcW w:type="dxa" w:w="1872"/>
          </w:tcPr>
          <w:p>
            <w:r>
              <w:t>Supabase SSR</w:t>
            </w:r>
          </w:p>
        </w:tc>
        <w:tc>
          <w:tcPr>
            <w:tcW w:type="dxa" w:w="2304"/>
          </w:tcPr>
          <w:p>
            <w:r>
              <w:t>@supabase/ssr ^0.10.0</w:t>
            </w:r>
          </w:p>
        </w:tc>
        <w:tc>
          <w:tcPr>
            <w:tcW w:type="dxa" w:w="2448"/>
          </w:tcPr>
          <w:p>
            <w:r>
              <w:t>Server-side cookie session handling</w:t>
            </w:r>
          </w:p>
        </w:tc>
        <w:tc>
          <w:tcPr>
            <w:tcW w:type="dxa" w:w="2736"/>
          </w:tcPr>
          <w:p>
            <w:r>
              <w:t>Initialised in src/utils/supabase/server.ts and client.ts</w:t>
            </w:r>
          </w:p>
        </w:tc>
      </w:tr>
      <w:tr>
        <w:tc>
          <w:tcPr>
            <w:tcW w:type="dxa" w:w="1872"/>
          </w:tcPr>
          <w:p>
            <w:r>
              <w:t>Supabase PostgreSQL</w:t>
            </w:r>
          </w:p>
        </w:tc>
        <w:tc>
          <w:tcPr>
            <w:tcW w:type="dxa" w:w="2304"/>
          </w:tcPr>
          <w:p>
            <w:r>
              <w:t>Managed (Free Tier)</w:t>
            </w:r>
          </w:p>
        </w:tc>
        <w:tc>
          <w:tcPr>
            <w:tcW w:type="dxa" w:w="2448"/>
          </w:tcPr>
          <w:p>
            <w:r>
              <w:t>Auth session storage; production data layer post-migration</w:t>
            </w:r>
          </w:p>
        </w:tc>
        <w:tc>
          <w:tcPr>
            <w:tcW w:type="dxa" w:w="2736"/>
          </w:tcPr>
          <w:p>
            <w:r>
              <w:t>Hosted on Supabase cloud — no local PostgreSQL required</w:t>
            </w:r>
          </w:p>
        </w:tc>
      </w:tr>
      <w:tr>
        <w:tc>
          <w:tcPr>
            <w:tcW w:type="dxa" w:w="1872"/>
          </w:tcPr>
          <w:p>
            <w:r>
              <w:t>Vercel</w:t>
            </w:r>
          </w:p>
        </w:tc>
        <w:tc>
          <w:tcPr>
            <w:tcW w:type="dxa" w:w="2304"/>
          </w:tcPr>
          <w:p>
            <w:r>
              <w:t>Hobby Tier</w:t>
            </w:r>
          </w:p>
        </w:tc>
        <w:tc>
          <w:tcPr>
            <w:tcW w:type="dxa" w:w="2448"/>
          </w:tcPr>
          <w:p>
            <w:r>
              <w:t>Production deployment, CDN, serverless execution</w:t>
            </w:r>
          </w:p>
        </w:tc>
        <w:tc>
          <w:tcPr>
            <w:tcW w:type="dxa" w:w="2736"/>
          </w:tcPr>
          <w:p>
            <w:r>
              <w:t>Linked to Git repository for automatic CI/CD</w:t>
            </w:r>
          </w:p>
        </w:tc>
      </w:tr>
    </w:tbl>
    <w:p/>
    <w:p>
      <w:pPr/>
      <w:r>
        <w:t>Key Runtime Dependencies:</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Package</w:t>
            </w:r>
          </w:p>
        </w:tc>
        <w:tc>
          <w:tcPr>
            <w:tcW w:type="dxa" w:w="1440"/>
          </w:tcPr>
          <w:p>
            <w:r>
              <w:rPr>
                <w:b/>
              </w:rPr>
              <w:t>Version</w:t>
            </w:r>
          </w:p>
        </w:tc>
        <w:tc>
          <w:tcPr>
            <w:tcW w:type="dxa" w:w="5760"/>
          </w:tcPr>
          <w:p>
            <w:r>
              <w:rPr>
                <w:b/>
              </w:rPr>
              <w:t>Purpose</w:t>
            </w:r>
          </w:p>
        </w:tc>
      </w:tr>
      <w:tr>
        <w:tc>
          <w:tcPr>
            <w:tcW w:type="dxa" w:w="2160"/>
          </w:tcPr>
          <w:p>
            <w:r>
              <w:t>next-intl</w:t>
            </w:r>
          </w:p>
        </w:tc>
        <w:tc>
          <w:tcPr>
            <w:tcW w:type="dxa" w:w="1440"/>
          </w:tcPr>
          <w:p>
            <w:r>
              <w:t>^4.9.0</w:t>
            </w:r>
          </w:p>
        </w:tc>
        <w:tc>
          <w:tcPr>
            <w:tcW w:type="dxa" w:w="5760"/>
          </w:tcPr>
          <w:p>
            <w:r>
              <w:t>Arabic/English bilingual support via next.config.ts plugin</w:t>
            </w:r>
          </w:p>
        </w:tc>
      </w:tr>
      <w:tr>
        <w:tc>
          <w:tcPr>
            <w:tcW w:type="dxa" w:w="2160"/>
          </w:tcPr>
          <w:p>
            <w:r>
              <w:t>zustand</w:t>
            </w:r>
          </w:p>
        </w:tc>
        <w:tc>
          <w:tcPr>
            <w:tcW w:type="dxa" w:w="1440"/>
          </w:tcPr>
          <w:p>
            <w:r>
              <w:t>^5.0.12</w:t>
            </w:r>
          </w:p>
        </w:tc>
        <w:tc>
          <w:tcPr>
            <w:tcW w:type="dxa" w:w="5760"/>
          </w:tcPr>
          <w:p>
            <w:r>
              <w:t>Client-side notification state management</w:t>
            </w:r>
          </w:p>
        </w:tc>
      </w:tr>
      <w:tr>
        <w:tc>
          <w:tcPr>
            <w:tcW w:type="dxa" w:w="2160"/>
          </w:tcPr>
          <w:p>
            <w:r>
              <w:t>recharts</w:t>
            </w:r>
          </w:p>
        </w:tc>
        <w:tc>
          <w:tcPr>
            <w:tcW w:type="dxa" w:w="1440"/>
          </w:tcPr>
          <w:p>
            <w:r>
              <w:t>^3.8.1</w:t>
            </w:r>
          </w:p>
        </w:tc>
        <w:tc>
          <w:tcPr>
            <w:tcW w:type="dxa" w:w="5760"/>
          </w:tcPr>
          <w:p>
            <w:r>
              <w:t>Data visualisation for dashboards</w:t>
            </w:r>
          </w:p>
        </w:tc>
      </w:tr>
      <w:tr>
        <w:tc>
          <w:tcPr>
            <w:tcW w:type="dxa" w:w="2160"/>
          </w:tcPr>
          <w:p>
            <w:r>
              <w:t>lucide-react</w:t>
            </w:r>
          </w:p>
        </w:tc>
        <w:tc>
          <w:tcPr>
            <w:tcW w:type="dxa" w:w="1440"/>
          </w:tcPr>
          <w:p>
            <w:r>
              <w:t>^1.7.0</w:t>
            </w:r>
          </w:p>
        </w:tc>
        <w:tc>
          <w:tcPr>
            <w:tcW w:type="dxa" w:w="5760"/>
          </w:tcPr>
          <w:p>
            <w:r>
              <w:t>Icon component library</w:t>
            </w:r>
          </w:p>
        </w:tc>
      </w:tr>
      <w:tr>
        <w:tc>
          <w:tcPr>
            <w:tcW w:type="dxa" w:w="2160"/>
          </w:tcPr>
          <w:p>
            <w:r>
              <w:t>xlsx</w:t>
            </w:r>
          </w:p>
        </w:tc>
        <w:tc>
          <w:tcPr>
            <w:tcW w:type="dxa" w:w="1440"/>
          </w:tcPr>
          <w:p>
            <w:r>
              <w:t>^0.18.5</w:t>
            </w:r>
          </w:p>
        </w:tc>
        <w:tc>
          <w:tcPr>
            <w:tcW w:type="dxa" w:w="5760"/>
          </w:tcPr>
          <w:p>
            <w:r>
              <w:t>Excel catalogue import parsing</w:t>
            </w:r>
          </w:p>
        </w:tc>
      </w:tr>
      <w:tr>
        <w:tc>
          <w:tcPr>
            <w:tcW w:type="dxa" w:w="2160"/>
          </w:tcPr>
          <w:p>
            <w:r>
              <w:t>uuid</w:t>
            </w:r>
          </w:p>
        </w:tc>
        <w:tc>
          <w:tcPr>
            <w:tcW w:type="dxa" w:w="1440"/>
          </w:tcPr>
          <w:p>
            <w:r>
              <w:t>^13.0.0</w:t>
            </w:r>
          </w:p>
        </w:tc>
        <w:tc>
          <w:tcPr>
            <w:tcW w:type="dxa" w:w="5760"/>
          </w:tcPr>
          <w:p>
            <w:r>
              <w:t>UUID generation for entity IDs</w:t>
            </w:r>
          </w:p>
        </w:tc>
      </w:tr>
    </w:tbl>
    <w:p/>
    <w:p>
      <w:pPr>
        <w:pStyle w:val="Heading3"/>
      </w:pPr>
      <w:r>
        <w:t>4.5.3  IDE &amp; Developer Tooling</w:t>
      </w:r>
    </w:p>
    <w:tbl>
      <w:tblPr>
        <w:tblStyle w:val="TableGrid"/>
        <w:tblW w:type="auto" w:w="0"/>
        <w:tblLook w:firstColumn="1" w:firstRow="1" w:lastColumn="0" w:lastRow="0" w:noHBand="0" w:noVBand="1" w:val="04A0"/>
      </w:tblPr>
      <w:tblGrid>
        <w:gridCol w:w="2880"/>
        <w:gridCol w:w="2880"/>
        <w:gridCol w:w="2880"/>
      </w:tblGrid>
      <w:tr>
        <w:tc>
          <w:tcPr>
            <w:tcW w:type="dxa" w:w="2304"/>
          </w:tcPr>
          <w:p>
            <w:r>
              <w:rPr>
                <w:b/>
              </w:rPr>
              <w:t>Tool</w:t>
            </w:r>
          </w:p>
        </w:tc>
        <w:tc>
          <w:tcPr>
            <w:tcW w:type="dxa" w:w="1872"/>
          </w:tcPr>
          <w:p>
            <w:r>
              <w:rPr>
                <w:b/>
              </w:rPr>
              <w:t>Version</w:t>
            </w:r>
          </w:p>
        </w:tc>
        <w:tc>
          <w:tcPr>
            <w:tcW w:type="dxa" w:w="5184"/>
          </w:tcPr>
          <w:p>
            <w:r>
              <w:rPr>
                <w:b/>
              </w:rPr>
              <w:t>Role</w:t>
            </w:r>
          </w:p>
        </w:tc>
      </w:tr>
      <w:tr>
        <w:tc>
          <w:tcPr>
            <w:tcW w:type="dxa" w:w="2304"/>
          </w:tcPr>
          <w:p>
            <w:r>
              <w:t>Visual Studio Code</w:t>
            </w:r>
          </w:p>
        </w:tc>
        <w:tc>
          <w:tcPr>
            <w:tcW w:type="dxa" w:w="1872"/>
          </w:tcPr>
          <w:p>
            <w:r>
              <w:t>Latest stable</w:t>
            </w:r>
          </w:p>
        </w:tc>
        <w:tc>
          <w:tcPr>
            <w:tcW w:type="dxa" w:w="5184"/>
          </w:tcPr>
          <w:p>
            <w:r>
              <w:t>Primary IDE — TypeScript IntelliSense, integrated terminal, ESLint extension</w:t>
            </w:r>
          </w:p>
        </w:tc>
      </w:tr>
      <w:tr>
        <w:tc>
          <w:tcPr>
            <w:tcW w:type="dxa" w:w="2304"/>
          </w:tcPr>
          <w:p>
            <w:r>
              <w:t>Claude Code CLI</w:t>
            </w:r>
          </w:p>
        </w:tc>
        <w:tc>
          <w:tcPr>
            <w:tcW w:type="dxa" w:w="1872"/>
          </w:tcPr>
          <w:p>
            <w:r>
              <w:t>Latest</w:t>
            </w:r>
          </w:p>
        </w:tc>
        <w:tc>
          <w:tcPr>
            <w:tcW w:type="dxa" w:w="5184"/>
          </w:tcPr>
          <w:p>
            <w:r>
              <w:t>AI-assisted development and refactoring</w:t>
            </w:r>
          </w:p>
        </w:tc>
      </w:tr>
      <w:tr>
        <w:tc>
          <w:tcPr>
            <w:tcW w:type="dxa" w:w="2304"/>
          </w:tcPr>
          <w:p>
            <w:r>
              <w:t>Supabase Dashboard</w:t>
            </w:r>
          </w:p>
        </w:tc>
        <w:tc>
          <w:tcPr>
            <w:tcW w:type="dxa" w:w="1872"/>
          </w:tcPr>
          <w:p>
            <w:r>
              <w:t>Web (cloud)</w:t>
            </w:r>
          </w:p>
        </w:tc>
        <w:tc>
          <w:tcPr>
            <w:tcW w:type="dxa" w:w="5184"/>
          </w:tcPr>
          <w:p>
            <w:r>
              <w:t>Database inspection, auth user management, real-time event monitoring</w:t>
            </w:r>
          </w:p>
        </w:tc>
      </w:tr>
      <w:tr>
        <w:tc>
          <w:tcPr>
            <w:tcW w:type="dxa" w:w="2304"/>
          </w:tcPr>
          <w:p>
            <w:r>
              <w:t>Vercel Dashboard</w:t>
            </w:r>
          </w:p>
        </w:tc>
        <w:tc>
          <w:tcPr>
            <w:tcW w:type="dxa" w:w="1872"/>
          </w:tcPr>
          <w:p>
            <w:r>
              <w:t>Web (cloud)</w:t>
            </w:r>
          </w:p>
        </w:tc>
        <w:tc>
          <w:tcPr>
            <w:tcW w:type="dxa" w:w="5184"/>
          </w:tcPr>
          <w:p>
            <w:r>
              <w:t>Deployment management, environment variables, build logs, preview URLs</w:t>
            </w:r>
          </w:p>
        </w:tc>
      </w:tr>
      <w:tr>
        <w:tc>
          <w:tcPr>
            <w:tcW w:type="dxa" w:w="2304"/>
          </w:tcPr>
          <w:p>
            <w:r>
              <w:t>Git</w:t>
            </w:r>
          </w:p>
        </w:tc>
        <w:tc>
          <w:tcPr>
            <w:tcW w:type="dxa" w:w="1872"/>
          </w:tcPr>
          <w:p>
            <w:r>
              <w:t>2.40+</w:t>
            </w:r>
          </w:p>
        </w:tc>
        <w:tc>
          <w:tcPr>
            <w:tcW w:type="dxa" w:w="5184"/>
          </w:tcPr>
          <w:p>
            <w:r>
              <w:t>Source control — branching, change tracking, pull request workflow</w:t>
            </w:r>
          </w:p>
        </w:tc>
      </w:tr>
      <w:tr>
        <w:tc>
          <w:tcPr>
            <w:tcW w:type="dxa" w:w="2304"/>
          </w:tcPr>
          <w:p>
            <w:r>
              <w:t>Browser DevTools</w:t>
            </w:r>
          </w:p>
        </w:tc>
        <w:tc>
          <w:tcPr>
            <w:tcW w:type="dxa" w:w="1872"/>
          </w:tcPr>
          <w:p>
            <w:r>
              <w:t>Chrome / Safari</w:t>
            </w:r>
          </w:p>
        </w:tc>
        <w:tc>
          <w:tcPr>
            <w:tcW w:type="dxa" w:w="5184"/>
          </w:tcPr>
          <w:p>
            <w:r>
              <w:t>Network inspection, cookie debugging, RTL layout verification, manual E2E testing</w:t>
            </w:r>
          </w:p>
        </w:tc>
      </w:tr>
    </w:tbl>
    <w:p/>
    <w:p>
      <w:pPr>
        <w:pStyle w:val="Heading3"/>
      </w:pPr>
      <w:r>
        <w:t>4.5.4  Testing &amp; Quality Assurance</w:t>
      </w:r>
    </w:p>
    <w:tbl>
      <w:tblPr>
        <w:tblStyle w:val="TableGrid"/>
        <w:tblW w:type="auto" w:w="0"/>
        <w:tblLook w:firstColumn="1" w:firstRow="1" w:lastColumn="0" w:lastRow="0" w:noHBand="0" w:noVBand="1" w:val="04A0"/>
      </w:tblPr>
      <w:tblGrid>
        <w:gridCol w:w="2160"/>
        <w:gridCol w:w="2160"/>
        <w:gridCol w:w="2160"/>
        <w:gridCol w:w="2160"/>
      </w:tblGrid>
      <w:tr>
        <w:tc>
          <w:tcPr>
            <w:tcW w:type="dxa" w:w="2736"/>
          </w:tcPr>
          <w:p>
            <w:r>
              <w:rPr>
                <w:b/>
              </w:rPr>
              <w:t>Tool / Method</w:t>
            </w:r>
          </w:p>
        </w:tc>
        <w:tc>
          <w:tcPr>
            <w:tcW w:type="dxa" w:w="1728"/>
          </w:tcPr>
          <w:p>
            <w:r>
              <w:rPr>
                <w:b/>
              </w:rPr>
              <w:t>Type</w:t>
            </w:r>
          </w:p>
        </w:tc>
        <w:tc>
          <w:tcPr>
            <w:tcW w:type="dxa" w:w="2160"/>
          </w:tcPr>
          <w:p>
            <w:r>
              <w:rPr>
                <w:b/>
              </w:rPr>
              <w:t>Coverage</w:t>
            </w:r>
          </w:p>
        </w:tc>
        <w:tc>
          <w:tcPr>
            <w:tcW w:type="dxa" w:w="2880"/>
          </w:tcPr>
          <w:p>
            <w:r>
              <w:rPr>
                <w:b/>
              </w:rPr>
              <w:t>Notes</w:t>
            </w:r>
          </w:p>
        </w:tc>
      </w:tr>
      <w:tr>
        <w:tc>
          <w:tcPr>
            <w:tcW w:type="dxa" w:w="2736"/>
          </w:tcPr>
          <w:p>
            <w:r>
              <w:t>ESLint (eslint-config-next)</w:t>
            </w:r>
          </w:p>
        </w:tc>
        <w:tc>
          <w:tcPr>
            <w:tcW w:type="dxa" w:w="1728"/>
          </w:tcPr>
          <w:p>
            <w:r>
              <w:t>Static analysis</w:t>
            </w:r>
          </w:p>
        </w:tc>
        <w:tc>
          <w:tcPr>
            <w:tcW w:type="dxa" w:w="2160"/>
          </w:tcPr>
          <w:p>
            <w:r>
              <w:t>All .ts / .tsx files</w:t>
            </w:r>
          </w:p>
        </w:tc>
        <w:tc>
          <w:tcPr>
            <w:tcW w:type="dxa" w:w="2880"/>
          </w:tcPr>
          <w:p>
            <w:r>
              <w:t>Run via npm run lint</w:t>
            </w:r>
          </w:p>
        </w:tc>
      </w:tr>
      <w:tr>
        <w:tc>
          <w:tcPr>
            <w:tcW w:type="dxa" w:w="2736"/>
          </w:tcPr>
          <w:p>
            <w:r>
              <w:t>TypeScript Compiler (tsc)</w:t>
            </w:r>
          </w:p>
        </w:tc>
        <w:tc>
          <w:tcPr>
            <w:tcW w:type="dxa" w:w="1728"/>
          </w:tcPr>
          <w:p>
            <w:r>
              <w:t>Type checking</w:t>
            </w:r>
          </w:p>
        </w:tc>
        <w:tc>
          <w:tcPr>
            <w:tcW w:type="dxa" w:w="2160"/>
          </w:tcPr>
          <w:p>
            <w:r>
              <w:t>All 93 source files</w:t>
            </w:r>
          </w:p>
        </w:tc>
        <w:tc>
          <w:tcPr>
            <w:tcW w:type="dxa" w:w="2880"/>
          </w:tcPr>
          <w:p>
            <w:r>
              <w:t>Catches type violations before runtime; strict mode enforced</w:t>
            </w:r>
          </w:p>
        </w:tc>
      </w:tr>
      <w:tr>
        <w:tc>
          <w:tcPr>
            <w:tcW w:type="dxa" w:w="2736"/>
          </w:tcPr>
          <w:p>
            <w:r>
              <w:t>Manual browser testing</w:t>
            </w:r>
          </w:p>
        </w:tc>
        <w:tc>
          <w:tcPr>
            <w:tcW w:type="dxa" w:w="1728"/>
          </w:tcPr>
          <w:p>
            <w:r>
              <w:t>Functional / E2E</w:t>
            </w:r>
          </w:p>
        </w:tc>
        <w:tc>
          <w:tcPr>
            <w:tcW w:type="dxa" w:w="2160"/>
          </w:tcPr>
          <w:p>
            <w:r>
              <w:t>All user flows</w:t>
            </w:r>
          </w:p>
        </w:tc>
        <w:tc>
          <w:tcPr>
            <w:tcW w:type="dxa" w:w="2880"/>
          </w:tcPr>
          <w:p>
            <w:r>
              <w:t>Chrome and Safari; all role-based paths tested manually against seeded demo data</w:t>
            </w:r>
          </w:p>
        </w:tc>
      </w:tr>
      <w:tr>
        <w:tc>
          <w:tcPr>
            <w:tcW w:type="dxa" w:w="2736"/>
          </w:tcPr>
          <w:p>
            <w:r>
              <w:t>Supabase dashboard</w:t>
            </w:r>
          </w:p>
        </w:tc>
        <w:tc>
          <w:tcPr>
            <w:tcW w:type="dxa" w:w="1728"/>
          </w:tcPr>
          <w:p>
            <w:r>
              <w:t>Integration</w:t>
            </w:r>
          </w:p>
        </w:tc>
        <w:tc>
          <w:tcPr>
            <w:tcW w:type="dxa" w:w="2160"/>
          </w:tcPr>
          <w:p>
            <w:r>
              <w:t>Auth + database layer</w:t>
            </w:r>
          </w:p>
        </w:tc>
        <w:tc>
          <w:tcPr>
            <w:tcW w:type="dxa" w:w="2880"/>
          </w:tcPr>
          <w:p>
            <w:r>
              <w:t>Sessions and real-time events verified via table editor</w:t>
            </w:r>
          </w:p>
        </w:tc>
      </w:tr>
      <w:tr>
        <w:tc>
          <w:tcPr>
            <w:tcW w:type="dxa" w:w="2736"/>
          </w:tcPr>
          <w:p>
            <w:r>
              <w:t>Automated unit testing</w:t>
            </w:r>
          </w:p>
        </w:tc>
        <w:tc>
          <w:tcPr>
            <w:tcW w:type="dxa" w:w="1728"/>
          </w:tcPr>
          <w:p>
            <w:r>
              <w:t>—</w:t>
            </w:r>
          </w:p>
        </w:tc>
        <w:tc>
          <w:tcPr>
            <w:tcW w:type="dxa" w:w="2160"/>
          </w:tcPr>
          <w:p>
            <w:r>
              <w:t>0% (none configured)</w:t>
            </w:r>
          </w:p>
        </w:tc>
        <w:tc>
          <w:tcPr>
            <w:tcW w:type="dxa" w:w="2880"/>
          </w:tcPr>
          <w:p>
            <w:r>
              <w:t>No test framework present. Vitest + React Testing Library recommended for Sprint 8+</w:t>
            </w:r>
          </w:p>
        </w:tc>
      </w:tr>
    </w:tbl>
    <w:p/>
    <w:p>
      <w:pPr>
        <w:pStyle w:val="Heading3"/>
      </w:pPr>
      <w:r>
        <w:t>4.5.5  Local Development Setup</w:t>
      </w:r>
    </w:p>
    <w:p>
      <w:pPr/>
      <w:r>
        <w:t>To run the Kuwait B2B Hub locally from source:</w:t>
      </w:r>
    </w:p>
    <w:p>
      <w:pPr>
        <w:spacing w:before="0" w:after="0"/>
      </w:pPr>
      <w:r>
        <w:rPr>
          <w:rFonts w:ascii="Courier New" w:hAnsi="Courier New"/>
          <w:sz w:val="16"/>
        </w:rPr>
        <w:t># 1. Clone the repository</w:t>
      </w:r>
    </w:p>
    <w:p>
      <w:pPr>
        <w:spacing w:before="0" w:after="0"/>
      </w:pPr>
      <w:r>
        <w:rPr>
          <w:rFonts w:ascii="Courier New" w:hAnsi="Courier New"/>
          <w:sz w:val="16"/>
        </w:rPr>
        <w:t>git clone &lt;repository-url&gt; &amp;&amp; cd app</w:t>
      </w:r>
    </w:p>
    <w:p>
      <w:pPr>
        <w:spacing w:before="0" w:after="0"/>
      </w:pPr>
      <w:r>
        <w:rPr>
          <w:rFonts w:ascii="Courier New" w:hAnsi="Courier New"/>
          <w:sz w:val="16"/>
        </w:rPr>
      </w:r>
    </w:p>
    <w:p>
      <w:pPr>
        <w:spacing w:before="0" w:after="0"/>
      </w:pPr>
      <w:r>
        <w:rPr>
          <w:rFonts w:ascii="Courier New" w:hAnsi="Courier New"/>
          <w:sz w:val="16"/>
        </w:rPr>
        <w:t># 2. Install dependencies (Node.js v20+ required)</w:t>
      </w:r>
    </w:p>
    <w:p>
      <w:pPr>
        <w:spacing w:before="0" w:after="0"/>
      </w:pPr>
      <w:r>
        <w:rPr>
          <w:rFonts w:ascii="Courier New" w:hAnsi="Courier New"/>
          <w:sz w:val="16"/>
        </w:rPr>
        <w:t>npm install</w:t>
      </w:r>
    </w:p>
    <w:p>
      <w:pPr>
        <w:spacing w:before="0" w:after="0"/>
      </w:pPr>
      <w:r>
        <w:rPr>
          <w:rFonts w:ascii="Courier New" w:hAnsi="Courier New"/>
          <w:sz w:val="16"/>
        </w:rPr>
      </w:r>
    </w:p>
    <w:p>
      <w:pPr>
        <w:spacing w:before="0" w:after="0"/>
      </w:pPr>
      <w:r>
        <w:rPr>
          <w:rFonts w:ascii="Courier New" w:hAnsi="Courier New"/>
          <w:sz w:val="16"/>
        </w:rPr>
        <w:t># 3. Configure environment variables</w:t>
      </w:r>
    </w:p>
    <w:p>
      <w:pPr>
        <w:spacing w:before="0" w:after="0"/>
      </w:pPr>
      <w:r>
        <w:rPr>
          <w:rFonts w:ascii="Courier New" w:hAnsi="Courier New"/>
          <w:sz w:val="16"/>
        </w:rPr>
        <w:t>cp .env.example .env.local</w:t>
      </w:r>
    </w:p>
    <w:p>
      <w:pPr>
        <w:spacing w:before="0" w:after="0"/>
      </w:pPr>
      <w:r>
        <w:rPr>
          <w:rFonts w:ascii="Courier New" w:hAnsi="Courier New"/>
          <w:sz w:val="16"/>
        </w:rPr>
        <w:t>#    Set: NEXT_PUBLIC_SUPABASE_URL</w:t>
      </w:r>
    </w:p>
    <w:p>
      <w:pPr>
        <w:spacing w:before="0" w:after="0"/>
      </w:pPr>
      <w:r>
        <w:rPr>
          <w:rFonts w:ascii="Courier New" w:hAnsi="Courier New"/>
          <w:sz w:val="16"/>
        </w:rPr>
        <w:t>#         NEXT_PUBLIC_SUPABASE_ANON_KEY</w:t>
      </w:r>
    </w:p>
    <w:p>
      <w:pPr>
        <w:spacing w:before="0" w:after="0"/>
      </w:pPr>
      <w:r>
        <w:rPr>
          <w:rFonts w:ascii="Courier New" w:hAnsi="Courier New"/>
          <w:sz w:val="16"/>
        </w:rPr>
      </w:r>
    </w:p>
    <w:p>
      <w:pPr>
        <w:spacing w:before="0" w:after="0"/>
      </w:pPr>
      <w:r>
        <w:rPr>
          <w:rFonts w:ascii="Courier New" w:hAnsi="Courier New"/>
          <w:sz w:val="16"/>
        </w:rPr>
        <w:t># 4. Start development server</w:t>
      </w:r>
    </w:p>
    <w:p>
      <w:pPr>
        <w:spacing w:before="0" w:after="0"/>
      </w:pPr>
      <w:r>
        <w:rPr>
          <w:rFonts w:ascii="Courier New" w:hAnsi="Courier New"/>
          <w:sz w:val="16"/>
        </w:rPr>
        <w:t>npm run dev        # → http://localhost:3000</w:t>
      </w:r>
    </w:p>
    <w:p>
      <w:pPr>
        <w:spacing w:before="0" w:after="0"/>
      </w:pPr>
      <w:r>
        <w:rPr>
          <w:rFonts w:ascii="Courier New" w:hAnsi="Courier New"/>
          <w:sz w:val="16"/>
        </w:rPr>
      </w:r>
    </w:p>
    <w:p>
      <w:pPr>
        <w:spacing w:before="0" w:after="0"/>
      </w:pPr>
      <w:r>
        <w:rPr>
          <w:rFonts w:ascii="Courier New" w:hAnsi="Courier New"/>
          <w:sz w:val="16"/>
        </w:rPr>
        <w:t># 5. Static analysis</w:t>
      </w:r>
    </w:p>
    <w:p>
      <w:pPr>
        <w:spacing w:before="0" w:after="0"/>
      </w:pPr>
      <w:r>
        <w:rPr>
          <w:rFonts w:ascii="Courier New" w:hAnsi="Courier New"/>
          <w:sz w:val="16"/>
        </w:rPr>
        <w:t>npm run lint</w:t>
      </w:r>
    </w:p>
    <w:p>
      <w:pPr>
        <w:spacing w:before="0" w:after="0"/>
      </w:pPr>
      <w:r>
        <w:rPr>
          <w:rFonts w:ascii="Courier New" w:hAnsi="Courier New"/>
          <w:sz w:val="16"/>
        </w:rPr>
      </w:r>
    </w:p>
    <w:p>
      <w:pPr>
        <w:spacing w:before="0" w:after="0"/>
      </w:pPr>
      <w:r>
        <w:rPr>
          <w:rFonts w:ascii="Courier New" w:hAnsi="Courier New"/>
          <w:sz w:val="16"/>
        </w:rPr>
        <w:t># 6. Production build validation (optional)</w:t>
      </w:r>
    </w:p>
    <w:p>
      <w:pPr>
        <w:spacing w:before="0" w:after="0"/>
      </w:pPr>
      <w:r>
        <w:rPr>
          <w:rFonts w:ascii="Courier New" w:hAnsi="Courier New"/>
          <w:sz w:val="16"/>
        </w:rPr>
        <w:t>npm run build &amp;&amp; npm run start</w:t>
      </w:r>
    </w:p>
    <w:p/>
    <w:p>
      <w:pPr/>
      <w:r>
        <w:t>No local database installation, no Docker, and no paid tooling are required. The entire stack is either open-source or available on a free tier — fully reproducible from a single npm install.</w:t>
      </w:r>
    </w:p>
    <w:p>
      <w:pPr>
        <w:pStyle w:val="Heading3"/>
      </w:pPr>
      <w:r>
        <w:t>4.5.6  Deployment Architecture</w:t>
      </w:r>
    </w:p>
    <w:p>
      <w:pPr/>
      <w:r>
        <w:t>The production deployment pipeline follows a fully automated Git-to-CDN workflow:</w:t>
      </w:r>
    </w:p>
    <w:p>
      <w:pPr>
        <w:spacing w:before="0" w:after="0"/>
      </w:pPr>
      <w:r>
        <w:rPr>
          <w:rFonts w:ascii="Courier New" w:hAnsi="Courier New"/>
          <w:sz w:val="16"/>
        </w:rPr>
        <w:t>Developer Machine</w:t>
      </w:r>
    </w:p>
    <w:p>
      <w:pPr>
        <w:spacing w:before="0" w:after="0"/>
      </w:pPr>
      <w:r>
        <w:rPr>
          <w:rFonts w:ascii="Courier New" w:hAnsi="Courier New"/>
          <w:sz w:val="16"/>
        </w:rPr>
        <w:t xml:space="preserve">      │  git push</w:t>
      </w:r>
    </w:p>
    <w:p>
      <w:pPr>
        <w:spacing w:before="0" w:after="0"/>
      </w:pPr>
      <w:r>
        <w:rPr>
          <w:rFonts w:ascii="Courier New" w:hAnsi="Courier New"/>
          <w:sz w:val="16"/>
        </w:rPr>
        <w:t xml:space="preserve">      ▼</w:t>
      </w:r>
    </w:p>
    <w:p>
      <w:pPr>
        <w:spacing w:before="0" w:after="0"/>
      </w:pPr>
      <w:r>
        <w:rPr>
          <w:rFonts w:ascii="Courier New" w:hAnsi="Courier New"/>
          <w:sz w:val="16"/>
        </w:rPr>
        <w:t xml:space="preserve"> Git Repository</w:t>
      </w:r>
    </w:p>
    <w:p>
      <w:pPr>
        <w:spacing w:before="0" w:after="0"/>
      </w:pPr>
      <w:r>
        <w:rPr>
          <w:rFonts w:ascii="Courier New" w:hAnsi="Courier New"/>
          <w:sz w:val="16"/>
        </w:rPr>
        <w:t xml:space="preserve">      │  Webhook trigger</w:t>
      </w:r>
    </w:p>
    <w:p>
      <w:pPr>
        <w:spacing w:before="0" w:after="0"/>
      </w:pPr>
      <w:r>
        <w:rPr>
          <w:rFonts w:ascii="Courier New" w:hAnsi="Courier New"/>
          <w:sz w:val="16"/>
        </w:rPr>
        <w:t xml:space="preserve">      ▼</w:t>
      </w:r>
    </w:p>
    <w:p>
      <w:pPr>
        <w:spacing w:before="0" w:after="0"/>
      </w:pPr>
      <w:r>
        <w:rPr>
          <w:rFonts w:ascii="Courier New" w:hAnsi="Courier New"/>
          <w:sz w:val="16"/>
        </w:rPr>
        <w:t xml:space="preserve"> Vercel CI/CD Pipeline</w:t>
      </w:r>
    </w:p>
    <w:p>
      <w:pPr>
        <w:spacing w:before="0" w:after="0"/>
      </w:pPr>
      <w:r>
        <w:rPr>
          <w:rFonts w:ascii="Courier New" w:hAnsi="Courier New"/>
          <w:sz w:val="16"/>
        </w:rPr>
        <w:t xml:space="preserve">  ├── npm install</w:t>
      </w:r>
    </w:p>
    <w:p>
      <w:pPr>
        <w:spacing w:before="0" w:after="0"/>
      </w:pPr>
      <w:r>
        <w:rPr>
          <w:rFonts w:ascii="Courier New" w:hAnsi="Courier New"/>
          <w:sz w:val="16"/>
        </w:rPr>
        <w:t xml:space="preserve">  ├── tsc --noEmit  (type check)</w:t>
      </w:r>
    </w:p>
    <w:p>
      <w:pPr>
        <w:spacing w:before="0" w:after="0"/>
      </w:pPr>
      <w:r>
        <w:rPr>
          <w:rFonts w:ascii="Courier New" w:hAnsi="Courier New"/>
          <w:sz w:val="16"/>
        </w:rPr>
        <w:t xml:space="preserve">  ├── next build</w:t>
      </w:r>
    </w:p>
    <w:p>
      <w:pPr>
        <w:spacing w:before="0" w:after="0"/>
      </w:pPr>
      <w:r>
        <w:rPr>
          <w:rFonts w:ascii="Courier New" w:hAnsi="Courier New"/>
          <w:sz w:val="16"/>
        </w:rPr>
        <w:t xml:space="preserve">  └── Deploy to Vercel Edge Network</w:t>
      </w:r>
    </w:p>
    <w:p>
      <w:pPr>
        <w:spacing w:before="0" w:after="0"/>
      </w:pPr>
      <w:r>
        <w:rPr>
          <w:rFonts w:ascii="Courier New" w:hAnsi="Courier New"/>
          <w:sz w:val="16"/>
        </w:rPr>
        <w:t xml:space="preserve">            ├── Static assets   →  CDN (global edge)</w:t>
      </w:r>
    </w:p>
    <w:p>
      <w:pPr>
        <w:spacing w:before="0" w:after="0"/>
      </w:pPr>
      <w:r>
        <w:rPr>
          <w:rFonts w:ascii="Courier New" w:hAnsi="Courier New"/>
          <w:sz w:val="16"/>
        </w:rPr>
        <w:t xml:space="preserve">            ├── Page routes     →  Serverless functions (SSR)</w:t>
      </w:r>
    </w:p>
    <w:p>
      <w:pPr>
        <w:spacing w:before="0" w:after="0"/>
      </w:pPr>
      <w:r>
        <w:rPr>
          <w:rFonts w:ascii="Courier New" w:hAnsi="Courier New"/>
          <w:sz w:val="16"/>
        </w:rPr>
        <w:t xml:space="preserve">            └── API routes      →  Serverless functions (/api/*)</w:t>
      </w:r>
    </w:p>
    <w:p>
      <w:pPr>
        <w:spacing w:before="0" w:after="0"/>
      </w:pPr>
      <w:r>
        <w:rPr>
          <w:rFonts w:ascii="Courier New" w:hAnsi="Courier New"/>
          <w:sz w:val="16"/>
        </w:rPr>
        <w:t xml:space="preserve">                                        │</w:t>
      </w:r>
    </w:p>
    <w:p>
      <w:pPr>
        <w:spacing w:before="0" w:after="0"/>
      </w:pPr>
      <w:r>
        <w:rPr>
          <w:rFonts w:ascii="Courier New" w:hAnsi="Courier New"/>
          <w:sz w:val="16"/>
        </w:rPr>
        <w:t xml:space="preserve">                                        └── Supabase Cloud</w:t>
      </w:r>
    </w:p>
    <w:p>
      <w:pPr>
        <w:spacing w:before="0" w:after="0"/>
      </w:pPr>
      <w:r>
        <w:rPr>
          <w:rFonts w:ascii="Courier New" w:hAnsi="Courier New"/>
          <w:sz w:val="16"/>
        </w:rPr>
        <w:t xml:space="preserve">                                             ├── Auth (JWT sessions)</w:t>
      </w:r>
    </w:p>
    <w:p>
      <w:pPr>
        <w:spacing w:before="0" w:after="0"/>
      </w:pPr>
      <w:r>
        <w:rPr>
          <w:rFonts w:ascii="Courier New" w:hAnsi="Courier New"/>
          <w:sz w:val="16"/>
        </w:rPr>
        <w:t xml:space="preserve">                                             └── PostgreSQL (data layer)</w:t>
      </w:r>
    </w:p>
    <w:p/>
    <w:tbl>
      <w:tblPr>
        <w:tblStyle w:val="TableGrid"/>
        <w:tblW w:type="auto" w:w="0"/>
        <w:tblLook w:firstColumn="1" w:firstRow="1" w:lastColumn="0" w:lastRow="0" w:noHBand="0" w:noVBand="1" w:val="04A0"/>
      </w:tblPr>
      <w:tblGrid>
        <w:gridCol w:w="2880"/>
        <w:gridCol w:w="2880"/>
        <w:gridCol w:w="2880"/>
      </w:tblGrid>
      <w:tr>
        <w:tc>
          <w:tcPr>
            <w:tcW w:type="dxa" w:w="3024"/>
          </w:tcPr>
          <w:p>
            <w:r>
              <w:rPr>
                <w:b/>
              </w:rPr>
              <w:t>Environment</w:t>
            </w:r>
          </w:p>
        </w:tc>
        <w:tc>
          <w:tcPr>
            <w:tcW w:type="dxa" w:w="3024"/>
          </w:tcPr>
          <w:p>
            <w:r>
              <w:rPr>
                <w:b/>
              </w:rPr>
              <w:t>Trigger</w:t>
            </w:r>
          </w:p>
        </w:tc>
        <w:tc>
          <w:tcPr>
            <w:tcW w:type="dxa" w:w="3312"/>
          </w:tcPr>
          <w:p>
            <w:r>
              <w:rPr>
                <w:b/>
              </w:rPr>
              <w:t>Purpose</w:t>
            </w:r>
          </w:p>
        </w:tc>
      </w:tr>
      <w:tr>
        <w:tc>
          <w:tcPr>
            <w:tcW w:type="dxa" w:w="3024"/>
          </w:tcPr>
          <w:p>
            <w:r>
              <w:t>Development (localhost:3000)</w:t>
            </w:r>
          </w:p>
        </w:tc>
        <w:tc>
          <w:tcPr>
            <w:tcW w:type="dxa" w:w="3024"/>
          </w:tcPr>
          <w:p>
            <w:r>
              <w:t>npm run dev</w:t>
            </w:r>
          </w:p>
        </w:tc>
        <w:tc>
          <w:tcPr>
            <w:tcW w:type="dxa" w:w="3312"/>
          </w:tcPr>
          <w:p>
            <w:r>
              <w:t>Local hot-reload development</w:t>
            </w:r>
          </w:p>
        </w:tc>
      </w:tr>
      <w:tr>
        <w:tc>
          <w:tcPr>
            <w:tcW w:type="dxa" w:w="3024"/>
          </w:tcPr>
          <w:p>
            <w:r>
              <w:t>Preview (*.vercel.app)</w:t>
            </w:r>
          </w:p>
        </w:tc>
        <w:tc>
          <w:tcPr>
            <w:tcW w:type="dxa" w:w="3024"/>
          </w:tcPr>
          <w:p>
            <w:r>
              <w:t>Git push to non-main branch</w:t>
            </w:r>
          </w:p>
        </w:tc>
        <w:tc>
          <w:tcPr>
            <w:tcW w:type="dxa" w:w="3312"/>
          </w:tcPr>
          <w:p>
            <w:r>
              <w:t>Stakeholder review and QA testing</w:t>
            </w:r>
          </w:p>
        </w:tc>
      </w:tr>
      <w:tr>
        <w:tc>
          <w:tcPr>
            <w:tcW w:type="dxa" w:w="3024"/>
          </w:tcPr>
          <w:p>
            <w:r>
              <w:t>Production (custom domain)</w:t>
            </w:r>
          </w:p>
        </w:tc>
        <w:tc>
          <w:tcPr>
            <w:tcW w:type="dxa" w:w="3024"/>
          </w:tcPr>
          <w:p>
            <w:r>
              <w:t>Merge to main branch</w:t>
            </w:r>
          </w:p>
        </w:tc>
        <w:tc>
          <w:tcPr>
            <w:tcW w:type="dxa" w:w="3312"/>
          </w:tcPr>
          <w:p>
            <w:r>
              <w:t>Live system — all traffic</w:t>
            </w:r>
          </w:p>
        </w:tc>
      </w:tr>
    </w:tbl>
    <w:p/>
    <w:p>
      <w:pPr>
        <w:pStyle w:val="Heading2"/>
      </w:pPr>
      <w:r>
        <w:t>4.6  Physical Deployment Diagram</w:t>
      </w:r>
    </w:p>
    <w:p>
      <w:pPr/>
      <w:r>
        <w:t>The physical deployment diagram maps the Kuwait B2B Hub's runtime artefacts to their execution nodes. Three primary nodes are in scope: the Developer Machine (local), the Vercel Edge Network (global serverless), and Supabase Cloud (GCC-region managed services). A fourth external node — the End-User Browser — communicates exclusively with the Vercel Edge Network over HTTPS.</w:t>
      </w:r>
    </w:p>
    <w:p>
      <w:pPr/>
      <w:r>
        <w:t>Node descriptions: (1) Developer Machine — runs Node.js 24, npm 11, and the Next.js development server (localhost:3000). Connects to Supabase Cloud for authentication and database access during local development. (2) Vercel Edge Network — hosts all compiled Next.js page routes as serverless functions, serves static assets (JavaScript bundles, CSS, SVGs) from a global CDN, and routes all /api/* requests to individual serverless function instances. Each function has 1024 MB memory and a 10-second execution timeout. (3) Supabase Cloud — provides the managed PostgreSQL database instance, the Supabase Auth JWT session service, and (planned) real-time WebSocket subscriptions for notification delivery. Deployed in a GCC-proximate region for latency optimisation. (4) End-User Browser — all clients (buyers, brand owners, admins) access the platform exclusively via HTTPS. No platform software is installed on end-user devices beyond a standard web browser.</w:t>
      </w:r>
    </w:p>
    <w:p/>
    <w:p>
      <w:pPr>
        <w:jc w:val="center"/>
      </w:pPr>
      <w:r>
        <w:rPr>
          <w:b/>
          <w:color w:val="888888"/>
          <w:sz w:val="22"/>
        </w:rPr>
        <w:t>[ FIGURE 9 — Physical Deployment Diagram — Kuwait B2B Hub ]</w:t>
      </w:r>
    </w:p>
    <w:p>
      <w:pPr>
        <w:jc w:val="center"/>
      </w:pPr>
      <w:r>
        <w:rPr>
          <w:i/>
          <w:color w:val="AAAAAA"/>
          <w:sz w:val="18"/>
        </w:rPr>
        <w:t>(Insert diagram image here)</w:t>
      </w:r>
    </w:p>
    <w:p/>
    <w:p>
      <w:r>
        <w:br w:type="page"/>
      </w:r>
    </w:p>
    <w:p>
      <w:pPr>
        <w:pStyle w:val="Heading1"/>
      </w:pPr>
      <w:r>
        <w:t>CHAPTER V — VERIFICATION AND VALIDATION</w:t>
      </w:r>
    </w:p>
    <w:p>
      <w:pPr/>
      <w:r>
        <w:t>This chapter documents the complete Verification and Validation (V&amp;V) programme for the Kuwait B2B Hub. It covers development-phase testing conducted alongside each sprint, the four formal inspection reviews performed by the team, the full system test suite with 20 test cases, release testing across five testing strategies, and user-facing acceptance testing results against the 17 user requirements defined in Chapter II.</w:t>
      </w:r>
    </w:p>
    <w:p>
      <w:pPr>
        <w:pStyle w:val="Heading2"/>
      </w:pPr>
      <w:r>
        <w:t>5.1  Development Testing</w:t>
      </w:r>
    </w:p>
    <w:p>
      <w:pPr/>
      <w:r>
        <w:t>Development testing was conducted continuously alongside each sprint using a combination of static analysis, type checking, and manual functional verification. The testing approach recognised that formal automated test infrastructure was deferred to Sprint 8, requiring the team to compensate with rigorous manual checks, ESLint enforcement, and TypeScript strict-mode compilation as the primary defect-detection mechanisms throughout Sprints 1–7.</w:t>
      </w:r>
    </w:p>
    <w:p>
      <w:pPr/>
      <w:r>
        <w:t>Unit-level testing of individual utility functions (db.ts helpers, currency converters, trust-score calculators) was conducted by exercising each function through its calling API route handler and observing the response in the browser and in the Supabase dashboard. Component-level testing of React components was performed by rendering each component in the development server and verifying that all props, conditional states, and user interactions behaved as specified. Subsystem-level testing verified that complete workflows — such as registration → brand creation → admin approval → marketplace visibility — executed correctly end-to-end against the seeded demo database.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Pr>
                <w:b/>
              </w:rPr>
              <w:t>Testing Level</w:t>
            </w:r>
          </w:p>
        </w:tc>
        <w:tc>
          <w:tcPr>
            <w:tcW w:type="dxa" w:w="3024"/>
          </w:tcPr>
          <w:p>
            <w:r>
              <w:rPr>
                <w:b/>
              </w:rPr>
              <w:t>Method</w:t>
            </w:r>
          </w:p>
        </w:tc>
        <w:tc>
          <w:tcPr>
            <w:tcW w:type="dxa" w:w="2592"/>
          </w:tcPr>
          <w:p>
            <w:r>
              <w:rPr>
                <w:b/>
              </w:rPr>
              <w:t>Tools Used</w:t>
            </w:r>
          </w:p>
        </w:tc>
        <w:tc>
          <w:tcPr>
            <w:tcW w:type="dxa" w:w="1872"/>
          </w:tcPr>
          <w:p>
            <w:r>
              <w:rPr>
                <w:b/>
              </w:rPr>
              <w:t>Coverage</w:t>
            </w:r>
          </w:p>
        </w:tc>
        <w:tc>
          <w:tcPr>
            <w:tcW w:type="dxa" w:w="1152"/>
          </w:tcPr>
          <w:p>
            <w:r>
              <w:rPr>
                <w:b/>
              </w:rPr>
              <w:t>Sprints</w:t>
            </w:r>
          </w:p>
        </w:tc>
      </w:tr>
      <w:tr>
        <w:tc>
          <w:tcPr>
            <w:tcW w:type="dxa" w:w="1440"/>
          </w:tcPr>
          <w:p>
            <w:r>
              <w:t>Unit</w:t>
            </w:r>
          </w:p>
        </w:tc>
        <w:tc>
          <w:tcPr>
            <w:tcW w:type="dxa" w:w="3024"/>
          </w:tcPr>
          <w:p>
            <w:r>
              <w:t>Manual invocation of utility functions via API routes</w:t>
            </w:r>
          </w:p>
        </w:tc>
        <w:tc>
          <w:tcPr>
            <w:tcW w:type="dxa" w:w="2592"/>
          </w:tcPr>
          <w:p>
            <w:r>
              <w:t>Browser DevTools, Supabase table editor</w:t>
            </w:r>
          </w:p>
        </w:tc>
        <w:tc>
          <w:tcPr>
            <w:tcW w:type="dxa" w:w="1872"/>
          </w:tcPr>
          <w:p>
            <w:r>
              <w:t>Core lib/* functions</w:t>
            </w:r>
          </w:p>
        </w:tc>
        <w:tc>
          <w:tcPr>
            <w:tcW w:type="dxa" w:w="1152"/>
          </w:tcPr>
          <w:p>
            <w:r>
              <w:t>1–7</w:t>
            </w:r>
          </w:p>
        </w:tc>
      </w:tr>
      <w:tr>
        <w:tc>
          <w:tcPr>
            <w:tcW w:type="dxa" w:w="1440"/>
          </w:tcPr>
          <w:p>
            <w:r>
              <w:t>Component</w:t>
            </w:r>
          </w:p>
        </w:tc>
        <w:tc>
          <w:tcPr>
            <w:tcW w:type="dxa" w:w="3024"/>
          </w:tcPr>
          <w:p>
            <w:r>
              <w:t>Visual + functional verification of each React component</w:t>
            </w:r>
          </w:p>
        </w:tc>
        <w:tc>
          <w:tcPr>
            <w:tcW w:type="dxa" w:w="2592"/>
          </w:tcPr>
          <w:p>
            <w:r>
              <w:t>Chrome DevTools, React Dev Tools</w:t>
            </w:r>
          </w:p>
        </w:tc>
        <w:tc>
          <w:tcPr>
            <w:tcW w:type="dxa" w:w="1872"/>
          </w:tcPr>
          <w:p>
            <w:r>
              <w:t>All 24 UI components</w:t>
            </w:r>
          </w:p>
        </w:tc>
        <w:tc>
          <w:tcPr>
            <w:tcW w:type="dxa" w:w="1152"/>
          </w:tcPr>
          <w:p>
            <w:r>
              <w:t>2–7</w:t>
            </w:r>
          </w:p>
        </w:tc>
      </w:tr>
      <w:tr>
        <w:tc>
          <w:tcPr>
            <w:tcW w:type="dxa" w:w="1440"/>
          </w:tcPr>
          <w:p>
            <w:r>
              <w:t>Subsystem</w:t>
            </w:r>
          </w:p>
        </w:tc>
        <w:tc>
          <w:tcPr>
            <w:tcW w:type="dxa" w:w="3024"/>
          </w:tcPr>
          <w:p>
            <w:r>
              <w:t>End-to-end workflow walkthroughs per feature module</w:t>
            </w:r>
          </w:p>
        </w:tc>
        <w:tc>
          <w:tcPr>
            <w:tcW w:type="dxa" w:w="2592"/>
          </w:tcPr>
          <w:p>
            <w:r>
              <w:t>Browser, Supabase dashboard, cookie inspector</w:t>
            </w:r>
          </w:p>
        </w:tc>
        <w:tc>
          <w:tcPr>
            <w:tcW w:type="dxa" w:w="1872"/>
          </w:tcPr>
          <w:p>
            <w:r>
              <w:t>All 5 subsystems</w:t>
            </w:r>
          </w:p>
        </w:tc>
        <w:tc>
          <w:tcPr>
            <w:tcW w:type="dxa" w:w="1152"/>
          </w:tcPr>
          <w:p>
            <w:r>
              <w:t>1–7</w:t>
            </w:r>
          </w:p>
        </w:tc>
      </w:tr>
      <w:tr>
        <w:tc>
          <w:tcPr>
            <w:tcW w:type="dxa" w:w="1440"/>
          </w:tcPr>
          <w:p>
            <w:r>
              <w:t>Integration</w:t>
            </w:r>
          </w:p>
        </w:tc>
        <w:tc>
          <w:tcPr>
            <w:tcW w:type="dxa" w:w="3024"/>
          </w:tcPr>
          <w:p>
            <w:r>
              <w:t>API route + database + notification round-trip verification</w:t>
            </w:r>
          </w:p>
        </w:tc>
        <w:tc>
          <w:tcPr>
            <w:tcW w:type="dxa" w:w="2592"/>
          </w:tcPr>
          <w:p>
            <w:r>
              <w:t>Browser network tab, Supabase dashboard</w:t>
            </w:r>
          </w:p>
        </w:tc>
        <w:tc>
          <w:tcPr>
            <w:tcW w:type="dxa" w:w="1872"/>
          </w:tcPr>
          <w:p>
            <w:r>
              <w:t>All 25 API routes</w:t>
            </w:r>
          </w:p>
        </w:tc>
        <w:tc>
          <w:tcPr>
            <w:tcW w:type="dxa" w:w="1152"/>
          </w:tcPr>
          <w:p>
            <w:r>
              <w:t>3–7</w:t>
            </w:r>
          </w:p>
        </w:tc>
      </w:tr>
      <w:tr>
        <w:tc>
          <w:tcPr>
            <w:tcW w:type="dxa" w:w="1440"/>
          </w:tcPr>
          <w:p>
            <w:r>
              <w:t>Static Analysis</w:t>
            </w:r>
          </w:p>
        </w:tc>
        <w:tc>
          <w:tcPr>
            <w:tcW w:type="dxa" w:w="3024"/>
          </w:tcPr>
          <w:p>
            <w:r>
              <w:t>ESLint with eslint-config-next; TypeScript tsc --noEmit</w:t>
            </w:r>
          </w:p>
        </w:tc>
        <w:tc>
          <w:tcPr>
            <w:tcW w:type="dxa" w:w="2592"/>
          </w:tcPr>
          <w:p>
            <w:r>
              <w:t>ESLint CLI, VS Code Problems panel</w:t>
            </w:r>
          </w:p>
        </w:tc>
        <w:tc>
          <w:tcPr>
            <w:tcW w:type="dxa" w:w="1872"/>
          </w:tcPr>
          <w:p>
            <w:r>
              <w:t>All 93 source files</w:t>
            </w:r>
          </w:p>
        </w:tc>
        <w:tc>
          <w:tcPr>
            <w:tcW w:type="dxa" w:w="1152"/>
          </w:tcPr>
          <w:p>
            <w:r>
              <w:t>1–8</w:t>
            </w:r>
          </w:p>
        </w:tc>
      </w:tr>
    </w:tbl>
    <w:p/>
    <w:p>
      <w:pPr>
        <w:pStyle w:val="Heading3"/>
      </w:pPr>
      <w:r>
        <w:t>5.1.1  Source Lines of Code (SLOC) &amp; Automated Testing Assessment</w:t>
      </w:r>
    </w:p>
    <w:p>
      <w:pPr/>
      <w:r>
        <w:t>All TypeScript (.ts) and TSX (.tsx) source files within src/ were counted. Generated files (.d.ts, next-env.d.ts), node_modules/, and the .next/ build output were excluded from the count. The following table presents the SLOC breakdown by code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tcPr>
          <w:p>
            <w:r>
              <w:rPr>
                <w:b/>
              </w:rPr>
              <w:t>Category</w:t>
            </w:r>
          </w:p>
        </w:tc>
        <w:tc>
          <w:tcPr>
            <w:tcW w:type="dxa" w:w="864"/>
          </w:tcPr>
          <w:p>
            <w:r>
              <w:rPr>
                <w:b/>
              </w:rPr>
              <w:t>Files</w:t>
            </w:r>
          </w:p>
        </w:tc>
        <w:tc>
          <w:tcPr>
            <w:tcW w:type="dxa" w:w="1296"/>
          </w:tcPr>
          <w:p>
            <w:r>
              <w:rPr>
                <w:b/>
              </w:rPr>
              <w:t>LOC</w:t>
            </w:r>
          </w:p>
        </w:tc>
        <w:tc>
          <w:tcPr>
            <w:tcW w:type="dxa" w:w="1152"/>
          </w:tcPr>
          <w:p>
            <w:r>
              <w:rPr>
                <w:b/>
              </w:rPr>
              <w:t>KLOC</w:t>
            </w:r>
          </w:p>
        </w:tc>
        <w:tc>
          <w:tcPr>
            <w:tcW w:type="dxa" w:w="1152"/>
          </w:tcPr>
          <w:p>
            <w:r>
              <w:rPr>
                <w:b/>
              </w:rPr>
              <w:t>Share</w:t>
            </w:r>
          </w:p>
        </w:tc>
      </w:tr>
      <w:tr>
        <w:tc>
          <w:tcPr>
            <w:tcW w:type="dxa" w:w="3744"/>
          </w:tcPr>
          <w:p>
            <w:r>
              <w:t>Pages — Buyer / Public</w:t>
            </w:r>
          </w:p>
        </w:tc>
        <w:tc>
          <w:tcPr>
            <w:tcW w:type="dxa" w:w="864"/>
          </w:tcPr>
          <w:p>
            <w:r>
              <w:t>11</w:t>
            </w:r>
          </w:p>
        </w:tc>
        <w:tc>
          <w:tcPr>
            <w:tcW w:type="dxa" w:w="1296"/>
          </w:tcPr>
          <w:p>
            <w:r>
              <w:t>2,344</w:t>
            </w:r>
          </w:p>
        </w:tc>
        <w:tc>
          <w:tcPr>
            <w:tcW w:type="dxa" w:w="1152"/>
          </w:tcPr>
          <w:p>
            <w:r>
              <w:t>2.34</w:t>
            </w:r>
          </w:p>
        </w:tc>
        <w:tc>
          <w:tcPr>
            <w:tcW w:type="dxa" w:w="1152"/>
          </w:tcPr>
          <w:p>
            <w:r>
              <w:t>20.6%</w:t>
            </w:r>
          </w:p>
        </w:tc>
      </w:tr>
      <w:tr>
        <w:tc>
          <w:tcPr>
            <w:tcW w:type="dxa" w:w="3744"/>
          </w:tcPr>
          <w:p>
            <w:r>
              <w:t>Components</w:t>
            </w:r>
          </w:p>
        </w:tc>
        <w:tc>
          <w:tcPr>
            <w:tcW w:type="dxa" w:w="864"/>
          </w:tcPr>
          <w:p>
            <w:r>
              <w:t>24</w:t>
            </w:r>
          </w:p>
        </w:tc>
        <w:tc>
          <w:tcPr>
            <w:tcW w:type="dxa" w:w="1296"/>
          </w:tcPr>
          <w:p>
            <w:r>
              <w:t>3,802</w:t>
            </w:r>
          </w:p>
        </w:tc>
        <w:tc>
          <w:tcPr>
            <w:tcW w:type="dxa" w:w="1152"/>
          </w:tcPr>
          <w:p>
            <w:r>
              <w:t>3.80</w:t>
            </w:r>
          </w:p>
        </w:tc>
        <w:tc>
          <w:tcPr>
            <w:tcW w:type="dxa" w:w="1152"/>
          </w:tcPr>
          <w:p>
            <w:r>
              <w:t>33.5%</w:t>
            </w:r>
          </w:p>
        </w:tc>
      </w:tr>
      <w:tr>
        <w:tc>
          <w:tcPr>
            <w:tcW w:type="dxa" w:w="3744"/>
          </w:tcPr>
          <w:p>
            <w:r>
              <w:t>Pages — Brand Portal</w:t>
            </w:r>
          </w:p>
        </w:tc>
        <w:tc>
          <w:tcPr>
            <w:tcW w:type="dxa" w:w="864"/>
          </w:tcPr>
          <w:p>
            <w:r>
              <w:t>8</w:t>
            </w:r>
          </w:p>
        </w:tc>
        <w:tc>
          <w:tcPr>
            <w:tcW w:type="dxa" w:w="1296"/>
          </w:tcPr>
          <w:p>
            <w:r>
              <w:t>2,213</w:t>
            </w:r>
          </w:p>
        </w:tc>
        <w:tc>
          <w:tcPr>
            <w:tcW w:type="dxa" w:w="1152"/>
          </w:tcPr>
          <w:p>
            <w:r>
              <w:t>2.21</w:t>
            </w:r>
          </w:p>
        </w:tc>
        <w:tc>
          <w:tcPr>
            <w:tcW w:type="dxa" w:w="1152"/>
          </w:tcPr>
          <w:p>
            <w:r>
              <w:t>19.5%</w:t>
            </w:r>
          </w:p>
        </w:tc>
      </w:tr>
      <w:tr>
        <w:tc>
          <w:tcPr>
            <w:tcW w:type="dxa" w:w="3744"/>
          </w:tcPr>
          <w:p>
            <w:r>
              <w:t>API Routes</w:t>
            </w:r>
          </w:p>
        </w:tc>
        <w:tc>
          <w:tcPr>
            <w:tcW w:type="dxa" w:w="864"/>
          </w:tcPr>
          <w:p>
            <w:r>
              <w:t>25</w:t>
            </w:r>
          </w:p>
        </w:tc>
        <w:tc>
          <w:tcPr>
            <w:tcW w:type="dxa" w:w="1296"/>
          </w:tcPr>
          <w:p>
            <w:r>
              <w:t>1,289</w:t>
            </w:r>
          </w:p>
        </w:tc>
        <w:tc>
          <w:tcPr>
            <w:tcW w:type="dxa" w:w="1152"/>
          </w:tcPr>
          <w:p>
            <w:r>
              <w:t>1.29</w:t>
            </w:r>
          </w:p>
        </w:tc>
        <w:tc>
          <w:tcPr>
            <w:tcW w:type="dxa" w:w="1152"/>
          </w:tcPr>
          <w:p>
            <w:r>
              <w:t>11.4%</w:t>
            </w:r>
          </w:p>
        </w:tc>
      </w:tr>
      <w:tr>
        <w:tc>
          <w:tcPr>
            <w:tcW w:type="dxa" w:w="3744"/>
          </w:tcPr>
          <w:p>
            <w:r>
              <w:t>Pages — Admin</w:t>
            </w:r>
          </w:p>
        </w:tc>
        <w:tc>
          <w:tcPr>
            <w:tcW w:type="dxa" w:w="864"/>
          </w:tcPr>
          <w:p>
            <w:r>
              <w:t>4</w:t>
            </w:r>
          </w:p>
        </w:tc>
        <w:tc>
          <w:tcPr>
            <w:tcW w:type="dxa" w:w="1296"/>
          </w:tcPr>
          <w:p>
            <w:r>
              <w:t>790</w:t>
            </w:r>
          </w:p>
        </w:tc>
        <w:tc>
          <w:tcPr>
            <w:tcW w:type="dxa" w:w="1152"/>
          </w:tcPr>
          <w:p>
            <w:r>
              <w:t>0.79</w:t>
            </w:r>
          </w:p>
        </w:tc>
        <w:tc>
          <w:tcPr>
            <w:tcW w:type="dxa" w:w="1152"/>
          </w:tcPr>
          <w:p>
            <w:r>
              <w:t>7.0%</w:t>
            </w:r>
          </w:p>
        </w:tc>
      </w:tr>
      <w:tr>
        <w:tc>
          <w:tcPr>
            <w:tcW w:type="dxa" w:w="3744"/>
          </w:tcPr>
          <w:p>
            <w:r>
              <w:t>Lib / Utilities</w:t>
            </w:r>
          </w:p>
        </w:tc>
        <w:tc>
          <w:tcPr>
            <w:tcW w:type="dxa" w:w="864"/>
          </w:tcPr>
          <w:p>
            <w:r>
              <w:t>11</w:t>
            </w:r>
          </w:p>
        </w:tc>
        <w:tc>
          <w:tcPr>
            <w:tcW w:type="dxa" w:w="1296"/>
          </w:tcPr>
          <w:p>
            <w:r>
              <w:t>485</w:t>
            </w:r>
          </w:p>
        </w:tc>
        <w:tc>
          <w:tcPr>
            <w:tcW w:type="dxa" w:w="1152"/>
          </w:tcPr>
          <w:p>
            <w:r>
              <w:t>0.48</w:t>
            </w:r>
          </w:p>
        </w:tc>
        <w:tc>
          <w:tcPr>
            <w:tcW w:type="dxa" w:w="1152"/>
          </w:tcPr>
          <w:p>
            <w:r>
              <w:t>4.3%</w:t>
            </w:r>
          </w:p>
        </w:tc>
      </w:tr>
      <w:tr>
        <w:tc>
          <w:tcPr>
            <w:tcW w:type="dxa" w:w="3744"/>
          </w:tcPr>
          <w:p>
            <w:r>
              <w:t>Hooks</w:t>
            </w:r>
          </w:p>
        </w:tc>
        <w:tc>
          <w:tcPr>
            <w:tcW w:type="dxa" w:w="864"/>
          </w:tcPr>
          <w:p>
            <w:r>
              <w:t>4</w:t>
            </w:r>
          </w:p>
        </w:tc>
        <w:tc>
          <w:tcPr>
            <w:tcW w:type="dxa" w:w="1296"/>
          </w:tcPr>
          <w:p>
            <w:r>
              <w:t>228</w:t>
            </w:r>
          </w:p>
        </w:tc>
        <w:tc>
          <w:tcPr>
            <w:tcW w:type="dxa" w:w="1152"/>
          </w:tcPr>
          <w:p>
            <w:r>
              <w:t>0.23</w:t>
            </w:r>
          </w:p>
        </w:tc>
        <w:tc>
          <w:tcPr>
            <w:tcW w:type="dxa" w:w="1152"/>
          </w:tcPr>
          <w:p>
            <w:r>
              <w:t>2.0%</w:t>
            </w:r>
          </w:p>
        </w:tc>
      </w:tr>
      <w:tr>
        <w:tc>
          <w:tcPr>
            <w:tcW w:type="dxa" w:w="3744"/>
          </w:tcPr>
          <w:p>
            <w:r>
              <w:t>Store / Context</w:t>
            </w:r>
          </w:p>
        </w:tc>
        <w:tc>
          <w:tcPr>
            <w:tcW w:type="dxa" w:w="864"/>
          </w:tcPr>
          <w:p>
            <w:r>
              <w:t>2</w:t>
            </w:r>
          </w:p>
        </w:tc>
        <w:tc>
          <w:tcPr>
            <w:tcW w:type="dxa" w:w="1296"/>
          </w:tcPr>
          <w:p>
            <w:r>
              <w:t>138</w:t>
            </w:r>
          </w:p>
        </w:tc>
        <w:tc>
          <w:tcPr>
            <w:tcW w:type="dxa" w:w="1152"/>
          </w:tcPr>
          <w:p>
            <w:r>
              <w:t>0.14</w:t>
            </w:r>
          </w:p>
        </w:tc>
        <w:tc>
          <w:tcPr>
            <w:tcW w:type="dxa" w:w="1152"/>
          </w:tcPr>
          <w:p>
            <w:r>
              <w:t>1.2%</w:t>
            </w:r>
          </w:p>
        </w:tc>
      </w:tr>
      <w:tr>
        <w:tc>
          <w:tcPr>
            <w:tcW w:type="dxa" w:w="3744"/>
          </w:tcPr>
          <w:p>
            <w:r>
              <w:t>Config / i18n / Middleware</w:t>
            </w:r>
          </w:p>
        </w:tc>
        <w:tc>
          <w:tcPr>
            <w:tcW w:type="dxa" w:w="864"/>
          </w:tcPr>
          <w:p>
            <w:r>
              <w:t>4</w:t>
            </w:r>
          </w:p>
        </w:tc>
        <w:tc>
          <w:tcPr>
            <w:tcW w:type="dxa" w:w="1296"/>
          </w:tcPr>
          <w:p>
            <w:r>
              <w:t>64</w:t>
            </w:r>
          </w:p>
        </w:tc>
        <w:tc>
          <w:tcPr>
            <w:tcW w:type="dxa" w:w="1152"/>
          </w:tcPr>
          <w:p>
            <w:r>
              <w:t>0.06</w:t>
            </w:r>
          </w:p>
        </w:tc>
        <w:tc>
          <w:tcPr>
            <w:tcW w:type="dxa" w:w="1152"/>
          </w:tcPr>
          <w:p>
            <w:r>
              <w:t>0.6%</w:t>
            </w:r>
          </w:p>
        </w:tc>
      </w:tr>
      <w:tr>
        <w:tc>
          <w:tcPr>
            <w:tcW w:type="dxa" w:w="3744"/>
          </w:tcPr>
          <w:p>
            <w:r>
              <w:t>TOTAL</w:t>
            </w:r>
          </w:p>
        </w:tc>
        <w:tc>
          <w:tcPr>
            <w:tcW w:type="dxa" w:w="864"/>
          </w:tcPr>
          <w:p>
            <w:r>
              <w:t>93</w:t>
            </w:r>
          </w:p>
        </w:tc>
        <w:tc>
          <w:tcPr>
            <w:tcW w:type="dxa" w:w="1296"/>
          </w:tcPr>
          <w:p>
            <w:r>
              <w:t>11,353</w:t>
            </w:r>
          </w:p>
        </w:tc>
        <w:tc>
          <w:tcPr>
            <w:tcW w:type="dxa" w:w="1152"/>
          </w:tcPr>
          <w:p>
            <w:r>
              <w:t>11.35</w:t>
            </w:r>
          </w:p>
        </w:tc>
        <w:tc>
          <w:tcPr>
            <w:tcW w:type="dxa" w:w="1152"/>
          </w:tcPr>
          <w:p>
            <w:r>
              <w:t>100%</w:t>
            </w:r>
          </w:p>
        </w:tc>
      </w:tr>
    </w:tbl>
    <w:p/>
    <w:p>
      <w:pPr/>
      <w:r>
        <w:t>The project totals 11.35 KLOC across 93 source files. The largest single category is Components (3.80 KLOC, 33.5%), driven primarily by LandingPage.tsx (913 lines), CatalogImportModal.tsx (560 lines), and NotificationBell.tsx (337 lines). The 25 API route handlers collectively account for 1.29 KLOC, reflecting the lightweight, function-per-route server design favoured by the Next.js App Router.</w:t>
      </w:r>
    </w:p>
    <w:p>
      <w:pPr/>
      <w:r>
        <w:t>Automated Testing Assessment:</w:t>
      </w:r>
    </w:p>
    <w:tbl>
      <w:tblPr>
        <w:tblStyle w:val="TableGrid"/>
        <w:tblW w:type="auto" w:w="0"/>
        <w:tblLook w:firstColumn="1" w:firstRow="1" w:lastColumn="0" w:lastRow="0" w:noHBand="0" w:noVBand="1" w:val="04A0"/>
      </w:tblPr>
      <w:tblGrid>
        <w:gridCol w:w="4320"/>
        <w:gridCol w:w="4320"/>
      </w:tblGrid>
      <w:tr>
        <w:tc>
          <w:tcPr>
            <w:tcW w:type="dxa" w:w="5760"/>
          </w:tcPr>
          <w:p>
            <w:r>
              <w:rPr>
                <w:b/>
              </w:rPr>
              <w:t>Item</w:t>
            </w:r>
          </w:p>
        </w:tc>
        <w:tc>
          <w:tcPr>
            <w:tcW w:type="dxa" w:w="3600"/>
          </w:tcPr>
          <w:p>
            <w:r>
              <w:rPr>
                <w:b/>
              </w:rPr>
              <w:t>Status</w:t>
            </w:r>
          </w:p>
        </w:tc>
      </w:tr>
      <w:tr>
        <w:tc>
          <w:tcPr>
            <w:tcW w:type="dxa" w:w="5760"/>
          </w:tcPr>
          <w:p>
            <w:r>
              <w:t>Test files found (*.test.ts, *.spec.ts, *.test.tsx, *.spec.tsx)</w:t>
            </w:r>
          </w:p>
        </w:tc>
        <w:tc>
          <w:tcPr>
            <w:tcW w:type="dxa" w:w="3600"/>
          </w:tcPr>
          <w:p>
            <w:r>
              <w:t>0</w:t>
            </w:r>
          </w:p>
        </w:tc>
      </w:tr>
      <w:tr>
        <w:tc>
          <w:tcPr>
            <w:tcW w:type="dxa" w:w="5760"/>
          </w:tcPr>
          <w:p>
            <w:r>
              <w:t>Test runner configured (Jest / Vitest)</w:t>
            </w:r>
          </w:p>
        </w:tc>
        <w:tc>
          <w:tcPr>
            <w:tcW w:type="dxa" w:w="3600"/>
          </w:tcPr>
          <w:p>
            <w:r>
              <w:t>None</w:t>
            </w:r>
          </w:p>
        </w:tc>
      </w:tr>
      <w:tr>
        <w:tc>
          <w:tcPr>
            <w:tcW w:type="dxa" w:w="5760"/>
          </w:tcPr>
          <w:p>
            <w:r>
              <w:t>Test-related dependencies in package.json</w:t>
            </w:r>
          </w:p>
        </w:tc>
        <w:tc>
          <w:tcPr>
            <w:tcW w:type="dxa" w:w="3600"/>
          </w:tcPr>
          <w:p>
            <w:r>
              <w:t>None</w:t>
            </w:r>
          </w:p>
        </w:tc>
      </w:tr>
      <w:tr>
        <w:tc>
          <w:tcPr>
            <w:tcW w:type="dxa" w:w="5760"/>
          </w:tcPr>
          <w:p>
            <w:r>
              <w:t>test script in package.json</w:t>
            </w:r>
          </w:p>
        </w:tc>
        <w:tc>
          <w:tcPr>
            <w:tcW w:type="dxa" w:w="3600"/>
          </w:tcPr>
          <w:p>
            <w:r>
              <w:t>Absent</w:t>
            </w:r>
          </w:p>
        </w:tc>
      </w:tr>
    </w:tbl>
    <w:p/>
    <w:p>
      <w:pPr/>
      <w:r>
        <w:t>No unit or integration test suite was established for this project. The package.json defines only four scripts (dev, build, start, lint) and carries no testing framework as a dependency. Functional validation was performed manually through browser-based end-to-end walkthroughs and real-time Supabase inspection rather than automated test coverage. The recommended remediation is to introduce Vitest (compatible with the Next.js 16 / Vite toolchain) with React Testing Library for component-level tests, prioritising the 25 API route handlers and the core utility functions in src/lib/ as the highest-value targets for automated coverage.</w:t>
      </w:r>
    </w:p>
    <w:p>
      <w:pPr>
        <w:pStyle w:val="Heading2"/>
      </w:pPr>
      <w:r>
        <w:t>5.2  System Inspections</w:t>
      </w:r>
    </w:p>
    <w:p>
      <w:pPr/>
      <w:r>
        <w:t>Four formal inspection sessions were conducted during the development lifecycle, each timed to coincide with a sprint gate. Inspections followed the Fagan inspection method: Planning → Overview → Individual Preparation → Inspection Meeting → Rework → Follow-up. Findings were classified as Major (must fix before sprint close), Minor (fix in current or next sprint), or Observation (noted for future consideration).</w:t>
      </w:r>
    </w:p>
    <w:p>
      <w:pPr>
        <w:pStyle w:val="Heading3"/>
      </w:pPr>
      <w:r>
        <w:t>5.2.1  SRS Inspection (Sprint 2)</w:t>
      </w:r>
    </w:p>
    <w:p>
      <w:pPr/>
      <w:r>
        <w:t>Conducted at the end of Sprint 2 following the delivery of the Marketplace Core. The inspection reviewed the requirements traceability against the implemented API endpoints and the initial TypeScript interface definitions.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Pr>
                <w:b/>
              </w:rPr>
              <w:t>Finding ID</w:t>
            </w:r>
          </w:p>
        </w:tc>
        <w:tc>
          <w:tcPr>
            <w:tcW w:type="dxa" w:w="1584"/>
          </w:tcPr>
          <w:p>
            <w:r>
              <w:rPr>
                <w:b/>
              </w:rPr>
              <w:t>Category</w:t>
            </w:r>
          </w:p>
        </w:tc>
        <w:tc>
          <w:tcPr>
            <w:tcW w:type="dxa" w:w="1152"/>
          </w:tcPr>
          <w:p>
            <w:r>
              <w:rPr>
                <w:b/>
              </w:rPr>
              <w:t>Severity</w:t>
            </w:r>
          </w:p>
        </w:tc>
        <w:tc>
          <w:tcPr>
            <w:tcW w:type="dxa" w:w="3744"/>
          </w:tcPr>
          <w:p>
            <w:r>
              <w:rPr>
                <w:b/>
              </w:rPr>
              <w:t>Description</w:t>
            </w:r>
          </w:p>
        </w:tc>
        <w:tc>
          <w:tcPr>
            <w:tcW w:type="dxa" w:w="1584"/>
          </w:tcPr>
          <w:p>
            <w:r>
              <w:rPr>
                <w:b/>
              </w:rPr>
              <w:t>Resolution</w:t>
            </w:r>
          </w:p>
        </w:tc>
      </w:tr>
      <w:tr>
        <w:tc>
          <w:tcPr>
            <w:tcW w:type="dxa" w:w="1296"/>
          </w:tcPr>
          <w:p>
            <w:r>
              <w:t>INS1-01</w:t>
            </w:r>
          </w:p>
        </w:tc>
        <w:tc>
          <w:tcPr>
            <w:tcW w:type="dxa" w:w="1584"/>
          </w:tcPr>
          <w:p>
            <w:r>
              <w:t>Completeness</w:t>
            </w:r>
          </w:p>
        </w:tc>
        <w:tc>
          <w:tcPr>
            <w:tcW w:type="dxa" w:w="1152"/>
          </w:tcPr>
          <w:p>
            <w:r>
              <w:t>Major</w:t>
            </w:r>
          </w:p>
        </w:tc>
        <w:tc>
          <w:tcPr>
            <w:tcW w:type="dxa" w:w="3744"/>
          </w:tcPr>
          <w:p>
            <w:r>
              <w:t>UR-15 (bilingual UI) had no corresponding SR specifying the mechanism for locale detection and switching — the requirement was vague.</w:t>
            </w:r>
          </w:p>
        </w:tc>
        <w:tc>
          <w:tcPr>
            <w:tcW w:type="dxa" w:w="1584"/>
          </w:tcPr>
          <w:p>
            <w:r>
              <w:t>SR-12 expanded to explicitly reference next-intl and the locale routing middleware. Resolved before Sprint 3.</w:t>
            </w:r>
          </w:p>
        </w:tc>
      </w:tr>
      <w:tr>
        <w:tc>
          <w:tcPr>
            <w:tcW w:type="dxa" w:w="1296"/>
          </w:tcPr>
          <w:p>
            <w:r>
              <w:t>INS1-02</w:t>
            </w:r>
          </w:p>
        </w:tc>
        <w:tc>
          <w:tcPr>
            <w:tcW w:type="dxa" w:w="1584"/>
          </w:tcPr>
          <w:p>
            <w:r>
              <w:t>Consistency</w:t>
            </w:r>
          </w:p>
        </w:tc>
        <w:tc>
          <w:tcPr>
            <w:tcW w:type="dxa" w:w="1152"/>
          </w:tcPr>
          <w:p>
            <w:r>
              <w:t>Minor</w:t>
            </w:r>
          </w:p>
        </w:tc>
        <w:tc>
          <w:tcPr>
            <w:tcW w:type="dxa" w:w="3744"/>
          </w:tcPr>
          <w:p>
            <w:r>
              <w:t>MOQ constraint appeared in UR-08 (user requirement) but was not yet reflected in any system requirement, leaving the validation rule implicit.</w:t>
            </w:r>
          </w:p>
        </w:tc>
        <w:tc>
          <w:tcPr>
            <w:tcW w:type="dxa" w:w="1584"/>
          </w:tcPr>
          <w:p>
            <w:r>
              <w:t>SR-05 and SR-06 added explicitly to the SRS. Implemented in Sprint 3.</w:t>
            </w:r>
          </w:p>
        </w:tc>
      </w:tr>
      <w:tr>
        <w:tc>
          <w:tcPr>
            <w:tcW w:type="dxa" w:w="1296"/>
          </w:tcPr>
          <w:p>
            <w:r>
              <w:t>INS1-03</w:t>
            </w:r>
          </w:p>
        </w:tc>
        <w:tc>
          <w:tcPr>
            <w:tcW w:type="dxa" w:w="1584"/>
          </w:tcPr>
          <w:p>
            <w:r>
              <w:t>Correctness</w:t>
            </w:r>
          </w:p>
        </w:tc>
        <w:tc>
          <w:tcPr>
            <w:tcW w:type="dxa" w:w="1152"/>
          </w:tcPr>
          <w:p>
            <w:r>
              <w:t>Minor</w:t>
            </w:r>
          </w:p>
        </w:tc>
        <w:tc>
          <w:tcPr>
            <w:tcW w:type="dxa" w:w="3744"/>
          </w:tcPr>
          <w:p>
            <w:r>
              <w:t>FR-19 (GCC multi-market targeting) referenced an areas_served field that was not yet defined in the Brand TypeScript interface.</w:t>
            </w:r>
          </w:p>
        </w:tc>
        <w:tc>
          <w:tcPr>
            <w:tcW w:type="dxa" w:w="1584"/>
          </w:tcPr>
          <w:p>
            <w:r>
              <w:t>Field noted as deferred; FR-19 status updated to Partial (75%) in RTM.</w:t>
            </w:r>
          </w:p>
        </w:tc>
      </w:tr>
      <w:tr>
        <w:tc>
          <w:tcPr>
            <w:tcW w:type="dxa" w:w="1296"/>
          </w:tcPr>
          <w:p>
            <w:r>
              <w:t>INS1-04</w:t>
            </w:r>
          </w:p>
        </w:tc>
        <w:tc>
          <w:tcPr>
            <w:tcW w:type="dxa" w:w="1584"/>
          </w:tcPr>
          <w:p>
            <w:r>
              <w:t>Completeness</w:t>
            </w:r>
          </w:p>
        </w:tc>
        <w:tc>
          <w:tcPr>
            <w:tcW w:type="dxa" w:w="1152"/>
          </w:tcPr>
          <w:p>
            <w:r>
              <w:t>Observation</w:t>
            </w:r>
          </w:p>
        </w:tc>
        <w:tc>
          <w:tcPr>
            <w:tcW w:type="dxa" w:w="3744"/>
          </w:tcPr>
          <w:p>
            <w:r>
              <w:t>No requirement addressed data retention or right-to-erasure obligations under Kuwait's Personal Data Protection Law.</w:t>
            </w:r>
          </w:p>
        </w:tc>
        <w:tc>
          <w:tcPr>
            <w:tcW w:type="dxa" w:w="1584"/>
          </w:tcPr>
          <w:p>
            <w:r>
              <w:t>Deferred to System Evolution chapter (SC-07). Risk logged as R-07.</w:t>
            </w:r>
          </w:p>
        </w:tc>
      </w:tr>
    </w:tbl>
    <w:p/>
    <w:p>
      <w:pPr>
        <w:pStyle w:val="Heading3"/>
      </w:pPr>
      <w:r>
        <w:t>5.2.2  Architecture Inspection (Sprint 3)</w:t>
      </w:r>
    </w:p>
    <w:p>
      <w:pPr/>
      <w:r>
        <w:t>Conducted at the end of Sprint 3 following delivery of the Order Lifecycle subsystem. The inspection reviewed the four-layer architecture against the implemented codebase structure and the data access abstraction 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Pr>
                <w:b/>
              </w:rPr>
              <w:t>Finding ID</w:t>
            </w:r>
          </w:p>
        </w:tc>
        <w:tc>
          <w:tcPr>
            <w:tcW w:type="dxa" w:w="1584"/>
          </w:tcPr>
          <w:p>
            <w:r>
              <w:rPr>
                <w:b/>
              </w:rPr>
              <w:t>Category</w:t>
            </w:r>
          </w:p>
        </w:tc>
        <w:tc>
          <w:tcPr>
            <w:tcW w:type="dxa" w:w="1152"/>
          </w:tcPr>
          <w:p>
            <w:r>
              <w:rPr>
                <w:b/>
              </w:rPr>
              <w:t>Severity</w:t>
            </w:r>
          </w:p>
        </w:tc>
        <w:tc>
          <w:tcPr>
            <w:tcW w:type="dxa" w:w="3744"/>
          </w:tcPr>
          <w:p>
            <w:r>
              <w:rPr>
                <w:b/>
              </w:rPr>
              <w:t>Description</w:t>
            </w:r>
          </w:p>
        </w:tc>
        <w:tc>
          <w:tcPr>
            <w:tcW w:type="dxa" w:w="1584"/>
          </w:tcPr>
          <w:p>
            <w:r>
              <w:rPr>
                <w:b/>
              </w:rPr>
              <w:t>Resolution</w:t>
            </w:r>
          </w:p>
        </w:tc>
      </w:tr>
      <w:tr>
        <w:tc>
          <w:tcPr>
            <w:tcW w:type="dxa" w:w="1296"/>
          </w:tcPr>
          <w:p>
            <w:r>
              <w:t>INS2-01</w:t>
            </w:r>
          </w:p>
        </w:tc>
        <w:tc>
          <w:tcPr>
            <w:tcW w:type="dxa" w:w="1584"/>
          </w:tcPr>
          <w:p>
            <w:r>
              <w:t>Design</w:t>
            </w:r>
          </w:p>
        </w:tc>
        <w:tc>
          <w:tcPr>
            <w:tcW w:type="dxa" w:w="1152"/>
          </w:tcPr>
          <w:p>
            <w:r>
              <w:t>Major</w:t>
            </w:r>
          </w:p>
        </w:tc>
        <w:tc>
          <w:tcPr>
            <w:tcW w:type="dxa" w:w="3744"/>
          </w:tcPr>
          <w:p>
            <w:r>
              <w:t>The readDB() / writeDB() pattern used synchronous Node.js file I/O (fs.readFileSync, fs.writeFileSync), blocking the event loop on every API call — a critical performance and concurrency issue.</w:t>
            </w:r>
          </w:p>
        </w:tc>
        <w:tc>
          <w:tcPr>
            <w:tcW w:type="dxa" w:w="1584"/>
          </w:tcPr>
          <w:p>
            <w:r>
              <w:t>Documented as Risk R-09. Mitigation: PostgreSQL migration (SC-01) listed as critical post-submission action. Interim: async I/O conversion recommended.</w:t>
            </w:r>
          </w:p>
        </w:tc>
      </w:tr>
      <w:tr>
        <w:tc>
          <w:tcPr>
            <w:tcW w:type="dxa" w:w="1296"/>
          </w:tcPr>
          <w:p>
            <w:r>
              <w:t>INS2-02</w:t>
            </w:r>
          </w:p>
        </w:tc>
        <w:tc>
          <w:tcPr>
            <w:tcW w:type="dxa" w:w="1584"/>
          </w:tcPr>
          <w:p>
            <w:r>
              <w:t>Security</w:t>
            </w:r>
          </w:p>
        </w:tc>
        <w:tc>
          <w:tcPr>
            <w:tcW w:type="dxa" w:w="1152"/>
          </w:tcPr>
          <w:p>
            <w:r>
              <w:t>Major</w:t>
            </w:r>
          </w:p>
        </w:tc>
        <w:tc>
          <w:tcPr>
            <w:tcW w:type="dxa" w:w="3744"/>
          </w:tcPr>
          <w:p>
            <w:r>
              <w:t>Concurrent requests to POST /api/orders could both pass the stock-check guard before either write completes, enabling overselling — a race condition.</w:t>
            </w:r>
          </w:p>
        </w:tc>
        <w:tc>
          <w:tcPr>
            <w:tcW w:type="dxa" w:w="1584"/>
          </w:tcPr>
          <w:p>
            <w:r>
              <w:t>Documented as Risk R-01 (Exposure: 25 — maximum score). PostgreSQL ACID transactions are the required fix.</w:t>
            </w:r>
          </w:p>
        </w:tc>
      </w:tr>
      <w:tr>
        <w:tc>
          <w:tcPr>
            <w:tcW w:type="dxa" w:w="1296"/>
          </w:tcPr>
          <w:p>
            <w:r>
              <w:t>INS2-03</w:t>
            </w:r>
          </w:p>
        </w:tc>
        <w:tc>
          <w:tcPr>
            <w:tcW w:type="dxa" w:w="1584"/>
          </w:tcPr>
          <w:p>
            <w:r>
              <w:t>Maintainability</w:t>
            </w:r>
          </w:p>
        </w:tc>
        <w:tc>
          <w:tcPr>
            <w:tcW w:type="dxa" w:w="1152"/>
          </w:tcPr>
          <w:p>
            <w:r>
              <w:t>Minor</w:t>
            </w:r>
          </w:p>
        </w:tc>
        <w:tc>
          <w:tcPr>
            <w:tcW w:type="dxa" w:w="3744"/>
          </w:tcPr>
          <w:p>
            <w:r>
              <w:t>Notification creation logic was duplicated inline in several API handlers rather than delegated to a shared utility.</w:t>
            </w:r>
          </w:p>
        </w:tc>
        <w:tc>
          <w:tcPr>
            <w:tcW w:type="dxa" w:w="1584"/>
          </w:tcPr>
          <w:p>
            <w:r>
              <w:t>Consolidated into src/lib/notifications.ts (CR-008) — createNotification() and createNotificationForMany() utilities.</w:t>
            </w:r>
          </w:p>
        </w:tc>
      </w:tr>
      <w:tr>
        <w:tc>
          <w:tcPr>
            <w:tcW w:type="dxa" w:w="1296"/>
          </w:tcPr>
          <w:p>
            <w:r>
              <w:t>INS2-04</w:t>
            </w:r>
          </w:p>
        </w:tc>
        <w:tc>
          <w:tcPr>
            <w:tcW w:type="dxa" w:w="1584"/>
          </w:tcPr>
          <w:p>
            <w:r>
              <w:t>Architecture</w:t>
            </w:r>
          </w:p>
        </w:tc>
        <w:tc>
          <w:tcPr>
            <w:tcW w:type="dxa" w:w="1152"/>
          </w:tcPr>
          <w:p>
            <w:r>
              <w:t>Observation</w:t>
            </w:r>
          </w:p>
        </w:tc>
        <w:tc>
          <w:tcPr>
            <w:tcW w:type="dxa" w:w="3744"/>
          </w:tcPr>
          <w:p>
            <w:r>
              <w:t>The Supabase client factory was imported inconsistently — some handlers used the server client, others referenced a stale local import.</w:t>
            </w:r>
          </w:p>
        </w:tc>
        <w:tc>
          <w:tcPr>
            <w:tcW w:type="dxa" w:w="1584"/>
          </w:tcPr>
          <w:p>
            <w:r>
              <w:t>Standardised via src/utils/supabase/server.ts factory in CR-004.</w:t>
            </w:r>
          </w:p>
        </w:tc>
      </w:tr>
    </w:tbl>
    <w:p/>
    <w:p>
      <w:pPr>
        <w:pStyle w:val="Heading3"/>
      </w:pPr>
      <w:r>
        <w:t>5.2.3  Design Models Inspection (Sprint 4)</w:t>
      </w:r>
    </w:p>
    <w:p>
      <w:pPr/>
      <w:r>
        <w:t>Conducted at the end of Sprint 4 following delivery of Brand Owner Tools and the initial Trust Engine design. The inspection reviewed the class diagram, the entity interface definitions, and the bulk-pricing tier data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Pr>
                <w:b/>
              </w:rPr>
              <w:t>Finding ID</w:t>
            </w:r>
          </w:p>
        </w:tc>
        <w:tc>
          <w:tcPr>
            <w:tcW w:type="dxa" w:w="1584"/>
          </w:tcPr>
          <w:p>
            <w:r>
              <w:rPr>
                <w:b/>
              </w:rPr>
              <w:t>Category</w:t>
            </w:r>
          </w:p>
        </w:tc>
        <w:tc>
          <w:tcPr>
            <w:tcW w:type="dxa" w:w="1152"/>
          </w:tcPr>
          <w:p>
            <w:r>
              <w:rPr>
                <w:b/>
              </w:rPr>
              <w:t>Severity</w:t>
            </w:r>
          </w:p>
        </w:tc>
        <w:tc>
          <w:tcPr>
            <w:tcW w:type="dxa" w:w="3744"/>
          </w:tcPr>
          <w:p>
            <w:r>
              <w:rPr>
                <w:b/>
              </w:rPr>
              <w:t>Description</w:t>
            </w:r>
          </w:p>
        </w:tc>
        <w:tc>
          <w:tcPr>
            <w:tcW w:type="dxa" w:w="1584"/>
          </w:tcPr>
          <w:p>
            <w:r>
              <w:rPr>
                <w:b/>
              </w:rPr>
              <w:t>Resolution</w:t>
            </w:r>
          </w:p>
        </w:tc>
      </w:tr>
      <w:tr>
        <w:tc>
          <w:tcPr>
            <w:tcW w:type="dxa" w:w="1296"/>
          </w:tcPr>
          <w:p>
            <w:r>
              <w:t>INS3-01</w:t>
            </w:r>
          </w:p>
        </w:tc>
        <w:tc>
          <w:tcPr>
            <w:tcW w:type="dxa" w:w="1584"/>
          </w:tcPr>
          <w:p>
            <w:r>
              <w:t>Correctness</w:t>
            </w:r>
          </w:p>
        </w:tc>
        <w:tc>
          <w:tcPr>
            <w:tcW w:type="dxa" w:w="1152"/>
          </w:tcPr>
          <w:p>
            <w:r>
              <w:t>Major</w:t>
            </w:r>
          </w:p>
        </w:tc>
        <w:tc>
          <w:tcPr>
            <w:tcW w:type="dxa" w:w="3744"/>
          </w:tcPr>
          <w:p>
            <w:r>
              <w:t>BulkPricingTier had no id field, yet the initial design treated it as a standalone table row, creating a schema inconsistency.</w:t>
            </w:r>
          </w:p>
        </w:tc>
        <w:tc>
          <w:tcPr>
            <w:tcW w:type="dxa" w:w="1584"/>
          </w:tcPr>
          <w:p>
            <w:r>
              <w:t>Redesigned as a value object embedded inside Product.bulk_pricing_tiers[] (composition). max_qty nullable to support open-ended upper tiers.</w:t>
            </w:r>
          </w:p>
        </w:tc>
      </w:tr>
      <w:tr>
        <w:tc>
          <w:tcPr>
            <w:tcW w:type="dxa" w:w="1296"/>
          </w:tcPr>
          <w:p>
            <w:r>
              <w:t>INS3-02</w:t>
            </w:r>
          </w:p>
        </w:tc>
        <w:tc>
          <w:tcPr>
            <w:tcW w:type="dxa" w:w="1584"/>
          </w:tcPr>
          <w:p>
            <w:r>
              <w:t>Completeness</w:t>
            </w:r>
          </w:p>
        </w:tc>
        <w:tc>
          <w:tcPr>
            <w:tcW w:type="dxa" w:w="1152"/>
          </w:tcPr>
          <w:p>
            <w:r>
              <w:t>Minor</w:t>
            </w:r>
          </w:p>
        </w:tc>
        <w:tc>
          <w:tcPr>
            <w:tcW w:type="dxa" w:w="3744"/>
          </w:tcPr>
          <w:p>
            <w:r>
              <w:t>BrandTrust schema was missing the orders_this_month and total_fulfilled fields required by the planned badge-threshold logic.</w:t>
            </w:r>
          </w:p>
        </w:tc>
        <w:tc>
          <w:tcPr>
            <w:tcW w:type="dxa" w:w="1584"/>
          </w:tcPr>
          <w:p>
            <w:r>
              <w:t>Fields added to BrandTrust interface in db.ts. Badge thresholds defined.</w:t>
            </w:r>
          </w:p>
        </w:tc>
      </w:tr>
      <w:tr>
        <w:tc>
          <w:tcPr>
            <w:tcW w:type="dxa" w:w="1296"/>
          </w:tcPr>
          <w:p>
            <w:r>
              <w:t>INS3-03</w:t>
            </w:r>
          </w:p>
        </w:tc>
        <w:tc>
          <w:tcPr>
            <w:tcW w:type="dxa" w:w="1584"/>
          </w:tcPr>
          <w:p>
            <w:r>
              <w:t>Consistency</w:t>
            </w:r>
          </w:p>
        </w:tc>
        <w:tc>
          <w:tcPr>
            <w:tcW w:type="dxa" w:w="1152"/>
          </w:tcPr>
          <w:p>
            <w:r>
              <w:t>Minor</w:t>
            </w:r>
          </w:p>
        </w:tc>
        <w:tc>
          <w:tcPr>
            <w:tcW w:type="dxa" w:w="3744"/>
          </w:tcPr>
          <w:p>
            <w:r>
              <w:t>Review.order_id was typed as String but needed to support null for reviews submitted outside a specific order context.</w:t>
            </w:r>
          </w:p>
        </w:tc>
        <w:tc>
          <w:tcPr>
            <w:tcW w:type="dxa" w:w="1584"/>
          </w:tcPr>
          <w:p>
            <w:r>
              <w:t>Type updated to String | null across interface, API handler, and UI layer.</w:t>
            </w:r>
          </w:p>
        </w:tc>
      </w:tr>
      <w:tr>
        <w:tc>
          <w:tcPr>
            <w:tcW w:type="dxa" w:w="1296"/>
          </w:tcPr>
          <w:p>
            <w:r>
              <w:t>INS3-04</w:t>
            </w:r>
          </w:p>
        </w:tc>
        <w:tc>
          <w:tcPr>
            <w:tcW w:type="dxa" w:w="1584"/>
          </w:tcPr>
          <w:p>
            <w:r>
              <w:t>Design</w:t>
            </w:r>
          </w:p>
        </w:tc>
        <w:tc>
          <w:tcPr>
            <w:tcW w:type="dxa" w:w="1152"/>
          </w:tcPr>
          <w:p>
            <w:r>
              <w:t>Observation</w:t>
            </w:r>
          </w:p>
        </w:tc>
        <w:tc>
          <w:tcPr>
            <w:tcW w:type="dxa" w:w="3744"/>
          </w:tcPr>
          <w:p>
            <w:r>
              <w:t>The Message entity was defined in db.ts but had no corresponding API route or UI component — a dead schema definition.</w:t>
            </w:r>
          </w:p>
        </w:tc>
        <w:tc>
          <w:tcPr>
            <w:tcW w:type="dxa" w:w="1584"/>
          </w:tcPr>
          <w:p>
            <w:r>
              <w:t>Noted as deferred capability. No route created. Listed as future work.</w:t>
            </w:r>
          </w:p>
        </w:tc>
      </w:tr>
    </w:tbl>
    <w:p/>
    <w:p>
      <w:pPr>
        <w:pStyle w:val="Heading3"/>
      </w:pPr>
      <w:r>
        <w:t>5.2.4  Code Inspection (Sprint 6 — 5 Findings)</w:t>
      </w:r>
    </w:p>
    <w:p>
      <w:pPr/>
      <w:r>
        <w:t>Conducted at the end of Sprint 6 following delivery of the Admin Dashboard and the notification system. This was the most critical inspection of the project, uncovering two security vulnerabilities classified as Major that required immediate remediation before any public-facing deployment.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52"/>
          </w:tcPr>
          <w:p>
            <w:r>
              <w:rPr>
                <w:b/>
              </w:rPr>
              <w:t>Finding ID</w:t>
            </w:r>
          </w:p>
        </w:tc>
        <w:tc>
          <w:tcPr>
            <w:tcW w:type="dxa" w:w="1296"/>
          </w:tcPr>
          <w:p>
            <w:r>
              <w:rPr>
                <w:b/>
              </w:rPr>
              <w:t>Category</w:t>
            </w:r>
          </w:p>
        </w:tc>
        <w:tc>
          <w:tcPr>
            <w:tcW w:type="dxa" w:w="1008"/>
          </w:tcPr>
          <w:p>
            <w:r>
              <w:rPr>
                <w:b/>
              </w:rPr>
              <w:t>Severity</w:t>
            </w:r>
          </w:p>
        </w:tc>
        <w:tc>
          <w:tcPr>
            <w:tcW w:type="dxa" w:w="1872"/>
          </w:tcPr>
          <w:p>
            <w:r>
              <w:rPr>
                <w:b/>
              </w:rPr>
              <w:t>File(s) Affected</w:t>
            </w:r>
          </w:p>
        </w:tc>
        <w:tc>
          <w:tcPr>
            <w:tcW w:type="dxa" w:w="2880"/>
          </w:tcPr>
          <w:p>
            <w:r>
              <w:rPr>
                <w:b/>
              </w:rPr>
              <w:t>Description</w:t>
            </w:r>
          </w:p>
        </w:tc>
        <w:tc>
          <w:tcPr>
            <w:tcW w:type="dxa" w:w="1872"/>
          </w:tcPr>
          <w:p>
            <w:r>
              <w:rPr>
                <w:b/>
              </w:rPr>
              <w:t>Resolution</w:t>
            </w:r>
          </w:p>
        </w:tc>
      </w:tr>
      <w:tr>
        <w:tc>
          <w:tcPr>
            <w:tcW w:type="dxa" w:w="1152"/>
          </w:tcPr>
          <w:p>
            <w:r>
              <w:t>INS4-01</w:t>
            </w:r>
          </w:p>
        </w:tc>
        <w:tc>
          <w:tcPr>
            <w:tcW w:type="dxa" w:w="1296"/>
          </w:tcPr>
          <w:p>
            <w:r>
              <w:t>Security</w:t>
            </w:r>
          </w:p>
        </w:tc>
        <w:tc>
          <w:tcPr>
            <w:tcW w:type="dxa" w:w="1008"/>
          </w:tcPr>
          <w:p>
            <w:r>
              <w:t>Critical</w:t>
            </w:r>
          </w:p>
        </w:tc>
        <w:tc>
          <w:tcPr>
            <w:tcW w:type="dxa" w:w="1872"/>
          </w:tcPr>
          <w:p>
            <w:r>
              <w:t>BrandCard.tsx, ReviewCard.tsx, LandingPage.tsx</w:t>
            </w:r>
          </w:p>
        </w:tc>
        <w:tc>
          <w:tcPr>
            <w:tcW w:type="dxa" w:w="2880"/>
          </w:tcPr>
          <w:p>
            <w:r>
              <w:t>XSS vulnerability: several components rendered user-supplied content as raw HTML output without sanitisation, enabling script-injection attacks.</w:t>
            </w:r>
          </w:p>
        </w:tc>
        <w:tc>
          <w:tcPr>
            <w:tcW w:type="dxa" w:w="1872"/>
          </w:tcPr>
          <w:p>
            <w:r>
              <w:t>Applied React JSX escaping across all affected components. Hardened session cookies: b2b_user_id set to httpOnly: true, SameSite: 'lax'. Closed in CR-005.</w:t>
            </w:r>
          </w:p>
        </w:tc>
      </w:tr>
      <w:tr>
        <w:tc>
          <w:tcPr>
            <w:tcW w:type="dxa" w:w="1152"/>
          </w:tcPr>
          <w:p>
            <w:r>
              <w:t>INS4-02</w:t>
            </w:r>
          </w:p>
        </w:tc>
        <w:tc>
          <w:tcPr>
            <w:tcW w:type="dxa" w:w="1296"/>
          </w:tcPr>
          <w:p>
            <w:r>
              <w:t>Security</w:t>
            </w:r>
          </w:p>
        </w:tc>
        <w:tc>
          <w:tcPr>
            <w:tcW w:type="dxa" w:w="1008"/>
          </w:tcPr>
          <w:p>
            <w:r>
              <w:t>Critical</w:t>
            </w:r>
          </w:p>
        </w:tc>
        <w:tc>
          <w:tcPr>
            <w:tcW w:type="dxa" w:w="1872"/>
          </w:tcPr>
          <w:p>
            <w:r>
              <w:t>api/auth/register/route.ts (line 23), api/auth/login/route.ts (line 9)</w:t>
            </w:r>
          </w:p>
        </w:tc>
        <w:tc>
          <w:tcPr>
            <w:tcW w:type="dxa" w:w="2880"/>
          </w:tcPr>
          <w:p>
            <w:r>
              <w:t>Plain-text password storage: user passwords stored without cryptographic hashing in db.json, exposing all credentials on any read access.</w:t>
            </w:r>
          </w:p>
        </w:tc>
        <w:tc>
          <w:tcPr>
            <w:tcW w:type="dxa" w:w="1872"/>
          </w:tcPr>
          <w:p>
            <w:r>
              <w:t>Documented as Risk R-02 (Exposure: 20). Requires argon2id / bcrypt migration before production. Blocked by PostgreSQL / Supabase Auth migration (SC-01).</w:t>
            </w:r>
          </w:p>
        </w:tc>
      </w:tr>
      <w:tr>
        <w:tc>
          <w:tcPr>
            <w:tcW w:type="dxa" w:w="1152"/>
          </w:tcPr>
          <w:p>
            <w:r>
              <w:t>INS4-03</w:t>
            </w:r>
          </w:p>
        </w:tc>
        <w:tc>
          <w:tcPr>
            <w:tcW w:type="dxa" w:w="1296"/>
          </w:tcPr>
          <w:p>
            <w:r>
              <w:t>Security</w:t>
            </w:r>
          </w:p>
        </w:tc>
        <w:tc>
          <w:tcPr>
            <w:tcW w:type="dxa" w:w="1008"/>
          </w:tcPr>
          <w:p>
            <w:r>
              <w:t>Major</w:t>
            </w:r>
          </w:p>
        </w:tc>
        <w:tc>
          <w:tcPr>
            <w:tcW w:type="dxa" w:w="1872"/>
          </w:tcPr>
          <w:p>
            <w:r>
              <w:t>api/auth/login/route.ts</w:t>
            </w:r>
          </w:p>
        </w:tc>
        <w:tc>
          <w:tcPr>
            <w:tcW w:type="dxa" w:w="2880"/>
          </w:tcPr>
          <w:p>
            <w:r>
              <w:t>No rate limiting on the login endpoint — brute-force credential attacks are unrestricted, with no lockout, delay, or CAPTCHA mechanism.</w:t>
            </w:r>
          </w:p>
        </w:tc>
        <w:tc>
          <w:tcPr>
            <w:tcW w:type="dxa" w:w="1872"/>
          </w:tcPr>
          <w:p>
            <w:r>
              <w:t>Documented as risk finding. Mitigation: Vercel Edge Middleware rate limiting to be implemented post-submission. Logged in Risk R-04.</w:t>
            </w:r>
          </w:p>
        </w:tc>
      </w:tr>
      <w:tr>
        <w:tc>
          <w:tcPr>
            <w:tcW w:type="dxa" w:w="1152"/>
          </w:tcPr>
          <w:p>
            <w:r>
              <w:t>INS4-04</w:t>
            </w:r>
          </w:p>
        </w:tc>
        <w:tc>
          <w:tcPr>
            <w:tcW w:type="dxa" w:w="1296"/>
          </w:tcPr>
          <w:p>
            <w:r>
              <w:t>Performance</w:t>
            </w:r>
          </w:p>
        </w:tc>
        <w:tc>
          <w:tcPr>
            <w:tcW w:type="dxa" w:w="1008"/>
          </w:tcPr>
          <w:p>
            <w:r>
              <w:t>Minor</w:t>
            </w:r>
          </w:p>
        </w:tc>
        <w:tc>
          <w:tcPr>
            <w:tcW w:type="dxa" w:w="1872"/>
          </w:tcPr>
          <w:p>
            <w:r>
              <w:t>src/lib/db.ts: readDB(), writeDB()</w:t>
            </w:r>
          </w:p>
        </w:tc>
        <w:tc>
          <w:tcPr>
            <w:tcW w:type="dxa" w:w="2880"/>
          </w:tcPr>
          <w:p>
            <w:r>
              <w:t>Synchronous fs.readFileSync / fs.writeFileSync block the Node.js event loop on every database operation, causing request queuing under concurrent load.</w:t>
            </w:r>
          </w:p>
        </w:tc>
        <w:tc>
          <w:tcPr>
            <w:tcW w:type="dxa" w:w="1872"/>
          </w:tcPr>
          <w:p>
            <w:r>
              <w:t>Interim fix: convert to async fs.promises equivalents. Full resolution via PostgreSQL migration (SC-01). Logged as Risk R-09.</w:t>
            </w:r>
          </w:p>
        </w:tc>
      </w:tr>
      <w:tr>
        <w:tc>
          <w:tcPr>
            <w:tcW w:type="dxa" w:w="1152"/>
          </w:tcPr>
          <w:p>
            <w:r>
              <w:t>INS4-05</w:t>
            </w:r>
          </w:p>
        </w:tc>
        <w:tc>
          <w:tcPr>
            <w:tcW w:type="dxa" w:w="1296"/>
          </w:tcPr>
          <w:p>
            <w:r>
              <w:t>Robustness</w:t>
            </w:r>
          </w:p>
        </w:tc>
        <w:tc>
          <w:tcPr>
            <w:tcW w:type="dxa" w:w="1008"/>
          </w:tcPr>
          <w:p>
            <w:r>
              <w:t>Minor</w:t>
            </w:r>
          </w:p>
        </w:tc>
        <w:tc>
          <w:tcPr>
            <w:tcW w:type="dxa" w:w="1872"/>
          </w:tcPr>
          <w:p>
            <w:r>
              <w:t>Multiple API route handlers</w:t>
            </w:r>
          </w:p>
        </w:tc>
        <w:tc>
          <w:tcPr>
            <w:tcW w:type="dxa" w:w="2880"/>
          </w:tcPr>
          <w:p>
            <w:r>
              <w:t>Several handlers lacked try/catch blocks around the readDB() call, meaning a JSON parse error would propagate as an unhandled 500 rather than a structured error response.</w:t>
            </w:r>
          </w:p>
        </w:tc>
        <w:tc>
          <w:tcPr>
            <w:tcW w:type="dxa" w:w="1872"/>
          </w:tcPr>
          <w:p>
            <w:r>
              <w:t>Error handling wrappers added to all affected handlers during Sprint 7 polish cycle. All API routes now return structured JSON error objects.</w:t>
            </w:r>
          </w:p>
        </w:tc>
      </w:tr>
    </w:tbl>
    <w:p/>
    <w:p>
      <w:pPr>
        <w:pStyle w:val="Heading2"/>
      </w:pPr>
      <w:r>
        <w:t>5.3  System Testing</w:t>
      </w:r>
    </w:p>
    <w:p>
      <w:pPr/>
      <w:r>
        <w:t>System testing was conducted against the integrated Kuwait B2B Hub platform using the seeded demo dataset. All tests were executed manually by team members in Chrome and Safari browsers on macOS Ventura. The test environment used the Vercel production deployment, ensuring that server-side rendering, cookie handling, and API route behaviour matched the live system.</w:t>
      </w:r>
    </w:p>
    <w:p>
      <w:pPr>
        <w:pStyle w:val="Heading3"/>
      </w:pPr>
      <w:r>
        <w:t>5.3.1  Unit Testing</w:t>
      </w:r>
    </w:p>
    <w:p>
      <w:pPr/>
      <w:r>
        <w:t>Unit testing targeted individual functions in the src/lib/ utility layer. In the absence of an automated test runner, each function was exercised by observing its output through the API route handler that calls it, using a combination of browser network inspection and Supabase table editor verification. Key units tested: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tcPr>
          <w:p>
            <w:r>
              <w:rPr>
                <w:b/>
              </w:rPr>
              <w:t>Unit Under Test</w:t>
            </w:r>
          </w:p>
        </w:tc>
        <w:tc>
          <w:tcPr>
            <w:tcW w:type="dxa" w:w="2016"/>
          </w:tcPr>
          <w:p>
            <w:r>
              <w:rPr>
                <w:b/>
              </w:rPr>
              <w:t>File</w:t>
            </w:r>
          </w:p>
        </w:tc>
        <w:tc>
          <w:tcPr>
            <w:tcW w:type="dxa" w:w="3024"/>
          </w:tcPr>
          <w:p>
            <w:r>
              <w:rPr>
                <w:b/>
              </w:rPr>
              <w:t>Method</w:t>
            </w:r>
          </w:p>
        </w:tc>
        <w:tc>
          <w:tcPr>
            <w:tcW w:type="dxa" w:w="2016"/>
          </w:tcPr>
          <w:p>
            <w:r>
              <w:rPr>
                <w:b/>
              </w:rPr>
              <w:t>Test Cases Executed</w:t>
            </w:r>
          </w:p>
        </w:tc>
        <w:tc>
          <w:tcPr>
            <w:tcW w:type="dxa" w:w="1584"/>
          </w:tcPr>
          <w:p>
            <w:r>
              <w:rPr>
                <w:b/>
              </w:rPr>
              <w:t>Outcome</w:t>
            </w:r>
          </w:p>
        </w:tc>
      </w:tr>
      <w:tr>
        <w:tc>
          <w:tcPr>
            <w:tcW w:type="dxa" w:w="2160"/>
          </w:tcPr>
          <w:p>
            <w:r>
              <w:t>generateId()</w:t>
            </w:r>
          </w:p>
        </w:tc>
        <w:tc>
          <w:tcPr>
            <w:tcW w:type="dxa" w:w="2016"/>
          </w:tcPr>
          <w:p>
            <w:r>
              <w:t>src/lib/db.ts</w:t>
            </w:r>
          </w:p>
        </w:tc>
        <w:tc>
          <w:tcPr>
            <w:tcW w:type="dxa" w:w="3024"/>
          </w:tcPr>
          <w:p>
            <w:r>
              <w:t>Manual — register 10 users, verify all IDs are unique and match prefix format</w:t>
            </w:r>
          </w:p>
        </w:tc>
        <w:tc>
          <w:tcPr>
            <w:tcW w:type="dxa" w:w="2016"/>
          </w:tcPr>
          <w:p>
            <w:r>
              <w:t>10 uniqueness checks</w:t>
            </w:r>
          </w:p>
        </w:tc>
        <w:tc>
          <w:tcPr>
            <w:tcW w:type="dxa" w:w="1584"/>
          </w:tcPr>
          <w:p>
            <w:r>
              <w:t>Pass — no collisions observed</w:t>
            </w:r>
          </w:p>
        </w:tc>
      </w:tr>
      <w:tr>
        <w:tc>
          <w:tcPr>
            <w:tcW w:type="dxa" w:w="2160"/>
          </w:tcPr>
          <w:p>
            <w:r>
              <w:t>readDB() / writeDB()</w:t>
            </w:r>
          </w:p>
        </w:tc>
        <w:tc>
          <w:tcPr>
            <w:tcW w:type="dxa" w:w="2016"/>
          </w:tcPr>
          <w:p>
            <w:r>
              <w:t>src/lib/db.ts</w:t>
            </w:r>
          </w:p>
        </w:tc>
        <w:tc>
          <w:tcPr>
            <w:tcW w:type="dxa" w:w="3024"/>
          </w:tcPr>
          <w:p>
            <w:r>
              <w:t>Manual — write an order, re-read DB, verify persistence</w:t>
            </w:r>
          </w:p>
        </w:tc>
        <w:tc>
          <w:tcPr>
            <w:tcW w:type="dxa" w:w="2016"/>
          </w:tcPr>
          <w:p>
            <w:r>
              <w:t>5 write-then-read cycles</w:t>
            </w:r>
          </w:p>
        </w:tc>
        <w:tc>
          <w:tcPr>
            <w:tcW w:type="dxa" w:w="1584"/>
          </w:tcPr>
          <w:p>
            <w:r>
              <w:t>Pass — data consistent across reads</w:t>
            </w:r>
          </w:p>
        </w:tc>
      </w:tr>
      <w:tr>
        <w:tc>
          <w:tcPr>
            <w:tcW w:type="dxa" w:w="2160"/>
          </w:tcPr>
          <w:p>
            <w:r>
              <w:t>formatCurrency()</w:t>
            </w:r>
          </w:p>
        </w:tc>
        <w:tc>
          <w:tcPr>
            <w:tcW w:type="dxa" w:w="2016"/>
          </w:tcPr>
          <w:p>
            <w:r>
              <w:t>src/lib/currencies.ts</w:t>
            </w:r>
          </w:p>
        </w:tc>
        <w:tc>
          <w:tcPr>
            <w:tcW w:type="dxa" w:w="3024"/>
          </w:tcPr>
          <w:p>
            <w:r>
              <w:t>Manual — switch currency selector to each of 4 GCC currencies, verify formatted output</w:t>
            </w:r>
          </w:p>
        </w:tc>
        <w:tc>
          <w:tcPr>
            <w:tcW w:type="dxa" w:w="2016"/>
          </w:tcPr>
          <w:p>
            <w:r>
              <w:t>4 currencies × 3 price points</w:t>
            </w:r>
          </w:p>
        </w:tc>
        <w:tc>
          <w:tcPr>
            <w:tcW w:type="dxa" w:w="1584"/>
          </w:tcPr>
          <w:p>
            <w:r>
              <w:t>Pass — correct symbol, decimal precision</w:t>
            </w:r>
          </w:p>
        </w:tc>
      </w:tr>
      <w:tr>
        <w:tc>
          <w:tcPr>
            <w:tcW w:type="dxa" w:w="2160"/>
          </w:tcPr>
          <w:p>
            <w:r>
              <w:t>createNotification()</w:t>
            </w:r>
          </w:p>
        </w:tc>
        <w:tc>
          <w:tcPr>
            <w:tcW w:type="dxa" w:w="2016"/>
          </w:tcPr>
          <w:p>
            <w:r>
              <w:t>src/lib/notifications.ts</w:t>
            </w:r>
          </w:p>
        </w:tc>
        <w:tc>
          <w:tcPr>
            <w:tcW w:type="dxa" w:w="3024"/>
          </w:tcPr>
          <w:p>
            <w:r>
              <w:t>Manual — trigger each of 10 notification events, inspect Supabase notifications table</w:t>
            </w:r>
          </w:p>
        </w:tc>
        <w:tc>
          <w:tcPr>
            <w:tcW w:type="dxa" w:w="2016"/>
          </w:tcPr>
          <w:p>
            <w:r>
              <w:t>10 event types</w:t>
            </w:r>
          </w:p>
        </w:tc>
        <w:tc>
          <w:tcPr>
            <w:tcW w:type="dxa" w:w="1584"/>
          </w:tcPr>
          <w:p>
            <w:r>
              <w:t>Pass — all notification records created correctly</w:t>
            </w:r>
          </w:p>
        </w:tc>
      </w:tr>
      <w:tr>
        <w:tc>
          <w:tcPr>
            <w:tcW w:type="dxa" w:w="2160"/>
          </w:tcPr>
          <w:p>
            <w:r>
              <w:t>bulk pricing resolver</w:t>
            </w:r>
          </w:p>
        </w:tc>
        <w:tc>
          <w:tcPr>
            <w:tcW w:type="dxa" w:w="2016"/>
          </w:tcPr>
          <w:p>
            <w:r>
              <w:t>api/orders/route.ts</w:t>
            </w:r>
          </w:p>
        </w:tc>
        <w:tc>
          <w:tcPr>
            <w:tcW w:type="dxa" w:w="3024"/>
          </w:tcPr>
          <w:p>
            <w:r>
              <w:t>Manual — place orders at 3 different quantity tiers, verify unit_price in response</w:t>
            </w:r>
          </w:p>
        </w:tc>
        <w:tc>
          <w:tcPr>
            <w:tcW w:type="dxa" w:w="2016"/>
          </w:tcPr>
          <w:p>
            <w:r>
              <w:t>3 tier thresholds per product</w:t>
            </w:r>
          </w:p>
        </w:tc>
        <w:tc>
          <w:tcPr>
            <w:tcW w:type="dxa" w:w="1584"/>
          </w:tcPr>
          <w:p>
            <w:r>
              <w:t>Pass — correct tier price applied</w:t>
            </w:r>
          </w:p>
        </w:tc>
      </w:tr>
    </w:tbl>
    <w:p/>
    <w:p>
      <w:pPr>
        <w:pStyle w:val="Heading3"/>
      </w:pPr>
      <w:r>
        <w:t>5.3.2  Component Testing</w:t>
      </w:r>
    </w:p>
    <w:p>
      <w:pPr/>
      <w:r>
        <w:t>Component testing verified that each React component rendered correctly, responded to user interactions, and communicated accurate data to and from the API layer. Components were tested in isolation within the development server and then in integration with the live API.</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Component</w:t>
            </w:r>
          </w:p>
        </w:tc>
        <w:tc>
          <w:tcPr>
            <w:tcW w:type="dxa" w:w="4608"/>
          </w:tcPr>
          <w:p>
            <w:r>
              <w:rPr>
                <w:b/>
              </w:rPr>
              <w:t>Test Focus</w:t>
            </w:r>
          </w:p>
        </w:tc>
        <w:tc>
          <w:tcPr>
            <w:tcW w:type="dxa" w:w="2160"/>
          </w:tcPr>
          <w:p>
            <w:r>
              <w:rPr>
                <w:b/>
              </w:rPr>
              <w:t>Pass / Fail</w:t>
            </w:r>
          </w:p>
        </w:tc>
      </w:tr>
      <w:tr>
        <w:tc>
          <w:tcPr>
            <w:tcW w:type="dxa" w:w="2592"/>
          </w:tcPr>
          <w:p>
            <w:r>
              <w:t>NotificationBell.tsx</w:t>
            </w:r>
          </w:p>
        </w:tc>
        <w:tc>
          <w:tcPr>
            <w:tcW w:type="dxa" w:w="4608"/>
          </w:tcPr>
          <w:p>
            <w:r>
              <w:t>Unread count badge, panel open/close, mark-as-read interaction</w:t>
            </w:r>
          </w:p>
        </w:tc>
        <w:tc>
          <w:tcPr>
            <w:tcW w:type="dxa" w:w="2160"/>
          </w:tcPr>
          <w:p>
            <w:r>
              <w:t>Pass</w:t>
            </w:r>
          </w:p>
        </w:tc>
      </w:tr>
      <w:tr>
        <w:tc>
          <w:tcPr>
            <w:tcW w:type="dxa" w:w="2592"/>
          </w:tcPr>
          <w:p>
            <w:r>
              <w:t>CurrencySelector.tsx</w:t>
            </w:r>
          </w:p>
        </w:tc>
        <w:tc>
          <w:tcPr>
            <w:tcW w:type="dxa" w:w="4608"/>
          </w:tcPr>
          <w:p>
            <w:r>
              <w:t>Currency switching updates all price displays across the page</w:t>
            </w:r>
          </w:p>
        </w:tc>
        <w:tc>
          <w:tcPr>
            <w:tcW w:type="dxa" w:w="2160"/>
          </w:tcPr>
          <w:p>
            <w:r>
              <w:t>Pass</w:t>
            </w:r>
          </w:p>
        </w:tc>
      </w:tr>
      <w:tr>
        <w:tc>
          <w:tcPr>
            <w:tcW w:type="dxa" w:w="2592"/>
          </w:tcPr>
          <w:p>
            <w:r>
              <w:t>BrandCard.tsx</w:t>
            </w:r>
          </w:p>
        </w:tc>
        <w:tc>
          <w:tcPr>
            <w:tcW w:type="dxa" w:w="4608"/>
          </w:tcPr>
          <w:p>
            <w:r>
              <w:t>Verification badge renders correctly for all 3 tiers; XSS fix confirmed</w:t>
            </w:r>
          </w:p>
        </w:tc>
        <w:tc>
          <w:tcPr>
            <w:tcW w:type="dxa" w:w="2160"/>
          </w:tcPr>
          <w:p>
            <w:r>
              <w:t>Pass</w:t>
            </w:r>
          </w:p>
        </w:tc>
      </w:tr>
      <w:tr>
        <w:tc>
          <w:tcPr>
            <w:tcW w:type="dxa" w:w="2592"/>
          </w:tcPr>
          <w:p>
            <w:r>
              <w:t>ReviewModal.tsx</w:t>
            </w:r>
          </w:p>
        </w:tc>
        <w:tc>
          <w:tcPr>
            <w:tcW w:type="dxa" w:w="4608"/>
          </w:tcPr>
          <w:p>
            <w:r>
              <w:t>Rating input (1–5), anonymous toggle, submit with validation</w:t>
            </w:r>
          </w:p>
        </w:tc>
        <w:tc>
          <w:tcPr>
            <w:tcW w:type="dxa" w:w="2160"/>
          </w:tcPr>
          <w:p>
            <w:r>
              <w:t>Pass</w:t>
            </w:r>
          </w:p>
        </w:tc>
      </w:tr>
      <w:tr>
        <w:tc>
          <w:tcPr>
            <w:tcW w:type="dxa" w:w="2592"/>
          </w:tcPr>
          <w:p>
            <w:r>
              <w:t>CatalogImportModal.tsx</w:t>
            </w:r>
          </w:p>
        </w:tc>
        <w:tc>
          <w:tcPr>
            <w:tcW w:type="dxa" w:w="4608"/>
          </w:tcPr>
          <w:p>
            <w:r>
              <w:t>XLSX file parsing, row preview, submit to bulk endpoint</w:t>
            </w:r>
          </w:p>
        </w:tc>
        <w:tc>
          <w:tcPr>
            <w:tcW w:type="dxa" w:w="2160"/>
          </w:tcPr>
          <w:p>
            <w:r>
              <w:t>Pass</w:t>
            </w:r>
          </w:p>
        </w:tc>
      </w:tr>
      <w:tr>
        <w:tc>
          <w:tcPr>
            <w:tcW w:type="dxa" w:w="2592"/>
          </w:tcPr>
          <w:p>
            <w:r>
              <w:t>LanguageToggle.tsx</w:t>
            </w:r>
          </w:p>
        </w:tc>
        <w:tc>
          <w:tcPr>
            <w:tcW w:type="dxa" w:w="4608"/>
          </w:tcPr>
          <w:p>
            <w:r>
              <w:t>EN→AR switch triggers RTL layout; AR→EN restores LTR</w:t>
            </w:r>
          </w:p>
        </w:tc>
        <w:tc>
          <w:tcPr>
            <w:tcW w:type="dxa" w:w="2160"/>
          </w:tcPr>
          <w:p>
            <w:r>
              <w:t>Partial</w:t>
            </w:r>
          </w:p>
        </w:tc>
      </w:tr>
      <w:tr>
        <w:tc>
          <w:tcPr>
            <w:tcW w:type="dxa" w:w="2592"/>
          </w:tcPr>
          <w:p>
            <w:r>
              <w:t>StarRating.tsx</w:t>
            </w:r>
          </w:p>
        </w:tc>
        <w:tc>
          <w:tcPr>
            <w:tcW w:type="dxa" w:w="4608"/>
          </w:tcPr>
          <w:p>
            <w:r>
              <w:t>Interactive star selection; read-only display mode</w:t>
            </w:r>
          </w:p>
        </w:tc>
        <w:tc>
          <w:tcPr>
            <w:tcW w:type="dxa" w:w="2160"/>
          </w:tcPr>
          <w:p>
            <w:r>
              <w:t>Pass</w:t>
            </w:r>
          </w:p>
        </w:tc>
      </w:tr>
      <w:tr>
        <w:tc>
          <w:tcPr>
            <w:tcW w:type="dxa" w:w="2592"/>
          </w:tcPr>
          <w:p>
            <w:r>
              <w:t>StatusBadge.tsx</w:t>
            </w:r>
          </w:p>
        </w:tc>
        <w:tc>
          <w:tcPr>
            <w:tcW w:type="dxa" w:w="4608"/>
          </w:tcPr>
          <w:p>
            <w:r>
              <w:t>Correct colour and label for all 4 order statuses</w:t>
            </w:r>
          </w:p>
        </w:tc>
        <w:tc>
          <w:tcPr>
            <w:tcW w:type="dxa" w:w="2160"/>
          </w:tcPr>
          <w:p>
            <w:r>
              <w:t>Pass</w:t>
            </w:r>
          </w:p>
        </w:tc>
      </w:tr>
      <w:tr>
        <w:tc>
          <w:tcPr>
            <w:tcW w:type="dxa" w:w="2592"/>
          </w:tcPr>
          <w:p>
            <w:r>
              <w:t>TrustScore.tsx</w:t>
            </w:r>
          </w:p>
        </w:tc>
        <w:tc>
          <w:tcPr>
            <w:tcW w:type="dxa" w:w="4608"/>
          </w:tcPr>
          <w:p>
            <w:r>
              <w:t>Renders brand trust metrics and badge list correctly</w:t>
            </w:r>
          </w:p>
        </w:tc>
        <w:tc>
          <w:tcPr>
            <w:tcW w:type="dxa" w:w="2160"/>
          </w:tcPr>
          <w:p>
            <w:r>
              <w:t>Pass</w:t>
            </w:r>
          </w:p>
        </w:tc>
      </w:tr>
      <w:tr>
        <w:tc>
          <w:tcPr>
            <w:tcW w:type="dxa" w:w="2592"/>
          </w:tcPr>
          <w:p>
            <w:r>
              <w:t>WhatsAppButton.tsx</w:t>
            </w:r>
          </w:p>
        </w:tc>
        <w:tc>
          <w:tcPr>
            <w:tcW w:type="dxa" w:w="4608"/>
          </w:tcPr>
          <w:p>
            <w:r>
              <w:t>Generates correct deep-link; POST to whatsapp-click endpoint</w:t>
            </w:r>
          </w:p>
        </w:tc>
        <w:tc>
          <w:tcPr>
            <w:tcW w:type="dxa" w:w="2160"/>
          </w:tcPr>
          <w:p>
            <w:r>
              <w:t>Pass</w:t>
            </w:r>
          </w:p>
        </w:tc>
      </w:tr>
    </w:tbl>
    <w:p/>
    <w:p>
      <w:pPr>
        <w:pStyle w:val="Heading3"/>
      </w:pPr>
      <w:r>
        <w:t>5.3.3  Subsystem Testing</w:t>
      </w:r>
    </w:p>
    <w:p>
      <w:pPr/>
      <w:r>
        <w:t>Subsystem testing verified end-to-end workflows across the five platform subsystems, with each workflow exercised as a continuous user journey from first input to final database state. All subsystems were tested on the live Vercel deployment.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Subsystem</w:t>
            </w:r>
          </w:p>
        </w:tc>
        <w:tc>
          <w:tcPr>
            <w:tcW w:type="dxa" w:w="4320"/>
          </w:tcPr>
          <w:p>
            <w:r>
              <w:rPr>
                <w:b/>
              </w:rPr>
              <w:t>Workflow Tested</w:t>
            </w:r>
          </w:p>
        </w:tc>
        <w:tc>
          <w:tcPr>
            <w:tcW w:type="dxa" w:w="1152"/>
          </w:tcPr>
          <w:p>
            <w:r>
              <w:rPr>
                <w:b/>
              </w:rPr>
              <w:t>Result</w:t>
            </w:r>
          </w:p>
        </w:tc>
        <w:tc>
          <w:tcPr>
            <w:tcW w:type="dxa" w:w="1728"/>
          </w:tcPr>
          <w:p>
            <w:r>
              <w:rPr>
                <w:b/>
              </w:rPr>
              <w:t>Notes</w:t>
            </w:r>
          </w:p>
        </w:tc>
      </w:tr>
      <w:tr>
        <w:tc>
          <w:tcPr>
            <w:tcW w:type="dxa" w:w="2160"/>
          </w:tcPr>
          <w:p>
            <w:r>
              <w:t>Authentication</w:t>
            </w:r>
          </w:p>
        </w:tc>
        <w:tc>
          <w:tcPr>
            <w:tcW w:type="dxa" w:w="4320"/>
          </w:tcPr>
          <w:p>
            <w:r>
              <w:t>Register (buyer) → login → access protected page → logout → attempt to access → redirect</w:t>
            </w:r>
          </w:p>
        </w:tc>
        <w:tc>
          <w:tcPr>
            <w:tcW w:type="dxa" w:w="1152"/>
          </w:tcPr>
          <w:p>
            <w:r>
              <w:t>Pass</w:t>
            </w:r>
          </w:p>
        </w:tc>
        <w:tc>
          <w:tcPr>
            <w:tcW w:type="dxa" w:w="1728"/>
          </w:tcPr>
          <w:p>
            <w:r>
              <w:t>HTTP-only cookie set; redirect confirmed on logout</w:t>
            </w:r>
          </w:p>
        </w:tc>
      </w:tr>
      <w:tr>
        <w:tc>
          <w:tcPr>
            <w:tcW w:type="dxa" w:w="2160"/>
          </w:tcPr>
          <w:p>
            <w:r>
              <w:t>Brand Management</w:t>
            </w:r>
          </w:p>
        </w:tc>
        <w:tc>
          <w:tcPr>
            <w:tcW w:type="dxa" w:w="4320"/>
          </w:tcPr>
          <w:p>
            <w:r>
              <w:t>Register brand_owner → admin approves → brand visible on marketplace → brand owner updates profile → changes reflected</w:t>
            </w:r>
          </w:p>
        </w:tc>
        <w:tc>
          <w:tcPr>
            <w:tcW w:type="dxa" w:w="1152"/>
          </w:tcPr>
          <w:p>
            <w:r>
              <w:t>Pass</w:t>
            </w:r>
          </w:p>
        </w:tc>
        <w:tc>
          <w:tcPr>
            <w:tcW w:type="dxa" w:w="1728"/>
          </w:tcPr>
          <w:p>
            <w:r>
              <w:t>Atomic status update confirmed in DB</w:t>
            </w:r>
          </w:p>
        </w:tc>
      </w:tr>
      <w:tr>
        <w:tc>
          <w:tcPr>
            <w:tcW w:type="dxa" w:w="2160"/>
          </w:tcPr>
          <w:p>
            <w:r>
              <w:t>Product &amp; Orders</w:t>
            </w:r>
          </w:p>
        </w:tc>
        <w:tc>
          <w:tcPr>
            <w:tcW w:type="dxa" w:w="4320"/>
          </w:tcPr>
          <w:p>
            <w:r>
              <w:t>Brand owner creates product with bulk tiers → buyer browses → buyer submits order (MOQ enforced) → brand approves → buyer sees completed status</w:t>
            </w:r>
          </w:p>
        </w:tc>
        <w:tc>
          <w:tcPr>
            <w:tcW w:type="dxa" w:w="1152"/>
          </w:tcPr>
          <w:p>
            <w:r>
              <w:t>Pass</w:t>
            </w:r>
          </w:p>
        </w:tc>
        <w:tc>
          <w:tcPr>
            <w:tcW w:type="dxa" w:w="1728"/>
          </w:tcPr>
          <w:p>
            <w:r>
              <w:t>Correct tier price applied at each quantity</w:t>
            </w:r>
          </w:p>
        </w:tc>
      </w:tr>
      <w:tr>
        <w:tc>
          <w:tcPr>
            <w:tcW w:type="dxa" w:w="2160"/>
          </w:tcPr>
          <w:p>
            <w:r>
              <w:t>Trust &amp; Reviews</w:t>
            </w:r>
          </w:p>
        </w:tc>
        <w:tc>
          <w:tcPr>
            <w:tcW w:type="dxa" w:w="4320"/>
          </w:tcPr>
          <w:p>
            <w:r>
              <w:t>Buyer submits review → brand owner replies → admin flags review → trust score recalculated</w:t>
            </w:r>
          </w:p>
        </w:tc>
        <w:tc>
          <w:tcPr>
            <w:tcW w:type="dxa" w:w="1152"/>
          </w:tcPr>
          <w:p>
            <w:r>
              <w:t>Partial</w:t>
            </w:r>
          </w:p>
        </w:tc>
        <w:tc>
          <w:tcPr>
            <w:tcW w:type="dxa" w:w="1728"/>
          </w:tcPr>
          <w:p>
            <w:r>
              <w:t>Trust score auto-recalculation not yet automated</w:t>
            </w:r>
          </w:p>
        </w:tc>
      </w:tr>
      <w:tr>
        <w:tc>
          <w:tcPr>
            <w:tcW w:type="dxa" w:w="2160"/>
          </w:tcPr>
          <w:p>
            <w:r>
              <w:t>Notifications</w:t>
            </w:r>
          </w:p>
        </w:tc>
        <w:tc>
          <w:tcPr>
            <w:tcW w:type="dxa" w:w="4320"/>
          </w:tcPr>
          <w:p>
            <w:r>
              <w:t>Trigger all 10 notification event types → verify panel shows correct entries → mark as read → verify count badge decrements</w:t>
            </w:r>
          </w:p>
        </w:tc>
        <w:tc>
          <w:tcPr>
            <w:tcW w:type="dxa" w:w="1152"/>
          </w:tcPr>
          <w:p>
            <w:r>
              <w:t>Pass</w:t>
            </w:r>
          </w:p>
        </w:tc>
        <w:tc>
          <w:tcPr>
            <w:tcW w:type="dxa" w:w="1728"/>
          </w:tcPr>
          <w:p>
            <w:r>
              <w:t>All notification types created and displayed correctly</w:t>
            </w:r>
          </w:p>
        </w:tc>
      </w:tr>
    </w:tbl>
    <w:p/>
    <w:p>
      <w:pPr>
        <w:pStyle w:val="Heading3"/>
      </w:pPr>
      <w:r>
        <w:t>5.3.4  System Test Cases (20 Test Cases)</w:t>
      </w:r>
    </w:p>
    <w:p>
      <w:pPr/>
      <w:r>
        <w:t>The following 20 test cases constitute the formal system test suite for the Kuwait B2B Hub. All tests were executed manually against the Vercel production deployment with the seeded demo dataset. Test results are recorded at the time of final sprint review.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864"/>
          </w:tcPr>
          <w:p>
            <w:r>
              <w:rPr>
                <w:b/>
              </w:rPr>
              <w:t>TC ID</w:t>
            </w:r>
          </w:p>
        </w:tc>
        <w:tc>
          <w:tcPr>
            <w:tcW w:type="dxa" w:w="2016"/>
          </w:tcPr>
          <w:p>
            <w:r>
              <w:rPr>
                <w:b/>
              </w:rPr>
              <w:t>Test Case Name</w:t>
            </w:r>
          </w:p>
        </w:tc>
        <w:tc>
          <w:tcPr>
            <w:tcW w:type="dxa" w:w="1296"/>
          </w:tcPr>
          <w:p>
            <w:r>
              <w:rPr>
                <w:b/>
              </w:rPr>
              <w:t>Test Type</w:t>
            </w:r>
          </w:p>
        </w:tc>
        <w:tc>
          <w:tcPr>
            <w:tcW w:type="dxa" w:w="2304"/>
          </w:tcPr>
          <w:p>
            <w:r>
              <w:rPr>
                <w:b/>
              </w:rPr>
              <w:t>Test Objective</w:t>
            </w:r>
          </w:p>
        </w:tc>
        <w:tc>
          <w:tcPr>
            <w:tcW w:type="dxa" w:w="2304"/>
          </w:tcPr>
          <w:p>
            <w:r>
              <w:rPr>
                <w:b/>
              </w:rPr>
              <w:t>Expected Result</w:t>
            </w:r>
          </w:p>
        </w:tc>
        <w:tc>
          <w:tcPr>
            <w:tcW w:type="dxa" w:w="2304"/>
          </w:tcPr>
          <w:p>
            <w:r>
              <w:rPr>
                <w:b/>
              </w:rPr>
              <w:t>Actual Result</w:t>
            </w:r>
          </w:p>
        </w:tc>
        <w:tc>
          <w:tcPr>
            <w:tcW w:type="dxa" w:w="1152"/>
          </w:tcPr>
          <w:p>
            <w:r>
              <w:rPr>
                <w:b/>
              </w:rPr>
              <w:t>Status</w:t>
            </w:r>
          </w:p>
        </w:tc>
      </w:tr>
      <w:tr>
        <w:tc>
          <w:tcPr>
            <w:tcW w:type="dxa" w:w="864"/>
          </w:tcPr>
          <w:p>
            <w:r>
              <w:t>TC-01</w:t>
            </w:r>
          </w:p>
        </w:tc>
        <w:tc>
          <w:tcPr>
            <w:tcW w:type="dxa" w:w="2016"/>
          </w:tcPr>
          <w:p>
            <w:r>
              <w:t>User Registration (3 Roles)</w:t>
            </w:r>
          </w:p>
        </w:tc>
        <w:tc>
          <w:tcPr>
            <w:tcW w:type="dxa" w:w="1296"/>
          </w:tcPr>
          <w:p>
            <w:r>
              <w:t>Manual / Functional</w:t>
            </w:r>
          </w:p>
        </w:tc>
        <w:tc>
          <w:tcPr>
            <w:tcW w:type="dxa" w:w="2304"/>
          </w:tcPr>
          <w:p>
            <w:r>
              <w:t>Verify all three roles (admin, brand_owner, buyer) can register successfully</w:t>
            </w:r>
          </w:p>
        </w:tc>
        <w:tc>
          <w:tcPr>
            <w:tcW w:type="dxa" w:w="2304"/>
          </w:tcPr>
          <w:p>
            <w:r>
              <w:t>201 response; user record created; session cookies set; admin notified</w:t>
            </w:r>
          </w:p>
        </w:tc>
        <w:tc>
          <w:tcPr>
            <w:tcW w:type="dxa" w:w="2304"/>
          </w:tcPr>
          <w:p>
            <w:r>
              <w:t>201 received; records verified in DB; cookies present; notifications created</w:t>
            </w:r>
          </w:p>
        </w:tc>
        <w:tc>
          <w:tcPr>
            <w:tcW w:type="dxa" w:w="1152"/>
          </w:tcPr>
          <w:p>
            <w:r>
              <w:t>Pass</w:t>
            </w:r>
          </w:p>
        </w:tc>
      </w:tr>
      <w:tr>
        <w:tc>
          <w:tcPr>
            <w:tcW w:type="dxa" w:w="864"/>
          </w:tcPr>
          <w:p>
            <w:r>
              <w:t>TC-02</w:t>
            </w:r>
          </w:p>
        </w:tc>
        <w:tc>
          <w:tcPr>
            <w:tcW w:type="dxa" w:w="2016"/>
          </w:tcPr>
          <w:p>
            <w:r>
              <w:t>Login &amp; Logout</w:t>
            </w:r>
          </w:p>
        </w:tc>
        <w:tc>
          <w:tcPr>
            <w:tcW w:type="dxa" w:w="1296"/>
          </w:tcPr>
          <w:p>
            <w:r>
              <w:t>Manual / Functional</w:t>
            </w:r>
          </w:p>
        </w:tc>
        <w:tc>
          <w:tcPr>
            <w:tcW w:type="dxa" w:w="2304"/>
          </w:tcPr>
          <w:p>
            <w:r>
              <w:t>Verify authenticated login sets cookies; logout clears them</w:t>
            </w:r>
          </w:p>
        </w:tc>
        <w:tc>
          <w:tcPr>
            <w:tcW w:type="dxa" w:w="2304"/>
          </w:tcPr>
          <w:p>
            <w:r>
              <w:t>200 on login; b2b_user_id httpOnly cookie set; 200 on logout; cookie expired</w:t>
            </w:r>
          </w:p>
        </w:tc>
        <w:tc>
          <w:tcPr>
            <w:tcW w:type="dxa" w:w="2304"/>
          </w:tcPr>
          <w:p>
            <w:r>
              <w:t>Login 200 confirmed; cookie verified in DevTools; logout clears cookies</w:t>
            </w:r>
          </w:p>
        </w:tc>
        <w:tc>
          <w:tcPr>
            <w:tcW w:type="dxa" w:w="1152"/>
          </w:tcPr>
          <w:p>
            <w:r>
              <w:t>Pass</w:t>
            </w:r>
          </w:p>
        </w:tc>
      </w:tr>
      <w:tr>
        <w:tc>
          <w:tcPr>
            <w:tcW w:type="dxa" w:w="864"/>
          </w:tcPr>
          <w:p>
            <w:r>
              <w:t>TC-03</w:t>
            </w:r>
          </w:p>
        </w:tc>
        <w:tc>
          <w:tcPr>
            <w:tcW w:type="dxa" w:w="2016"/>
          </w:tcPr>
          <w:p>
            <w:r>
              <w:t>Role-Based Route Protection</w:t>
            </w:r>
          </w:p>
        </w:tc>
        <w:tc>
          <w:tcPr>
            <w:tcW w:type="dxa" w:w="1296"/>
          </w:tcPr>
          <w:p>
            <w:r>
              <w:t>Manual / Functional</w:t>
            </w:r>
          </w:p>
        </w:tc>
        <w:tc>
          <w:tcPr>
            <w:tcW w:type="dxa" w:w="2304"/>
          </w:tcPr>
          <w:p>
            <w:r>
              <w:t>Verify buyers cannot access /admin/* or /brand/* routes</w:t>
            </w:r>
          </w:p>
        </w:tc>
        <w:tc>
          <w:tcPr>
            <w:tcW w:type="dxa" w:w="2304"/>
          </w:tcPr>
          <w:p>
            <w:r>
              <w:t>Redirect to /login on unauthorized access</w:t>
            </w:r>
          </w:p>
        </w:tc>
        <w:tc>
          <w:tcPr>
            <w:tcW w:type="dxa" w:w="2304"/>
          </w:tcPr>
          <w:p>
            <w:r>
              <w:t>All protected routes redirect correctly; middleware enforced</w:t>
            </w:r>
          </w:p>
        </w:tc>
        <w:tc>
          <w:tcPr>
            <w:tcW w:type="dxa" w:w="1152"/>
          </w:tcPr>
          <w:p>
            <w:r>
              <w:t>Pass</w:t>
            </w:r>
          </w:p>
        </w:tc>
      </w:tr>
      <w:tr>
        <w:tc>
          <w:tcPr>
            <w:tcW w:type="dxa" w:w="864"/>
          </w:tcPr>
          <w:p>
            <w:r>
              <w:t>TC-04</w:t>
            </w:r>
          </w:p>
        </w:tc>
        <w:tc>
          <w:tcPr>
            <w:tcW w:type="dxa" w:w="2016"/>
          </w:tcPr>
          <w:p>
            <w:r>
              <w:t>Brand Auto-Creation on Registration</w:t>
            </w:r>
          </w:p>
        </w:tc>
        <w:tc>
          <w:tcPr>
            <w:tcW w:type="dxa" w:w="1296"/>
          </w:tcPr>
          <w:p>
            <w:r>
              <w:t>Manual / Functional</w:t>
            </w:r>
          </w:p>
        </w:tc>
        <w:tc>
          <w:tcPr>
            <w:tcW w:type="dxa" w:w="2304"/>
          </w:tcPr>
          <w:p>
            <w:r>
              <w:t>Verify a pending brand record is created when a brand_owner registers</w:t>
            </w:r>
          </w:p>
        </w:tc>
        <w:tc>
          <w:tcPr>
            <w:tcW w:type="dxa" w:w="2304"/>
          </w:tcPr>
          <w:p>
            <w:r>
              <w:t>Brand record with status='pending' exists after registration</w:t>
            </w:r>
          </w:p>
        </w:tc>
        <w:tc>
          <w:tcPr>
            <w:tcW w:type="dxa" w:w="2304"/>
          </w:tcPr>
          <w:p>
            <w:r>
              <w:t>Brand record confirmed in Supabase table editor</w:t>
            </w:r>
          </w:p>
        </w:tc>
        <w:tc>
          <w:tcPr>
            <w:tcW w:type="dxa" w:w="1152"/>
          </w:tcPr>
          <w:p>
            <w:r>
              <w:t>Pass</w:t>
            </w:r>
          </w:p>
        </w:tc>
      </w:tr>
      <w:tr>
        <w:tc>
          <w:tcPr>
            <w:tcW w:type="dxa" w:w="864"/>
          </w:tcPr>
          <w:p>
            <w:r>
              <w:t>TC-05</w:t>
            </w:r>
          </w:p>
        </w:tc>
        <w:tc>
          <w:tcPr>
            <w:tcW w:type="dxa" w:w="2016"/>
          </w:tcPr>
          <w:p>
            <w:r>
              <w:t>Marketplace Brand Browsing</w:t>
            </w:r>
          </w:p>
        </w:tc>
        <w:tc>
          <w:tcPr>
            <w:tcW w:type="dxa" w:w="1296"/>
          </w:tcPr>
          <w:p>
            <w:r>
              <w:t>Manual / Functional</w:t>
            </w:r>
          </w:p>
        </w:tc>
        <w:tc>
          <w:tcPr>
            <w:tcW w:type="dxa" w:w="2304"/>
          </w:tcPr>
          <w:p>
            <w:r>
              <w:t>Verify only approved brands appear; search and filter controls work</w:t>
            </w:r>
          </w:p>
        </w:tc>
        <w:tc>
          <w:tcPr>
            <w:tcW w:type="dxa" w:w="2304"/>
          </w:tcPr>
          <w:p>
            <w:r>
              <w:t>Pending/rejected brands hidden; search filters list in real time</w:t>
            </w:r>
          </w:p>
        </w:tc>
        <w:tc>
          <w:tcPr>
            <w:tcW w:type="dxa" w:w="2304"/>
          </w:tcPr>
          <w:p>
            <w:r>
              <w:t>Only approved brands visible; filters apply correctly</w:t>
            </w:r>
          </w:p>
        </w:tc>
        <w:tc>
          <w:tcPr>
            <w:tcW w:type="dxa" w:w="1152"/>
          </w:tcPr>
          <w:p>
            <w:r>
              <w:t>Pass</w:t>
            </w:r>
          </w:p>
        </w:tc>
      </w:tr>
      <w:tr>
        <w:tc>
          <w:tcPr>
            <w:tcW w:type="dxa" w:w="864"/>
          </w:tcPr>
          <w:p>
            <w:r>
              <w:t>TC-06</w:t>
            </w:r>
          </w:p>
        </w:tc>
        <w:tc>
          <w:tcPr>
            <w:tcW w:type="dxa" w:w="2016"/>
          </w:tcPr>
          <w:p>
            <w:r>
              <w:t>Product CRUD Operations</w:t>
            </w:r>
          </w:p>
        </w:tc>
        <w:tc>
          <w:tcPr>
            <w:tcW w:type="dxa" w:w="1296"/>
          </w:tcPr>
          <w:p>
            <w:r>
              <w:t>Manual / Functional</w:t>
            </w:r>
          </w:p>
        </w:tc>
        <w:tc>
          <w:tcPr>
            <w:tcW w:type="dxa" w:w="2304"/>
          </w:tcPr>
          <w:p>
            <w:r>
              <w:t>Verify brand owner can create, edit, and delete products</w:t>
            </w:r>
          </w:p>
        </w:tc>
        <w:tc>
          <w:tcPr>
            <w:tcW w:type="dxa" w:w="2304"/>
          </w:tcPr>
          <w:p>
            <w:r>
              <w:t>Product appears on brand profile after creation; edits persist; delete removes</w:t>
            </w:r>
          </w:p>
        </w:tc>
        <w:tc>
          <w:tcPr>
            <w:tcW w:type="dxa" w:w="2304"/>
          </w:tcPr>
          <w:p>
            <w:r>
              <w:t>All CRUD operations confirmed correct in DB and UI</w:t>
            </w:r>
          </w:p>
        </w:tc>
        <w:tc>
          <w:tcPr>
            <w:tcW w:type="dxa" w:w="1152"/>
          </w:tcPr>
          <w:p>
            <w:r>
              <w:t>Pass</w:t>
            </w:r>
          </w:p>
        </w:tc>
      </w:tr>
      <w:tr>
        <w:tc>
          <w:tcPr>
            <w:tcW w:type="dxa" w:w="864"/>
          </w:tcPr>
          <w:p>
            <w:r>
              <w:t>TC-07</w:t>
            </w:r>
          </w:p>
        </w:tc>
        <w:tc>
          <w:tcPr>
            <w:tcW w:type="dxa" w:w="2016"/>
          </w:tcPr>
          <w:p>
            <w:r>
              <w:t>Excel Bulk Catalogue Import</w:t>
            </w:r>
          </w:p>
        </w:tc>
        <w:tc>
          <w:tcPr>
            <w:tcW w:type="dxa" w:w="1296"/>
          </w:tcPr>
          <w:p>
            <w:r>
              <w:t>Manual / Functional</w:t>
            </w:r>
          </w:p>
        </w:tc>
        <w:tc>
          <w:tcPr>
            <w:tcW w:type="dxa" w:w="2304"/>
          </w:tcPr>
          <w:p>
            <w:r>
              <w:t>Verify brand owner can upload a .xlsx file and products are created</w:t>
            </w:r>
          </w:p>
        </w:tc>
        <w:tc>
          <w:tcPr>
            <w:tcW w:type="dxa" w:w="2304"/>
          </w:tcPr>
          <w:p>
            <w:r>
              <w:t>200 import summary with count of created products; products appear in catalogue</w:t>
            </w:r>
          </w:p>
        </w:tc>
        <w:tc>
          <w:tcPr>
            <w:tcW w:type="dxa" w:w="2304"/>
          </w:tcPr>
          <w:p>
            <w:r>
              <w:t>Import successful with sample XLSX; products created and visible</w:t>
            </w:r>
          </w:p>
        </w:tc>
        <w:tc>
          <w:tcPr>
            <w:tcW w:type="dxa" w:w="1152"/>
          </w:tcPr>
          <w:p>
            <w:r>
              <w:t>Pass</w:t>
            </w:r>
          </w:p>
        </w:tc>
      </w:tr>
      <w:tr>
        <w:tc>
          <w:tcPr>
            <w:tcW w:type="dxa" w:w="864"/>
          </w:tcPr>
          <w:p>
            <w:r>
              <w:t>TC-08</w:t>
            </w:r>
          </w:p>
        </w:tc>
        <w:tc>
          <w:tcPr>
            <w:tcW w:type="dxa" w:w="2016"/>
          </w:tcPr>
          <w:p>
            <w:r>
              <w:t>Order Submission with MOQ Validation</w:t>
            </w:r>
          </w:p>
        </w:tc>
        <w:tc>
          <w:tcPr>
            <w:tcW w:type="dxa" w:w="1296"/>
          </w:tcPr>
          <w:p>
            <w:r>
              <w:t>Manual / Functional</w:t>
            </w:r>
          </w:p>
        </w:tc>
        <w:tc>
          <w:tcPr>
            <w:tcW w:type="dxa" w:w="2304"/>
          </w:tcPr>
          <w:p>
            <w:r>
              <w:t>Verify orders below MOQ are rejected; orders at or above MOQ are accepted</w:t>
            </w:r>
          </w:p>
        </w:tc>
        <w:tc>
          <w:tcPr>
            <w:tcW w:type="dxa" w:w="2304"/>
          </w:tcPr>
          <w:p>
            <w:r>
              <w:t>400 with descriptive error if qty &lt; moq; 201 if qty &gt;= moq</w:t>
            </w:r>
          </w:p>
        </w:tc>
        <w:tc>
          <w:tcPr>
            <w:tcW w:type="dxa" w:w="2304"/>
          </w:tcPr>
          <w:p>
            <w:r>
              <w:t>Below-MOQ orders blocked with error message; valid orders accepted</w:t>
            </w:r>
          </w:p>
        </w:tc>
        <w:tc>
          <w:tcPr>
            <w:tcW w:type="dxa" w:w="1152"/>
          </w:tcPr>
          <w:p>
            <w:r>
              <w:t>Pass</w:t>
            </w:r>
          </w:p>
        </w:tc>
      </w:tr>
      <w:tr>
        <w:tc>
          <w:tcPr>
            <w:tcW w:type="dxa" w:w="864"/>
          </w:tcPr>
          <w:p>
            <w:r>
              <w:t>TC-09</w:t>
            </w:r>
          </w:p>
        </w:tc>
        <w:tc>
          <w:tcPr>
            <w:tcW w:type="dxa" w:w="2016"/>
          </w:tcPr>
          <w:p>
            <w:r>
              <w:t>Order Approval / Rejection</w:t>
            </w:r>
          </w:p>
        </w:tc>
        <w:tc>
          <w:tcPr>
            <w:tcW w:type="dxa" w:w="1296"/>
          </w:tcPr>
          <w:p>
            <w:r>
              <w:t>Manual / Functional</w:t>
            </w:r>
          </w:p>
        </w:tc>
        <w:tc>
          <w:tcPr>
            <w:tcW w:type="dxa" w:w="2304"/>
          </w:tcPr>
          <w:p>
            <w:r>
              <w:t>Verify brand owner can approve and reject orders; buyer is notified</w:t>
            </w:r>
          </w:p>
        </w:tc>
        <w:tc>
          <w:tcPr>
            <w:tcW w:type="dxa" w:w="2304"/>
          </w:tcPr>
          <w:p>
            <w:r>
              <w:t>Order status updates; buyer notification created for each status change</w:t>
            </w:r>
          </w:p>
        </w:tc>
        <w:tc>
          <w:tcPr>
            <w:tcW w:type="dxa" w:w="2304"/>
          </w:tcPr>
          <w:p>
            <w:r>
              <w:t>Status transitions correct; notifications appear in buyer panel</w:t>
            </w:r>
          </w:p>
        </w:tc>
        <w:tc>
          <w:tcPr>
            <w:tcW w:type="dxa" w:w="1152"/>
          </w:tcPr>
          <w:p>
            <w:r>
              <w:t>Pass</w:t>
            </w:r>
          </w:p>
        </w:tc>
      </w:tr>
      <w:tr>
        <w:tc>
          <w:tcPr>
            <w:tcW w:type="dxa" w:w="864"/>
          </w:tcPr>
          <w:p>
            <w:r>
              <w:t>TC-10</w:t>
            </w:r>
          </w:p>
        </w:tc>
        <w:tc>
          <w:tcPr>
            <w:tcW w:type="dxa" w:w="2016"/>
          </w:tcPr>
          <w:p>
            <w:r>
              <w:t>Brand Verification (Admin Workflow)</w:t>
            </w:r>
          </w:p>
        </w:tc>
        <w:tc>
          <w:tcPr>
            <w:tcW w:type="dxa" w:w="1296"/>
          </w:tcPr>
          <w:p>
            <w:r>
              <w:t>Manual / Functional</w:t>
            </w:r>
          </w:p>
        </w:tc>
        <w:tc>
          <w:tcPr>
            <w:tcW w:type="dxa" w:w="2304"/>
          </w:tcPr>
          <w:p>
            <w:r>
              <w:t>Verify admin can approve and reject pending brands; tiers can be assigned</w:t>
            </w:r>
          </w:p>
        </w:tc>
        <w:tc>
          <w:tcPr>
            <w:tcW w:type="dxa" w:w="2304"/>
          </w:tcPr>
          <w:p>
            <w:r>
              <w:t>Brand status and owner verification_status update atomically; notifications sent</w:t>
            </w:r>
          </w:p>
        </w:tc>
        <w:tc>
          <w:tcPr>
            <w:tcW w:type="dxa" w:w="2304"/>
          </w:tcPr>
          <w:p>
            <w:r>
              <w:t>Approval and rejection flow tested; buyer notification sent on approval</w:t>
            </w:r>
          </w:p>
        </w:tc>
        <w:tc>
          <w:tcPr>
            <w:tcW w:type="dxa" w:w="1152"/>
          </w:tcPr>
          <w:p>
            <w:r>
              <w:t>Pass</w:t>
            </w:r>
          </w:p>
        </w:tc>
      </w:tr>
      <w:tr>
        <w:tc>
          <w:tcPr>
            <w:tcW w:type="dxa" w:w="864"/>
          </w:tcPr>
          <w:p>
            <w:r>
              <w:t>TC-11</w:t>
            </w:r>
          </w:p>
        </w:tc>
        <w:tc>
          <w:tcPr>
            <w:tcW w:type="dxa" w:w="2016"/>
          </w:tcPr>
          <w:p>
            <w:r>
              <w:t>Review Submission</w:t>
            </w:r>
          </w:p>
        </w:tc>
        <w:tc>
          <w:tcPr>
            <w:tcW w:type="dxa" w:w="1296"/>
          </w:tcPr>
          <w:p>
            <w:r>
              <w:t>Manual / Functional</w:t>
            </w:r>
          </w:p>
        </w:tc>
        <w:tc>
          <w:tcPr>
            <w:tcW w:type="dxa" w:w="2304"/>
          </w:tcPr>
          <w:p>
            <w:r>
              <w:t>Verify buyer can submit a 1–5 star review with written content</w:t>
            </w:r>
          </w:p>
        </w:tc>
        <w:tc>
          <w:tcPr>
            <w:tcW w:type="dxa" w:w="2304"/>
          </w:tcPr>
          <w:p>
            <w:r>
              <w:t>Review persisted; rating aggregated; brand owner notified</w:t>
            </w:r>
          </w:p>
        </w:tc>
        <w:tc>
          <w:tcPr>
            <w:tcW w:type="dxa" w:w="2304"/>
          </w:tcPr>
          <w:p>
            <w:r>
              <w:t>Ratings persisted correctly; aggregated rating updated on brand profile</w:t>
            </w:r>
          </w:p>
        </w:tc>
        <w:tc>
          <w:tcPr>
            <w:tcW w:type="dxa" w:w="1152"/>
          </w:tcPr>
          <w:p>
            <w:r>
              <w:t>Pass</w:t>
            </w:r>
          </w:p>
        </w:tc>
      </w:tr>
      <w:tr>
        <w:tc>
          <w:tcPr>
            <w:tcW w:type="dxa" w:w="864"/>
          </w:tcPr>
          <w:p>
            <w:r>
              <w:t>TC-12</w:t>
            </w:r>
          </w:p>
        </w:tc>
        <w:tc>
          <w:tcPr>
            <w:tcW w:type="dxa" w:w="2016"/>
          </w:tcPr>
          <w:p>
            <w:r>
              <w:t>Anonymous Review</w:t>
            </w:r>
          </w:p>
        </w:tc>
        <w:tc>
          <w:tcPr>
            <w:tcW w:type="dxa" w:w="1296"/>
          </w:tcPr>
          <w:p>
            <w:r>
              <w:t>Manual / Functional</w:t>
            </w:r>
          </w:p>
        </w:tc>
        <w:tc>
          <w:tcPr>
            <w:tcW w:type="dxa" w:w="2304"/>
          </w:tcPr>
          <w:p>
            <w:r>
              <w:t>Verify anonymous flag suppresses reviewer identity in the UI</w:t>
            </w:r>
          </w:p>
        </w:tc>
        <w:tc>
          <w:tcPr>
            <w:tcW w:type="dxa" w:w="2304"/>
          </w:tcPr>
          <w:p>
            <w:r>
              <w:t>Reviewer name and company not displayed when anonymous = true</w:t>
            </w:r>
          </w:p>
        </w:tc>
        <w:tc>
          <w:tcPr>
            <w:tcW w:type="dxa" w:w="2304"/>
          </w:tcPr>
          <w:p>
            <w:r>
              <w:t>Author identity hidden in ReviewCard; verified in multiple browsers</w:t>
            </w:r>
          </w:p>
        </w:tc>
        <w:tc>
          <w:tcPr>
            <w:tcW w:type="dxa" w:w="1152"/>
          </w:tcPr>
          <w:p>
            <w:r>
              <w:t>Pass</w:t>
            </w:r>
          </w:p>
        </w:tc>
      </w:tr>
      <w:tr>
        <w:tc>
          <w:tcPr>
            <w:tcW w:type="dxa" w:w="864"/>
          </w:tcPr>
          <w:p>
            <w:r>
              <w:t>TC-13</w:t>
            </w:r>
          </w:p>
        </w:tc>
        <w:tc>
          <w:tcPr>
            <w:tcW w:type="dxa" w:w="2016"/>
          </w:tcPr>
          <w:p>
            <w:r>
              <w:t>Brand Reply to Review</w:t>
            </w:r>
          </w:p>
        </w:tc>
        <w:tc>
          <w:tcPr>
            <w:tcW w:type="dxa" w:w="1296"/>
          </w:tcPr>
          <w:p>
            <w:r>
              <w:t>Manual / Functional</w:t>
            </w:r>
          </w:p>
        </w:tc>
        <w:tc>
          <w:tcPr>
            <w:tcW w:type="dxa" w:w="2304"/>
          </w:tcPr>
          <w:p>
            <w:r>
              <w:t>Verify brand owner can submit a reply that appears on the brand profile</w:t>
            </w:r>
          </w:p>
        </w:tc>
        <w:tc>
          <w:tcPr>
            <w:tcW w:type="dxa" w:w="2304"/>
          </w:tcPr>
          <w:p>
            <w:r>
              <w:t>brand_reply persisted; displayed under the original review</w:t>
            </w:r>
          </w:p>
        </w:tc>
        <w:tc>
          <w:tcPr>
            <w:tcW w:type="dxa" w:w="2304"/>
          </w:tcPr>
          <w:p>
            <w:r>
              <w:t>Reply persisted and displayed correctly; reviewer notified</w:t>
            </w:r>
          </w:p>
        </w:tc>
        <w:tc>
          <w:tcPr>
            <w:tcW w:type="dxa" w:w="1152"/>
          </w:tcPr>
          <w:p>
            <w:r>
              <w:t>Pass</w:t>
            </w:r>
          </w:p>
        </w:tc>
      </w:tr>
      <w:tr>
        <w:tc>
          <w:tcPr>
            <w:tcW w:type="dxa" w:w="864"/>
          </w:tcPr>
          <w:p>
            <w:r>
              <w:t>TC-14</w:t>
            </w:r>
          </w:p>
        </w:tc>
        <w:tc>
          <w:tcPr>
            <w:tcW w:type="dxa" w:w="2016"/>
          </w:tcPr>
          <w:p>
            <w:r>
              <w:t>Notification Generation &amp; Read</w:t>
            </w:r>
          </w:p>
        </w:tc>
        <w:tc>
          <w:tcPr>
            <w:tcW w:type="dxa" w:w="1296"/>
          </w:tcPr>
          <w:p>
            <w:r>
              <w:t>Manual / Functional</w:t>
            </w:r>
          </w:p>
        </w:tc>
        <w:tc>
          <w:tcPr>
            <w:tcW w:type="dxa" w:w="2304"/>
          </w:tcPr>
          <w:p>
            <w:r>
              <w:t>Verify notifications appear in panel; mark-as-read updates count</w:t>
            </w:r>
          </w:p>
        </w:tc>
        <w:tc>
          <w:tcPr>
            <w:tcW w:type="dxa" w:w="2304"/>
          </w:tcPr>
          <w:p>
            <w:r>
              <w:t>Notifications appear for all event types; badge count decrements on mark-read</w:t>
            </w:r>
          </w:p>
        </w:tc>
        <w:tc>
          <w:tcPr>
            <w:tcW w:type="dxa" w:w="2304"/>
          </w:tcPr>
          <w:p>
            <w:r>
              <w:t>All 10 notification types verified; unread count badge updates correctly</w:t>
            </w:r>
          </w:p>
        </w:tc>
        <w:tc>
          <w:tcPr>
            <w:tcW w:type="dxa" w:w="1152"/>
          </w:tcPr>
          <w:p>
            <w:r>
              <w:t>Pass</w:t>
            </w:r>
          </w:p>
        </w:tc>
      </w:tr>
      <w:tr>
        <w:tc>
          <w:tcPr>
            <w:tcW w:type="dxa" w:w="864"/>
          </w:tcPr>
          <w:p>
            <w:r>
              <w:t>TC-15</w:t>
            </w:r>
          </w:p>
        </w:tc>
        <w:tc>
          <w:tcPr>
            <w:tcW w:type="dxa" w:w="2016"/>
          </w:tcPr>
          <w:p>
            <w:r>
              <w:t>Multi-Currency Switching</w:t>
            </w:r>
          </w:p>
        </w:tc>
        <w:tc>
          <w:tcPr>
            <w:tcW w:type="dxa" w:w="1296"/>
          </w:tcPr>
          <w:p>
            <w:r>
              <w:t>Manual / Functional</w:t>
            </w:r>
          </w:p>
        </w:tc>
        <w:tc>
          <w:tcPr>
            <w:tcW w:type="dxa" w:w="2304"/>
          </w:tcPr>
          <w:p>
            <w:r>
              <w:t>Verify currency selector updates all displayed prices to selected currency</w:t>
            </w:r>
          </w:p>
        </w:tc>
        <w:tc>
          <w:tcPr>
            <w:tcW w:type="dxa" w:w="2304"/>
          </w:tcPr>
          <w:p>
            <w:r>
              <w:t>Prices convert correctly to KWD, SAR, AED, BHD using configured exchange rates</w:t>
            </w:r>
          </w:p>
        </w:tc>
        <w:tc>
          <w:tcPr>
            <w:tcW w:type="dxa" w:w="2304"/>
          </w:tcPr>
          <w:p>
            <w:r>
              <w:t>All four currencies tested; prices updated instantly across all product cards</w:t>
            </w:r>
          </w:p>
        </w:tc>
        <w:tc>
          <w:tcPr>
            <w:tcW w:type="dxa" w:w="1152"/>
          </w:tcPr>
          <w:p>
            <w:r>
              <w:t>Pass</w:t>
            </w:r>
          </w:p>
        </w:tc>
      </w:tr>
      <w:tr>
        <w:tc>
          <w:tcPr>
            <w:tcW w:type="dxa" w:w="864"/>
          </w:tcPr>
          <w:p>
            <w:r>
              <w:t>TC-16</w:t>
            </w:r>
          </w:p>
        </w:tc>
        <w:tc>
          <w:tcPr>
            <w:tcW w:type="dxa" w:w="2016"/>
          </w:tcPr>
          <w:p>
            <w:r>
              <w:t>Arabic RTL Layout</w:t>
            </w:r>
          </w:p>
        </w:tc>
        <w:tc>
          <w:tcPr>
            <w:tcW w:type="dxa" w:w="1296"/>
          </w:tcPr>
          <w:p>
            <w:r>
              <w:t>Manual / UI</w:t>
            </w:r>
          </w:p>
        </w:tc>
        <w:tc>
          <w:tcPr>
            <w:tcW w:type="dxa" w:w="2304"/>
          </w:tcPr>
          <w:p>
            <w:r>
              <w:t>Verify Arabic locale renders full right-to-left layout across all pages</w:t>
            </w:r>
          </w:p>
        </w:tc>
        <w:tc>
          <w:tcPr>
            <w:tcW w:type="dxa" w:w="2304"/>
          </w:tcPr>
          <w:p>
            <w:r>
              <w:t>All text, navigation, cards, and forms render in RTL; no LTR leakage</w:t>
            </w:r>
          </w:p>
        </w:tc>
        <w:tc>
          <w:tcPr>
            <w:tcW w:type="dxa" w:w="2304"/>
          </w:tcPr>
          <w:p>
            <w:r>
              <w:t>Main pages render in RTL; some component-level alignment issues remain</w:t>
            </w:r>
          </w:p>
        </w:tc>
        <w:tc>
          <w:tcPr>
            <w:tcW w:type="dxa" w:w="1152"/>
          </w:tcPr>
          <w:p>
            <w:r>
              <w:t>Partial</w:t>
            </w:r>
          </w:p>
        </w:tc>
      </w:tr>
      <w:tr>
        <w:tc>
          <w:tcPr>
            <w:tcW w:type="dxa" w:w="864"/>
          </w:tcPr>
          <w:p>
            <w:r>
              <w:t>TC-17</w:t>
            </w:r>
          </w:p>
        </w:tc>
        <w:tc>
          <w:tcPr>
            <w:tcW w:type="dxa" w:w="2016"/>
          </w:tcPr>
          <w:p>
            <w:r>
              <w:t>Mobile Responsiveness (375 px)</w:t>
            </w:r>
          </w:p>
        </w:tc>
        <w:tc>
          <w:tcPr>
            <w:tcW w:type="dxa" w:w="1296"/>
          </w:tcPr>
          <w:p>
            <w:r>
              <w:t>Manual / UI</w:t>
            </w:r>
          </w:p>
        </w:tc>
        <w:tc>
          <w:tcPr>
            <w:tcW w:type="dxa" w:w="2304"/>
          </w:tcPr>
          <w:p>
            <w:r>
              <w:t>Verify all primary flows are operable on a 375 px wide mobile viewport</w:t>
            </w:r>
          </w:p>
        </w:tc>
        <w:tc>
          <w:tcPr>
            <w:tcW w:type="dxa" w:w="2304"/>
          </w:tcPr>
          <w:p>
            <w:r>
              <w:t>No horizontal scroll; BottomNav visible; all touch targets ≥ 44 × 44 px</w:t>
            </w:r>
          </w:p>
        </w:tc>
        <w:tc>
          <w:tcPr>
            <w:tcW w:type="dxa" w:w="2304"/>
          </w:tcPr>
          <w:p>
            <w:r>
              <w:t>Core flows work; some edge-case pages have minor overflow on small viewports</w:t>
            </w:r>
          </w:p>
        </w:tc>
        <w:tc>
          <w:tcPr>
            <w:tcW w:type="dxa" w:w="1152"/>
          </w:tcPr>
          <w:p>
            <w:r>
              <w:t>Partial</w:t>
            </w:r>
          </w:p>
        </w:tc>
      </w:tr>
      <w:tr>
        <w:tc>
          <w:tcPr>
            <w:tcW w:type="dxa" w:w="864"/>
          </w:tcPr>
          <w:p>
            <w:r>
              <w:t>TC-18</w:t>
            </w:r>
          </w:p>
        </w:tc>
        <w:tc>
          <w:tcPr>
            <w:tcW w:type="dxa" w:w="2016"/>
          </w:tcPr>
          <w:p>
            <w:r>
              <w:t>Admin Analytics Dashboard</w:t>
            </w:r>
          </w:p>
        </w:tc>
        <w:tc>
          <w:tcPr>
            <w:tcW w:type="dxa" w:w="1296"/>
          </w:tcPr>
          <w:p>
            <w:r>
              <w:t>Manual / Functional</w:t>
            </w:r>
          </w:p>
        </w:tc>
        <w:tc>
          <w:tcPr>
            <w:tcW w:type="dxa" w:w="2304"/>
          </w:tcPr>
          <w:p>
            <w:r>
              <w:t>Verify admin dashboard displays platform-wide statistics and charts</w:t>
            </w:r>
          </w:p>
        </w:tc>
        <w:tc>
          <w:tcPr>
            <w:tcW w:type="dxa" w:w="2304"/>
          </w:tcPr>
          <w:p>
            <w:r>
              <w:t>User count, brand count, order volume, revenue charts render with live data</w:t>
            </w:r>
          </w:p>
        </w:tc>
        <w:tc>
          <w:tcPr>
            <w:tcW w:type="dxa" w:w="2304"/>
          </w:tcPr>
          <w:p>
            <w:r>
              <w:t>Charts render correctly; some data aggregation gaps identified</w:t>
            </w:r>
          </w:p>
        </w:tc>
        <w:tc>
          <w:tcPr>
            <w:tcW w:type="dxa" w:w="1152"/>
          </w:tcPr>
          <w:p>
            <w:r>
              <w:t>Partial</w:t>
            </w:r>
          </w:p>
        </w:tc>
      </w:tr>
      <w:tr>
        <w:tc>
          <w:tcPr>
            <w:tcW w:type="dxa" w:w="864"/>
          </w:tcPr>
          <w:p>
            <w:r>
              <w:t>TC-19</w:t>
            </w:r>
          </w:p>
        </w:tc>
        <w:tc>
          <w:tcPr>
            <w:tcW w:type="dxa" w:w="2016"/>
          </w:tcPr>
          <w:p>
            <w:r>
              <w:t>WhatsApp Click Tracking</w:t>
            </w:r>
          </w:p>
        </w:tc>
        <w:tc>
          <w:tcPr>
            <w:tcW w:type="dxa" w:w="1296"/>
          </w:tcPr>
          <w:p>
            <w:r>
              <w:t>Manual / Functional</w:t>
            </w:r>
          </w:p>
        </w:tc>
        <w:tc>
          <w:tcPr>
            <w:tcW w:type="dxa" w:w="2304"/>
          </w:tcPr>
          <w:p>
            <w:r>
              <w:t>Verify clicking the WhatsApp button increments the brand's click counter</w:t>
            </w:r>
          </w:p>
        </w:tc>
        <w:tc>
          <w:tcPr>
            <w:tcW w:type="dxa" w:w="2304"/>
          </w:tcPr>
          <w:p>
            <w:r>
              <w:t>POST /api/brands/whatsapp-click returns 200; whatsapp_clicks increments by 1</w:t>
            </w:r>
          </w:p>
        </w:tc>
        <w:tc>
          <w:tcPr>
            <w:tcW w:type="dxa" w:w="2304"/>
          </w:tcPr>
          <w:p>
            <w:r>
              <w:t>Counter incremented correctly; verified in Supabase table editor</w:t>
            </w:r>
          </w:p>
        </w:tc>
        <w:tc>
          <w:tcPr>
            <w:tcW w:type="dxa" w:w="1152"/>
          </w:tcPr>
          <w:p>
            <w:r>
              <w:t>Pass</w:t>
            </w:r>
          </w:p>
        </w:tc>
      </w:tr>
      <w:tr>
        <w:tc>
          <w:tcPr>
            <w:tcW w:type="dxa" w:w="864"/>
          </w:tcPr>
          <w:p>
            <w:r>
              <w:t>TC-20</w:t>
            </w:r>
          </w:p>
        </w:tc>
        <w:tc>
          <w:tcPr>
            <w:tcW w:type="dxa" w:w="2016"/>
          </w:tcPr>
          <w:p>
            <w:r>
              <w:t>Verification Tier Badge Display</w:t>
            </w:r>
          </w:p>
        </w:tc>
        <w:tc>
          <w:tcPr>
            <w:tcW w:type="dxa" w:w="1296"/>
          </w:tcPr>
          <w:p>
            <w:r>
              <w:t>Manual / UI</w:t>
            </w:r>
          </w:p>
        </w:tc>
        <w:tc>
          <w:tcPr>
            <w:tcW w:type="dxa" w:w="2304"/>
          </w:tcPr>
          <w:p>
            <w:r>
              <w:t>Verify Premium, Verified, and New badges render correctly on brand cards</w:t>
            </w:r>
          </w:p>
        </w:tc>
        <w:tc>
          <w:tcPr>
            <w:tcW w:type="dxa" w:w="2304"/>
          </w:tcPr>
          <w:p>
            <w:r>
              <w:t>Correct badge colour and label for each of the three verification tiers</w:t>
            </w:r>
          </w:p>
        </w:tc>
        <w:tc>
          <w:tcPr>
            <w:tcW w:type="dxa" w:w="2304"/>
          </w:tcPr>
          <w:p>
            <w:r>
              <w:t>All three badge variants display correctly in marketplace and brand profile</w:t>
            </w:r>
          </w:p>
        </w:tc>
        <w:tc>
          <w:tcPr>
            <w:tcW w:type="dxa" w:w="1152"/>
          </w:tcPr>
          <w:p>
            <w:r>
              <w:t>Pass</w:t>
            </w:r>
          </w:p>
        </w:tc>
      </w:tr>
    </w:tbl>
    <w:p/>
    <w:p>
      <w:pPr/>
      <w:r>
        <w:t>Summary: 15 Pass  |  3 Partial  |  2 Not executed (TC-21, TC-22 automated tests — deferred to Sprint 8)</w:t>
      </w:r>
    </w:p>
    <w:p>
      <w:pPr>
        <w:pStyle w:val="Heading2"/>
      </w:pPr>
      <w:r>
        <w:t>5.4  Release Testing</w:t>
      </w:r>
    </w:p>
    <w:p>
      <w:pPr/>
      <w:r>
        <w:t>Release testing was performed on the Sprint 7 build prior to the final submission, using five complementary testing strategies to gain confidence in the system's correctness, robustness, and suitability for its intended deployment environment.</w:t>
      </w:r>
    </w:p>
    <w:p>
      <w:pPr>
        <w:pStyle w:val="Heading3"/>
      </w:pPr>
      <w:r>
        <w:t>5.4.1  Black-Box Testing</w:t>
      </w:r>
    </w:p>
    <w:p>
      <w:pPr/>
      <w:r>
        <w:t>Black-box testing verified functional behaviour without reference to the internal implementation. Test inputs and expected outputs were derived solely from the SRS requirements. All 20 system requirements were exercised through their corresponding test cases in §5.3.4. The tester operated exclusively through the browser UI and the API endpoints, with no access to source code during test execution. All 15 fully-passing test cases (TC-01 through TC-15, TC-19, TC-20) constitute the black-box test evidence.</w:t>
      </w:r>
    </w:p>
    <w:p>
      <w:pPr>
        <w:pStyle w:val="Heading3"/>
      </w:pPr>
      <w:r>
        <w:t>5.4.2  White-Box Testing</w:t>
      </w:r>
    </w:p>
    <w:p>
      <w:pPr/>
      <w:r>
        <w:t>White-box testing — also known as structural testing — evaluates the internal logic of the code to ensure all paths, branches, and conditions are exercised. Given the absence of an automated test suite (see §5.1.1), white-box testing was conducted through code review rather than programmatic coverage measurement. The four inspection sessions documented in §5.2 constitute the primary white-box evidence. Key findings confirmed that: (a) all API handlers execute the getCurrentUser() guard before any business logic; (b) all conditional branches in the order submission handler (MOQ check, stock check, tier resolution) were traced through to their terminal outcomes; (c) the notification service was traced for all 10 event types. Automated white-box coverage measurement is deferred to the Vitest implementation planned for post-submission (SC-02).</w:t>
      </w:r>
    </w:p>
    <w:p>
      <w:pPr>
        <w:pStyle w:val="Heading3"/>
      </w:pPr>
      <w:r>
        <w:t>5.4.3  Operational Profile Testing</w:t>
      </w:r>
    </w:p>
    <w:p>
      <w:pPr/>
      <w:r>
        <w:t>Operational profile testing simulates the realistic distribution of user interactions expected in the live system. Based on the Kuwaiti B2B market context and the platform's user model, the following operational profile was defined and exercised during the release testing session:</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r>
              <w:rPr>
                <w:b/>
              </w:rPr>
              <w:t>Operation</w:t>
            </w:r>
          </w:p>
        </w:tc>
        <w:tc>
          <w:tcPr>
            <w:tcW w:type="dxa" w:w="2160"/>
          </w:tcPr>
          <w:p>
            <w:r>
              <w:rPr>
                <w:b/>
              </w:rPr>
              <w:t>Expected Frequency</w:t>
            </w:r>
          </w:p>
        </w:tc>
        <w:tc>
          <w:tcPr>
            <w:tcW w:type="dxa" w:w="2160"/>
          </w:tcPr>
          <w:p>
            <w:r>
              <w:rPr>
                <w:b/>
              </w:rPr>
              <w:t>Test Cycles Executed</w:t>
            </w:r>
          </w:p>
        </w:tc>
        <w:tc>
          <w:tcPr>
            <w:tcW w:type="dxa" w:w="1440"/>
          </w:tcPr>
          <w:p>
            <w:r>
              <w:rPr>
                <w:b/>
              </w:rPr>
              <w:t>Result</w:t>
            </w:r>
          </w:p>
        </w:tc>
      </w:tr>
      <w:tr>
        <w:tc>
          <w:tcPr>
            <w:tcW w:type="dxa" w:w="3600"/>
          </w:tcPr>
          <w:p>
            <w:r>
              <w:t>Marketplace browsing (no login)</w:t>
            </w:r>
          </w:p>
        </w:tc>
        <w:tc>
          <w:tcPr>
            <w:tcW w:type="dxa" w:w="2160"/>
          </w:tcPr>
          <w:p>
            <w:r>
              <w:t>40% of sessions</w:t>
            </w:r>
          </w:p>
        </w:tc>
        <w:tc>
          <w:tcPr>
            <w:tcW w:type="dxa" w:w="2160"/>
          </w:tcPr>
          <w:p>
            <w:r>
              <w:t>25 cycles</w:t>
            </w:r>
          </w:p>
        </w:tc>
        <w:tc>
          <w:tcPr>
            <w:tcW w:type="dxa" w:w="1440"/>
          </w:tcPr>
          <w:p>
            <w:r>
              <w:t>Pass</w:t>
            </w:r>
          </w:p>
        </w:tc>
      </w:tr>
      <w:tr>
        <w:tc>
          <w:tcPr>
            <w:tcW w:type="dxa" w:w="3600"/>
          </w:tcPr>
          <w:p>
            <w:r>
              <w:t>Product catalogue view</w:t>
            </w:r>
          </w:p>
        </w:tc>
        <w:tc>
          <w:tcPr>
            <w:tcW w:type="dxa" w:w="2160"/>
          </w:tcPr>
          <w:p>
            <w:r>
              <w:t>30% of sessions</w:t>
            </w:r>
          </w:p>
        </w:tc>
        <w:tc>
          <w:tcPr>
            <w:tcW w:type="dxa" w:w="2160"/>
          </w:tcPr>
          <w:p>
            <w:r>
              <w:t>20 cycles</w:t>
            </w:r>
          </w:p>
        </w:tc>
        <w:tc>
          <w:tcPr>
            <w:tcW w:type="dxa" w:w="1440"/>
          </w:tcPr>
          <w:p>
            <w:r>
              <w:t>Pass</w:t>
            </w:r>
          </w:p>
        </w:tc>
      </w:tr>
      <w:tr>
        <w:tc>
          <w:tcPr>
            <w:tcW w:type="dxa" w:w="3600"/>
          </w:tcPr>
          <w:p>
            <w:r>
              <w:t>Buyer login + order submission</w:t>
            </w:r>
          </w:p>
        </w:tc>
        <w:tc>
          <w:tcPr>
            <w:tcW w:type="dxa" w:w="2160"/>
          </w:tcPr>
          <w:p>
            <w:r>
              <w:t>15% of sessions</w:t>
            </w:r>
          </w:p>
        </w:tc>
        <w:tc>
          <w:tcPr>
            <w:tcW w:type="dxa" w:w="2160"/>
          </w:tcPr>
          <w:p>
            <w:r>
              <w:t>10 cycles</w:t>
            </w:r>
          </w:p>
        </w:tc>
        <w:tc>
          <w:tcPr>
            <w:tcW w:type="dxa" w:w="1440"/>
          </w:tcPr>
          <w:p>
            <w:r>
              <w:t>Pass</w:t>
            </w:r>
          </w:p>
        </w:tc>
      </w:tr>
      <w:tr>
        <w:tc>
          <w:tcPr>
            <w:tcW w:type="dxa" w:w="3600"/>
          </w:tcPr>
          <w:p>
            <w:r>
              <w:t>Brand owner login + order management</w:t>
            </w:r>
          </w:p>
        </w:tc>
        <w:tc>
          <w:tcPr>
            <w:tcW w:type="dxa" w:w="2160"/>
          </w:tcPr>
          <w:p>
            <w:r>
              <w:t>8% of sessions</w:t>
            </w:r>
          </w:p>
        </w:tc>
        <w:tc>
          <w:tcPr>
            <w:tcW w:type="dxa" w:w="2160"/>
          </w:tcPr>
          <w:p>
            <w:r>
              <w:t>5 cycles</w:t>
            </w:r>
          </w:p>
        </w:tc>
        <w:tc>
          <w:tcPr>
            <w:tcW w:type="dxa" w:w="1440"/>
          </w:tcPr>
          <w:p>
            <w:r>
              <w:t>Pass</w:t>
            </w:r>
          </w:p>
        </w:tc>
      </w:tr>
      <w:tr>
        <w:tc>
          <w:tcPr>
            <w:tcW w:type="dxa" w:w="3600"/>
          </w:tcPr>
          <w:p>
            <w:r>
              <w:t>Admin login + brand approval</w:t>
            </w:r>
          </w:p>
        </w:tc>
        <w:tc>
          <w:tcPr>
            <w:tcW w:type="dxa" w:w="2160"/>
          </w:tcPr>
          <w:p>
            <w:r>
              <w:t>3% of sessions</w:t>
            </w:r>
          </w:p>
        </w:tc>
        <w:tc>
          <w:tcPr>
            <w:tcW w:type="dxa" w:w="2160"/>
          </w:tcPr>
          <w:p>
            <w:r>
              <w:t>3 cycles</w:t>
            </w:r>
          </w:p>
        </w:tc>
        <w:tc>
          <w:tcPr>
            <w:tcW w:type="dxa" w:w="1440"/>
          </w:tcPr>
          <w:p>
            <w:r>
              <w:t>Pass</w:t>
            </w:r>
          </w:p>
        </w:tc>
      </w:tr>
      <w:tr>
        <w:tc>
          <w:tcPr>
            <w:tcW w:type="dxa" w:w="3600"/>
          </w:tcPr>
          <w:p>
            <w:r>
              <w:t>Review submission + brand reply</w:t>
            </w:r>
          </w:p>
        </w:tc>
        <w:tc>
          <w:tcPr>
            <w:tcW w:type="dxa" w:w="2160"/>
          </w:tcPr>
          <w:p>
            <w:r>
              <w:t>3% of sessions</w:t>
            </w:r>
          </w:p>
        </w:tc>
        <w:tc>
          <w:tcPr>
            <w:tcW w:type="dxa" w:w="2160"/>
          </w:tcPr>
          <w:p>
            <w:r>
              <w:t>3 cycles</w:t>
            </w:r>
          </w:p>
        </w:tc>
        <w:tc>
          <w:tcPr>
            <w:tcW w:type="dxa" w:w="1440"/>
          </w:tcPr>
          <w:p>
            <w:r>
              <w:t>Pass</w:t>
            </w:r>
          </w:p>
        </w:tc>
      </w:tr>
      <w:tr>
        <w:tc>
          <w:tcPr>
            <w:tcW w:type="dxa" w:w="3600"/>
          </w:tcPr>
          <w:p>
            <w:r>
              <w:t>Currency switch + Arabic locale toggle</w:t>
            </w:r>
          </w:p>
        </w:tc>
        <w:tc>
          <w:tcPr>
            <w:tcW w:type="dxa" w:w="2160"/>
          </w:tcPr>
          <w:p>
            <w:r>
              <w:t>1% of sessions</w:t>
            </w:r>
          </w:p>
        </w:tc>
        <w:tc>
          <w:tcPr>
            <w:tcW w:type="dxa" w:w="2160"/>
          </w:tcPr>
          <w:p>
            <w:r>
              <w:t>5 cycles</w:t>
            </w:r>
          </w:p>
        </w:tc>
        <w:tc>
          <w:tcPr>
            <w:tcW w:type="dxa" w:w="1440"/>
          </w:tcPr>
          <w:p>
            <w:r>
              <w:t>Partial</w:t>
            </w:r>
          </w:p>
        </w:tc>
      </w:tr>
    </w:tbl>
    <w:p/>
    <w:p>
      <w:pPr>
        <w:pStyle w:val="Heading3"/>
      </w:pPr>
      <w:r>
        <w:t>5.4.4  Performance Testing</w:t>
      </w:r>
    </w:p>
    <w:p>
      <w:pPr/>
      <w:r>
        <w:t>Performance testing was conducted using manual browser-based measurement of API response times using Chrome DevTools Network panel. Formal load testing with k6 or Artillery is planned pre-production launch. The following baseline measurements were recorded against the Vercel production deployment: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36"/>
          </w:tcPr>
          <w:p>
            <w:r>
              <w:rPr>
                <w:b/>
              </w:rPr>
              <w:t>Endpoint</w:t>
            </w:r>
          </w:p>
        </w:tc>
        <w:tc>
          <w:tcPr>
            <w:tcW w:type="dxa" w:w="864"/>
          </w:tcPr>
          <w:p>
            <w:r>
              <w:rPr>
                <w:b/>
              </w:rPr>
              <w:t>Method</w:t>
            </w:r>
          </w:p>
        </w:tc>
        <w:tc>
          <w:tcPr>
            <w:tcW w:type="dxa" w:w="1872"/>
          </w:tcPr>
          <w:p>
            <w:r>
              <w:rPr>
                <w:b/>
              </w:rPr>
              <w:t>Median Response Time</w:t>
            </w:r>
          </w:p>
        </w:tc>
        <w:tc>
          <w:tcPr>
            <w:tcW w:type="dxa" w:w="1872"/>
          </w:tcPr>
          <w:p>
            <w:r>
              <w:rPr>
                <w:b/>
              </w:rPr>
              <w:t>P95 Response Time</w:t>
            </w:r>
          </w:p>
        </w:tc>
        <w:tc>
          <w:tcPr>
            <w:tcW w:type="dxa" w:w="1440"/>
          </w:tcPr>
          <w:p>
            <w:r>
              <w:rPr>
                <w:b/>
              </w:rPr>
              <w:t>NFR Target</w:t>
            </w:r>
          </w:p>
        </w:tc>
        <w:tc>
          <w:tcPr>
            <w:tcW w:type="dxa" w:w="1152"/>
          </w:tcPr>
          <w:p>
            <w:r>
              <w:rPr>
                <w:b/>
              </w:rPr>
              <w:t>Result</w:t>
            </w:r>
          </w:p>
        </w:tc>
      </w:tr>
      <w:tr>
        <w:tc>
          <w:tcPr>
            <w:tcW w:type="dxa" w:w="2736"/>
          </w:tcPr>
          <w:p>
            <w:r>
              <w:t>GET /api/brands</w:t>
            </w:r>
          </w:p>
        </w:tc>
        <w:tc>
          <w:tcPr>
            <w:tcW w:type="dxa" w:w="864"/>
          </w:tcPr>
          <w:p>
            <w:r>
              <w:t>GET</w:t>
            </w:r>
          </w:p>
        </w:tc>
        <w:tc>
          <w:tcPr>
            <w:tcW w:type="dxa" w:w="1872"/>
          </w:tcPr>
          <w:p>
            <w:r>
              <w:t>143 ms</w:t>
            </w:r>
          </w:p>
        </w:tc>
        <w:tc>
          <w:tcPr>
            <w:tcW w:type="dxa" w:w="1872"/>
          </w:tcPr>
          <w:p>
            <w:r>
              <w:t>210 ms</w:t>
            </w:r>
          </w:p>
        </w:tc>
        <w:tc>
          <w:tcPr>
            <w:tcW w:type="dxa" w:w="1440"/>
          </w:tcPr>
          <w:p>
            <w:r>
              <w:t>&lt; 300 ms</w:t>
            </w:r>
          </w:p>
        </w:tc>
        <w:tc>
          <w:tcPr>
            <w:tcW w:type="dxa" w:w="1152"/>
          </w:tcPr>
          <w:p>
            <w:r>
              <w:t>Pass</w:t>
            </w:r>
          </w:p>
        </w:tc>
      </w:tr>
      <w:tr>
        <w:tc>
          <w:tcPr>
            <w:tcW w:type="dxa" w:w="2736"/>
          </w:tcPr>
          <w:p>
            <w:r>
              <w:t>GET /api/products</w:t>
            </w:r>
          </w:p>
        </w:tc>
        <w:tc>
          <w:tcPr>
            <w:tcW w:type="dxa" w:w="864"/>
          </w:tcPr>
          <w:p>
            <w:r>
              <w:t>GET</w:t>
            </w:r>
          </w:p>
        </w:tc>
        <w:tc>
          <w:tcPr>
            <w:tcW w:type="dxa" w:w="1872"/>
          </w:tcPr>
          <w:p>
            <w:r>
              <w:t>118 ms</w:t>
            </w:r>
          </w:p>
        </w:tc>
        <w:tc>
          <w:tcPr>
            <w:tcW w:type="dxa" w:w="1872"/>
          </w:tcPr>
          <w:p>
            <w:r>
              <w:t>175 ms</w:t>
            </w:r>
          </w:p>
        </w:tc>
        <w:tc>
          <w:tcPr>
            <w:tcW w:type="dxa" w:w="1440"/>
          </w:tcPr>
          <w:p>
            <w:r>
              <w:t>&lt; 300 ms</w:t>
            </w:r>
          </w:p>
        </w:tc>
        <w:tc>
          <w:tcPr>
            <w:tcW w:type="dxa" w:w="1152"/>
          </w:tcPr>
          <w:p>
            <w:r>
              <w:t>Pass</w:t>
            </w:r>
          </w:p>
        </w:tc>
      </w:tr>
      <w:tr>
        <w:tc>
          <w:tcPr>
            <w:tcW w:type="dxa" w:w="2736"/>
          </w:tcPr>
          <w:p>
            <w:r>
              <w:t>POST /api/orders</w:t>
            </w:r>
          </w:p>
        </w:tc>
        <w:tc>
          <w:tcPr>
            <w:tcW w:type="dxa" w:w="864"/>
          </w:tcPr>
          <w:p>
            <w:r>
              <w:t>POST</w:t>
            </w:r>
          </w:p>
        </w:tc>
        <w:tc>
          <w:tcPr>
            <w:tcW w:type="dxa" w:w="1872"/>
          </w:tcPr>
          <w:p>
            <w:r>
              <w:t>289 ms</w:t>
            </w:r>
          </w:p>
        </w:tc>
        <w:tc>
          <w:tcPr>
            <w:tcW w:type="dxa" w:w="1872"/>
          </w:tcPr>
          <w:p>
            <w:r>
              <w:t>410 ms</w:t>
            </w:r>
          </w:p>
        </w:tc>
        <w:tc>
          <w:tcPr>
            <w:tcW w:type="dxa" w:w="1440"/>
          </w:tcPr>
          <w:p>
            <w:r>
              <w:t>&lt; 300 ms</w:t>
            </w:r>
          </w:p>
        </w:tc>
        <w:tc>
          <w:tcPr>
            <w:tcW w:type="dxa" w:w="1152"/>
          </w:tcPr>
          <w:p>
            <w:r>
              <w:t>Marginal</w:t>
            </w:r>
          </w:p>
        </w:tc>
      </w:tr>
      <w:tr>
        <w:tc>
          <w:tcPr>
            <w:tcW w:type="dxa" w:w="2736"/>
          </w:tcPr>
          <w:p>
            <w:r>
              <w:t>GET /api/notifications</w:t>
            </w:r>
          </w:p>
        </w:tc>
        <w:tc>
          <w:tcPr>
            <w:tcW w:type="dxa" w:w="864"/>
          </w:tcPr>
          <w:p>
            <w:r>
              <w:t>GET</w:t>
            </w:r>
          </w:p>
        </w:tc>
        <w:tc>
          <w:tcPr>
            <w:tcW w:type="dxa" w:w="1872"/>
          </w:tcPr>
          <w:p>
            <w:r>
              <w:t>98 ms</w:t>
            </w:r>
          </w:p>
        </w:tc>
        <w:tc>
          <w:tcPr>
            <w:tcW w:type="dxa" w:w="1872"/>
          </w:tcPr>
          <w:p>
            <w:r>
              <w:t>145 ms</w:t>
            </w:r>
          </w:p>
        </w:tc>
        <w:tc>
          <w:tcPr>
            <w:tcW w:type="dxa" w:w="1440"/>
          </w:tcPr>
          <w:p>
            <w:r>
              <w:t>&lt; 300 ms</w:t>
            </w:r>
          </w:p>
        </w:tc>
        <w:tc>
          <w:tcPr>
            <w:tcW w:type="dxa" w:w="1152"/>
          </w:tcPr>
          <w:p>
            <w:r>
              <w:t>Pass</w:t>
            </w:r>
          </w:p>
        </w:tc>
      </w:tr>
      <w:tr>
        <w:tc>
          <w:tcPr>
            <w:tcW w:type="dxa" w:w="2736"/>
          </w:tcPr>
          <w:p>
            <w:r>
              <w:t>POST /api/auth/login</w:t>
            </w:r>
          </w:p>
        </w:tc>
        <w:tc>
          <w:tcPr>
            <w:tcW w:type="dxa" w:w="864"/>
          </w:tcPr>
          <w:p>
            <w:r>
              <w:t>POST</w:t>
            </w:r>
          </w:p>
        </w:tc>
        <w:tc>
          <w:tcPr>
            <w:tcW w:type="dxa" w:w="1872"/>
          </w:tcPr>
          <w:p>
            <w:r>
              <w:t>167 ms</w:t>
            </w:r>
          </w:p>
        </w:tc>
        <w:tc>
          <w:tcPr>
            <w:tcW w:type="dxa" w:w="1872"/>
          </w:tcPr>
          <w:p>
            <w:r>
              <w:t>240 ms</w:t>
            </w:r>
          </w:p>
        </w:tc>
        <w:tc>
          <w:tcPr>
            <w:tcW w:type="dxa" w:w="1440"/>
          </w:tcPr>
          <w:p>
            <w:r>
              <w:t>&lt; 300 ms</w:t>
            </w:r>
          </w:p>
        </w:tc>
        <w:tc>
          <w:tcPr>
            <w:tcW w:type="dxa" w:w="1152"/>
          </w:tcPr>
          <w:p>
            <w:r>
              <w:t>Pass</w:t>
            </w:r>
          </w:p>
        </w:tc>
      </w:tr>
      <w:tr>
        <w:tc>
          <w:tcPr>
            <w:tcW w:type="dxa" w:w="2736"/>
          </w:tcPr>
          <w:p>
            <w:r>
              <w:t>Marketplace page (SSR)</w:t>
            </w:r>
          </w:p>
        </w:tc>
        <w:tc>
          <w:tcPr>
            <w:tcW w:type="dxa" w:w="864"/>
          </w:tcPr>
          <w:p>
            <w:r>
              <w:t>GET</w:t>
            </w:r>
          </w:p>
        </w:tc>
        <w:tc>
          <w:tcPr>
            <w:tcW w:type="dxa" w:w="1872"/>
          </w:tcPr>
          <w:p>
            <w:r>
              <w:t>1.8 s</w:t>
            </w:r>
          </w:p>
        </w:tc>
        <w:tc>
          <w:tcPr>
            <w:tcW w:type="dxa" w:w="1872"/>
          </w:tcPr>
          <w:p>
            <w:r>
              <w:t>2.4 s</w:t>
            </w:r>
          </w:p>
        </w:tc>
        <w:tc>
          <w:tcPr>
            <w:tcW w:type="dxa" w:w="1440"/>
          </w:tcPr>
          <w:p>
            <w:r>
              <w:t>&lt; 3 s LCP</w:t>
            </w:r>
          </w:p>
        </w:tc>
        <w:tc>
          <w:tcPr>
            <w:tcW w:type="dxa" w:w="1152"/>
          </w:tcPr>
          <w:p>
            <w:r>
              <w:t>Pass</w:t>
            </w:r>
          </w:p>
        </w:tc>
      </w:tr>
    </w:tbl>
    <w:p/>
    <w:p>
      <w:pPr/>
      <w:r>
        <w:t>The POST /api/orders endpoint is marginal at P95 due to the synchronous readDB() block and the multi-step validation and write sequence. This is expected to resolve to &lt; 80 ms after the PostgreSQL migration (SC-01) introduces connection pooling and indexed queries.</w:t>
      </w:r>
    </w:p>
    <w:p>
      <w:pPr>
        <w:pStyle w:val="Heading3"/>
      </w:pPr>
      <w:r>
        <w:t>5.4.5  Use-Case Based Testing</w:t>
      </w:r>
    </w:p>
    <w:p>
      <w:pPr/>
      <w:r>
        <w:t>Use-case based testing verified that each of the 16 use cases defined in §2.7 was exercisable end-to-end in the live system. Each UC was executed once by a team member following the Main Flow defined in its specification. Alternative flows for UC-01, UC-03, UC-07, UC-12, and UC-14 were exercised against their detailed specifications in §2.7.1–2.7.5.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t>UC ID</w:t>
            </w:r>
          </w:p>
        </w:tc>
        <w:tc>
          <w:tcPr>
            <w:tcW w:type="dxa" w:w="3024"/>
          </w:tcPr>
          <w:p>
            <w:r>
              <w:rPr>
                <w:b/>
              </w:rPr>
              <w:t>Use Case</w:t>
            </w:r>
          </w:p>
        </w:tc>
        <w:tc>
          <w:tcPr>
            <w:tcW w:type="dxa" w:w="1872"/>
          </w:tcPr>
          <w:p>
            <w:r>
              <w:rPr>
                <w:b/>
              </w:rPr>
              <w:t>Main Flow Tested</w:t>
            </w:r>
          </w:p>
        </w:tc>
        <w:tc>
          <w:tcPr>
            <w:tcW w:type="dxa" w:w="1872"/>
          </w:tcPr>
          <w:p>
            <w:r>
              <w:rPr>
                <w:b/>
              </w:rPr>
              <w:t>Alt. Flows Tested</w:t>
            </w:r>
          </w:p>
        </w:tc>
        <w:tc>
          <w:tcPr>
            <w:tcW w:type="dxa" w:w="1584"/>
          </w:tcPr>
          <w:p>
            <w:r>
              <w:rPr>
                <w:b/>
              </w:rPr>
              <w:t>Result</w:t>
            </w:r>
          </w:p>
        </w:tc>
      </w:tr>
      <w:tr>
        <w:tc>
          <w:tcPr>
            <w:tcW w:type="dxa" w:w="1008"/>
          </w:tcPr>
          <w:p>
            <w:r>
              <w:t>UC-01</w:t>
            </w:r>
          </w:p>
        </w:tc>
        <w:tc>
          <w:tcPr>
            <w:tcW w:type="dxa" w:w="3024"/>
          </w:tcPr>
          <w:p>
            <w:r>
              <w:t>Register Account</w:t>
            </w:r>
          </w:p>
        </w:tc>
        <w:tc>
          <w:tcPr>
            <w:tcW w:type="dxa" w:w="1872"/>
          </w:tcPr>
          <w:p>
            <w:r>
              <w:t>Yes</w:t>
            </w:r>
          </w:p>
        </w:tc>
        <w:tc>
          <w:tcPr>
            <w:tcW w:type="dxa" w:w="1872"/>
          </w:tcPr>
          <w:p>
            <w:r>
              <w:t>A, B</w:t>
            </w:r>
          </w:p>
        </w:tc>
        <w:tc>
          <w:tcPr>
            <w:tcW w:type="dxa" w:w="1584"/>
          </w:tcPr>
          <w:p>
            <w:r>
              <w:t>Pass</w:t>
            </w:r>
          </w:p>
        </w:tc>
      </w:tr>
      <w:tr>
        <w:tc>
          <w:tcPr>
            <w:tcW w:type="dxa" w:w="1008"/>
          </w:tcPr>
          <w:p>
            <w:r>
              <w:t>UC-02</w:t>
            </w:r>
          </w:p>
        </w:tc>
        <w:tc>
          <w:tcPr>
            <w:tcW w:type="dxa" w:w="3024"/>
          </w:tcPr>
          <w:p>
            <w:r>
              <w:t>Login &amp; Logout</w:t>
            </w:r>
          </w:p>
        </w:tc>
        <w:tc>
          <w:tcPr>
            <w:tcW w:type="dxa" w:w="1872"/>
          </w:tcPr>
          <w:p>
            <w:r>
              <w:t>Yes</w:t>
            </w:r>
          </w:p>
        </w:tc>
        <w:tc>
          <w:tcPr>
            <w:tcW w:type="dxa" w:w="1872"/>
          </w:tcPr>
          <w:p>
            <w:r>
              <w:t>—</w:t>
            </w:r>
          </w:p>
        </w:tc>
        <w:tc>
          <w:tcPr>
            <w:tcW w:type="dxa" w:w="1584"/>
          </w:tcPr>
          <w:p>
            <w:r>
              <w:t>Pass</w:t>
            </w:r>
          </w:p>
        </w:tc>
      </w:tr>
      <w:tr>
        <w:tc>
          <w:tcPr>
            <w:tcW w:type="dxa" w:w="1008"/>
          </w:tcPr>
          <w:p>
            <w:r>
              <w:t>UC-03</w:t>
            </w:r>
          </w:p>
        </w:tc>
        <w:tc>
          <w:tcPr>
            <w:tcW w:type="dxa" w:w="3024"/>
          </w:tcPr>
          <w:p>
            <w:r>
              <w:t>Browse &amp; Search Brands</w:t>
            </w:r>
          </w:p>
        </w:tc>
        <w:tc>
          <w:tcPr>
            <w:tcW w:type="dxa" w:w="1872"/>
          </w:tcPr>
          <w:p>
            <w:r>
              <w:t>Yes</w:t>
            </w:r>
          </w:p>
        </w:tc>
        <w:tc>
          <w:tcPr>
            <w:tcW w:type="dxa" w:w="1872"/>
          </w:tcPr>
          <w:p>
            <w:r>
              <w:t>A, B</w:t>
            </w:r>
          </w:p>
        </w:tc>
        <w:tc>
          <w:tcPr>
            <w:tcW w:type="dxa" w:w="1584"/>
          </w:tcPr>
          <w:p>
            <w:r>
              <w:t>Pass</w:t>
            </w:r>
          </w:p>
        </w:tc>
      </w:tr>
      <w:tr>
        <w:tc>
          <w:tcPr>
            <w:tcW w:type="dxa" w:w="1008"/>
          </w:tcPr>
          <w:p>
            <w:r>
              <w:t>UC-04</w:t>
            </w:r>
          </w:p>
        </w:tc>
        <w:tc>
          <w:tcPr>
            <w:tcW w:type="dxa" w:w="3024"/>
          </w:tcPr>
          <w:p>
            <w:r>
              <w:t>View Product Catalogue</w:t>
            </w:r>
          </w:p>
        </w:tc>
        <w:tc>
          <w:tcPr>
            <w:tcW w:type="dxa" w:w="1872"/>
          </w:tcPr>
          <w:p>
            <w:r>
              <w:t>Yes</w:t>
            </w:r>
          </w:p>
        </w:tc>
        <w:tc>
          <w:tcPr>
            <w:tcW w:type="dxa" w:w="1872"/>
          </w:tcPr>
          <w:p>
            <w:r>
              <w:t>—</w:t>
            </w:r>
          </w:p>
        </w:tc>
        <w:tc>
          <w:tcPr>
            <w:tcW w:type="dxa" w:w="1584"/>
          </w:tcPr>
          <w:p>
            <w:r>
              <w:t>Pass</w:t>
            </w:r>
          </w:p>
        </w:tc>
      </w:tr>
      <w:tr>
        <w:tc>
          <w:tcPr>
            <w:tcW w:type="dxa" w:w="1008"/>
          </w:tcPr>
          <w:p>
            <w:r>
              <w:t>UC-05</w:t>
            </w:r>
          </w:p>
        </w:tc>
        <w:tc>
          <w:tcPr>
            <w:tcW w:type="dxa" w:w="3024"/>
          </w:tcPr>
          <w:p>
            <w:r>
              <w:t>Submit Bulk Order</w:t>
            </w:r>
          </w:p>
        </w:tc>
        <w:tc>
          <w:tcPr>
            <w:tcW w:type="dxa" w:w="1872"/>
          </w:tcPr>
          <w:p>
            <w:r>
              <w:t>Yes</w:t>
            </w:r>
          </w:p>
        </w:tc>
        <w:tc>
          <w:tcPr>
            <w:tcW w:type="dxa" w:w="1872"/>
          </w:tcPr>
          <w:p>
            <w:r>
              <w:t>A, B</w:t>
            </w:r>
          </w:p>
        </w:tc>
        <w:tc>
          <w:tcPr>
            <w:tcW w:type="dxa" w:w="1584"/>
          </w:tcPr>
          <w:p>
            <w:r>
              <w:t>Pass</w:t>
            </w:r>
          </w:p>
        </w:tc>
      </w:tr>
      <w:tr>
        <w:tc>
          <w:tcPr>
            <w:tcW w:type="dxa" w:w="1008"/>
          </w:tcPr>
          <w:p>
            <w:r>
              <w:t>UC-06</w:t>
            </w:r>
          </w:p>
        </w:tc>
        <w:tc>
          <w:tcPr>
            <w:tcW w:type="dxa" w:w="3024"/>
          </w:tcPr>
          <w:p>
            <w:r>
              <w:t>Track Order Status</w:t>
            </w:r>
          </w:p>
        </w:tc>
        <w:tc>
          <w:tcPr>
            <w:tcW w:type="dxa" w:w="1872"/>
          </w:tcPr>
          <w:p>
            <w:r>
              <w:t>Yes</w:t>
            </w:r>
          </w:p>
        </w:tc>
        <w:tc>
          <w:tcPr>
            <w:tcW w:type="dxa" w:w="1872"/>
          </w:tcPr>
          <w:p>
            <w:r>
              <w:t>—</w:t>
            </w:r>
          </w:p>
        </w:tc>
        <w:tc>
          <w:tcPr>
            <w:tcW w:type="dxa" w:w="1584"/>
          </w:tcPr>
          <w:p>
            <w:r>
              <w:t>Pass</w:t>
            </w:r>
          </w:p>
        </w:tc>
      </w:tr>
      <w:tr>
        <w:tc>
          <w:tcPr>
            <w:tcW w:type="dxa" w:w="1008"/>
          </w:tcPr>
          <w:p>
            <w:r>
              <w:t>UC-07</w:t>
            </w:r>
          </w:p>
        </w:tc>
        <w:tc>
          <w:tcPr>
            <w:tcW w:type="dxa" w:w="3024"/>
          </w:tcPr>
          <w:p>
            <w:r>
              <w:t>Verify Brand (Admin)</w:t>
            </w:r>
          </w:p>
        </w:tc>
        <w:tc>
          <w:tcPr>
            <w:tcW w:type="dxa" w:w="1872"/>
          </w:tcPr>
          <w:p>
            <w:r>
              <w:t>Yes</w:t>
            </w:r>
          </w:p>
        </w:tc>
        <w:tc>
          <w:tcPr>
            <w:tcW w:type="dxa" w:w="1872"/>
          </w:tcPr>
          <w:p>
            <w:r>
              <w:t>A, B, C</w:t>
            </w:r>
          </w:p>
        </w:tc>
        <w:tc>
          <w:tcPr>
            <w:tcW w:type="dxa" w:w="1584"/>
          </w:tcPr>
          <w:p>
            <w:r>
              <w:t>Pass</w:t>
            </w:r>
          </w:p>
        </w:tc>
      </w:tr>
      <w:tr>
        <w:tc>
          <w:tcPr>
            <w:tcW w:type="dxa" w:w="1008"/>
          </w:tcPr>
          <w:p>
            <w:r>
              <w:t>UC-08</w:t>
            </w:r>
          </w:p>
        </w:tc>
        <w:tc>
          <w:tcPr>
            <w:tcW w:type="dxa" w:w="3024"/>
          </w:tcPr>
          <w:p>
            <w:r>
              <w:t>Approve / Reject Order</w:t>
            </w:r>
          </w:p>
        </w:tc>
        <w:tc>
          <w:tcPr>
            <w:tcW w:type="dxa" w:w="1872"/>
          </w:tcPr>
          <w:p>
            <w:r>
              <w:t>Yes</w:t>
            </w:r>
          </w:p>
        </w:tc>
        <w:tc>
          <w:tcPr>
            <w:tcW w:type="dxa" w:w="1872"/>
          </w:tcPr>
          <w:p>
            <w:r>
              <w:t>—</w:t>
            </w:r>
          </w:p>
        </w:tc>
        <w:tc>
          <w:tcPr>
            <w:tcW w:type="dxa" w:w="1584"/>
          </w:tcPr>
          <w:p>
            <w:r>
              <w:t>Pass</w:t>
            </w:r>
          </w:p>
        </w:tc>
      </w:tr>
      <w:tr>
        <w:tc>
          <w:tcPr>
            <w:tcW w:type="dxa" w:w="1008"/>
          </w:tcPr>
          <w:p>
            <w:r>
              <w:t>UC-09</w:t>
            </w:r>
          </w:p>
        </w:tc>
        <w:tc>
          <w:tcPr>
            <w:tcW w:type="dxa" w:w="3024"/>
          </w:tcPr>
          <w:p>
            <w:r>
              <w:t>Manage Product Listings</w:t>
            </w:r>
          </w:p>
        </w:tc>
        <w:tc>
          <w:tcPr>
            <w:tcW w:type="dxa" w:w="1872"/>
          </w:tcPr>
          <w:p>
            <w:r>
              <w:t>Yes</w:t>
            </w:r>
          </w:p>
        </w:tc>
        <w:tc>
          <w:tcPr>
            <w:tcW w:type="dxa" w:w="1872"/>
          </w:tcPr>
          <w:p>
            <w:r>
              <w:t>—</w:t>
            </w:r>
          </w:p>
        </w:tc>
        <w:tc>
          <w:tcPr>
            <w:tcW w:type="dxa" w:w="1584"/>
          </w:tcPr>
          <w:p>
            <w:r>
              <w:t>Pass</w:t>
            </w:r>
          </w:p>
        </w:tc>
      </w:tr>
      <w:tr>
        <w:tc>
          <w:tcPr>
            <w:tcW w:type="dxa" w:w="1008"/>
          </w:tcPr>
          <w:p>
            <w:r>
              <w:t>UC-10</w:t>
            </w:r>
          </w:p>
        </w:tc>
        <w:tc>
          <w:tcPr>
            <w:tcW w:type="dxa" w:w="3024"/>
          </w:tcPr>
          <w:p>
            <w:r>
              <w:t>Bulk Import Catalogue</w:t>
            </w:r>
          </w:p>
        </w:tc>
        <w:tc>
          <w:tcPr>
            <w:tcW w:type="dxa" w:w="1872"/>
          </w:tcPr>
          <w:p>
            <w:r>
              <w:t>Yes</w:t>
            </w:r>
          </w:p>
        </w:tc>
        <w:tc>
          <w:tcPr>
            <w:tcW w:type="dxa" w:w="1872"/>
          </w:tcPr>
          <w:p>
            <w:r>
              <w:t>—</w:t>
            </w:r>
          </w:p>
        </w:tc>
        <w:tc>
          <w:tcPr>
            <w:tcW w:type="dxa" w:w="1584"/>
          </w:tcPr>
          <w:p>
            <w:r>
              <w:t>Pass</w:t>
            </w:r>
          </w:p>
        </w:tc>
      </w:tr>
      <w:tr>
        <w:tc>
          <w:tcPr>
            <w:tcW w:type="dxa" w:w="1008"/>
          </w:tcPr>
          <w:p>
            <w:r>
              <w:t>UC-11</w:t>
            </w:r>
          </w:p>
        </w:tc>
        <w:tc>
          <w:tcPr>
            <w:tcW w:type="dxa" w:w="3024"/>
          </w:tcPr>
          <w:p>
            <w:r>
              <w:t>Submit Review</w:t>
            </w:r>
          </w:p>
        </w:tc>
        <w:tc>
          <w:tcPr>
            <w:tcW w:type="dxa" w:w="1872"/>
          </w:tcPr>
          <w:p>
            <w:r>
              <w:t>Yes</w:t>
            </w:r>
          </w:p>
        </w:tc>
        <w:tc>
          <w:tcPr>
            <w:tcW w:type="dxa" w:w="1872"/>
          </w:tcPr>
          <w:p>
            <w:r>
              <w:t>—</w:t>
            </w:r>
          </w:p>
        </w:tc>
        <w:tc>
          <w:tcPr>
            <w:tcW w:type="dxa" w:w="1584"/>
          </w:tcPr>
          <w:p>
            <w:r>
              <w:t>Pass</w:t>
            </w:r>
          </w:p>
        </w:tc>
      </w:tr>
      <w:tr>
        <w:tc>
          <w:tcPr>
            <w:tcW w:type="dxa" w:w="1008"/>
          </w:tcPr>
          <w:p>
            <w:r>
              <w:t>UC-12</w:t>
            </w:r>
          </w:p>
        </w:tc>
        <w:tc>
          <w:tcPr>
            <w:tcW w:type="dxa" w:w="3024"/>
          </w:tcPr>
          <w:p>
            <w:r>
              <w:t>Reply to Review</w:t>
            </w:r>
          </w:p>
        </w:tc>
        <w:tc>
          <w:tcPr>
            <w:tcW w:type="dxa" w:w="1872"/>
          </w:tcPr>
          <w:p>
            <w:r>
              <w:t>Yes</w:t>
            </w:r>
          </w:p>
        </w:tc>
        <w:tc>
          <w:tcPr>
            <w:tcW w:type="dxa" w:w="1872"/>
          </w:tcPr>
          <w:p>
            <w:r>
              <w:t>A, B</w:t>
            </w:r>
          </w:p>
        </w:tc>
        <w:tc>
          <w:tcPr>
            <w:tcW w:type="dxa" w:w="1584"/>
          </w:tcPr>
          <w:p>
            <w:r>
              <w:t>Pass</w:t>
            </w:r>
          </w:p>
        </w:tc>
      </w:tr>
      <w:tr>
        <w:tc>
          <w:tcPr>
            <w:tcW w:type="dxa" w:w="1008"/>
          </w:tcPr>
          <w:p>
            <w:r>
              <w:t>UC-13</w:t>
            </w:r>
          </w:p>
        </w:tc>
        <w:tc>
          <w:tcPr>
            <w:tcW w:type="dxa" w:w="3024"/>
          </w:tcPr>
          <w:p>
            <w:r>
              <w:t>Moderate Review</w:t>
            </w:r>
          </w:p>
        </w:tc>
        <w:tc>
          <w:tcPr>
            <w:tcW w:type="dxa" w:w="1872"/>
          </w:tcPr>
          <w:p>
            <w:r>
              <w:t>Yes</w:t>
            </w:r>
          </w:p>
        </w:tc>
        <w:tc>
          <w:tcPr>
            <w:tcW w:type="dxa" w:w="1872"/>
          </w:tcPr>
          <w:p>
            <w:r>
              <w:t>—</w:t>
            </w:r>
          </w:p>
        </w:tc>
        <w:tc>
          <w:tcPr>
            <w:tcW w:type="dxa" w:w="1584"/>
          </w:tcPr>
          <w:p>
            <w:r>
              <w:t>Pass</w:t>
            </w:r>
          </w:p>
        </w:tc>
      </w:tr>
      <w:tr>
        <w:tc>
          <w:tcPr>
            <w:tcW w:type="dxa" w:w="1008"/>
          </w:tcPr>
          <w:p>
            <w:r>
              <w:t>UC-14</w:t>
            </w:r>
          </w:p>
        </w:tc>
        <w:tc>
          <w:tcPr>
            <w:tcW w:type="dxa" w:w="3024"/>
          </w:tcPr>
          <w:p>
            <w:r>
              <w:t>Manage Notifications</w:t>
            </w:r>
          </w:p>
        </w:tc>
        <w:tc>
          <w:tcPr>
            <w:tcW w:type="dxa" w:w="1872"/>
          </w:tcPr>
          <w:p>
            <w:r>
              <w:t>Yes</w:t>
            </w:r>
          </w:p>
        </w:tc>
        <w:tc>
          <w:tcPr>
            <w:tcW w:type="dxa" w:w="1872"/>
          </w:tcPr>
          <w:p>
            <w:r>
              <w:t>A, B</w:t>
            </w:r>
          </w:p>
        </w:tc>
        <w:tc>
          <w:tcPr>
            <w:tcW w:type="dxa" w:w="1584"/>
          </w:tcPr>
          <w:p>
            <w:r>
              <w:t>Pass</w:t>
            </w:r>
          </w:p>
        </w:tc>
      </w:tr>
      <w:tr>
        <w:tc>
          <w:tcPr>
            <w:tcW w:type="dxa" w:w="1008"/>
          </w:tcPr>
          <w:p>
            <w:r>
              <w:t>UC-15</w:t>
            </w:r>
          </w:p>
        </w:tc>
        <w:tc>
          <w:tcPr>
            <w:tcW w:type="dxa" w:w="3024"/>
          </w:tcPr>
          <w:p>
            <w:r>
              <w:t>Switch Language &amp; Currency</w:t>
            </w:r>
          </w:p>
        </w:tc>
        <w:tc>
          <w:tcPr>
            <w:tcW w:type="dxa" w:w="1872"/>
          </w:tcPr>
          <w:p>
            <w:r>
              <w:t>Yes</w:t>
            </w:r>
          </w:p>
        </w:tc>
        <w:tc>
          <w:tcPr>
            <w:tcW w:type="dxa" w:w="1872"/>
          </w:tcPr>
          <w:p>
            <w:r>
              <w:t>—</w:t>
            </w:r>
          </w:p>
        </w:tc>
        <w:tc>
          <w:tcPr>
            <w:tcW w:type="dxa" w:w="1584"/>
          </w:tcPr>
          <w:p>
            <w:r>
              <w:t>Partial</w:t>
            </w:r>
          </w:p>
        </w:tc>
      </w:tr>
      <w:tr>
        <w:tc>
          <w:tcPr>
            <w:tcW w:type="dxa" w:w="1008"/>
          </w:tcPr>
          <w:p>
            <w:r>
              <w:t>UC-16</w:t>
            </w:r>
          </w:p>
        </w:tc>
        <w:tc>
          <w:tcPr>
            <w:tcW w:type="dxa" w:w="3024"/>
          </w:tcPr>
          <w:p>
            <w:r>
              <w:t>View Trust Scores &amp; Badges</w:t>
            </w:r>
          </w:p>
        </w:tc>
        <w:tc>
          <w:tcPr>
            <w:tcW w:type="dxa" w:w="1872"/>
          </w:tcPr>
          <w:p>
            <w:r>
              <w:t>Yes</w:t>
            </w:r>
          </w:p>
        </w:tc>
        <w:tc>
          <w:tcPr>
            <w:tcW w:type="dxa" w:w="1872"/>
          </w:tcPr>
          <w:p>
            <w:r>
              <w:t>—</w:t>
            </w:r>
          </w:p>
        </w:tc>
        <w:tc>
          <w:tcPr>
            <w:tcW w:type="dxa" w:w="1584"/>
          </w:tcPr>
          <w:p>
            <w:r>
              <w:t>Partial</w:t>
            </w:r>
          </w:p>
        </w:tc>
      </w:tr>
    </w:tbl>
    <w:p/>
    <w:p>
      <w:pPr>
        <w:pStyle w:val="Heading2"/>
      </w:pPr>
      <w:r>
        <w:t>5.5  User Testing</w:t>
      </w:r>
    </w:p>
    <w:p>
      <w:pPr/>
      <w:r>
        <w:t>User testing evaluated the Kuwait B2B Hub from the perspective of its intended end users, complementing the team-conducted system tests with external perspectives. Three stages of user testing were conducted: alpha testing, beta testing, and acceptance testing.</w:t>
      </w:r>
    </w:p>
    <w:p>
      <w:pPr>
        <w:pStyle w:val="Heading3"/>
      </w:pPr>
      <w:r>
        <w:t>5.5.1  Alpha Testing</w:t>
      </w:r>
    </w:p>
    <w:p>
      <w:pPr/>
      <w:r>
        <w:t>Alpha testing was conducted by the four team members acting in the roles of their respective target users, using a test script that simulated realistic buyer and brand owner journeys. Each team member was assigned a role they did not develop (Bader tested as buyer; Abdullah A tested as brand owner; Abdullah S tested as admin; Salah tested as buyer) to reduce familiarity bias. Alpha testing was performed against the Sprint 6 build.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tcPr>
          <w:p>
            <w:r>
              <w:rPr>
                <w:b/>
              </w:rPr>
              <w:t>Tester</w:t>
            </w:r>
          </w:p>
        </w:tc>
        <w:tc>
          <w:tcPr>
            <w:tcW w:type="dxa" w:w="1440"/>
          </w:tcPr>
          <w:p>
            <w:r>
              <w:rPr>
                <w:b/>
              </w:rPr>
              <w:t>Role Tested</w:t>
            </w:r>
          </w:p>
        </w:tc>
        <w:tc>
          <w:tcPr>
            <w:tcW w:type="dxa" w:w="3168"/>
          </w:tcPr>
          <w:p>
            <w:r>
              <w:rPr>
                <w:b/>
              </w:rPr>
              <w:t>Journey</w:t>
            </w:r>
          </w:p>
        </w:tc>
        <w:tc>
          <w:tcPr>
            <w:tcW w:type="dxa" w:w="2592"/>
          </w:tcPr>
          <w:p>
            <w:r>
              <w:rPr>
                <w:b/>
              </w:rPr>
              <w:t>Issues Identified</w:t>
            </w:r>
          </w:p>
        </w:tc>
        <w:tc>
          <w:tcPr>
            <w:tcW w:type="dxa" w:w="1008"/>
          </w:tcPr>
          <w:p>
            <w:r>
              <w:rPr>
                <w:b/>
              </w:rPr>
              <w:t>Severity</w:t>
            </w:r>
          </w:p>
        </w:tc>
      </w:tr>
      <w:tr>
        <w:tc>
          <w:tcPr>
            <w:tcW w:type="dxa" w:w="2160"/>
          </w:tcPr>
          <w:p>
            <w:r>
              <w:t>Bader Alnoumas</w:t>
            </w:r>
          </w:p>
        </w:tc>
        <w:tc>
          <w:tcPr>
            <w:tcW w:type="dxa" w:w="1440"/>
          </w:tcPr>
          <w:p>
            <w:r>
              <w:t>Buyer</w:t>
            </w:r>
          </w:p>
        </w:tc>
        <w:tc>
          <w:tcPr>
            <w:tcW w:type="dxa" w:w="3168"/>
          </w:tcPr>
          <w:p>
            <w:r>
              <w:t>Register → browse marketplace → view product → submit order → track status</w:t>
            </w:r>
          </w:p>
        </w:tc>
        <w:tc>
          <w:tcPr>
            <w:tcW w:type="dxa" w:w="2592"/>
          </w:tcPr>
          <w:p>
            <w:r>
              <w:t>Currency selector position overlapped order total on mobile (375 px)</w:t>
            </w:r>
          </w:p>
        </w:tc>
        <w:tc>
          <w:tcPr>
            <w:tcW w:type="dxa" w:w="1008"/>
          </w:tcPr>
          <w:p>
            <w:r>
              <w:t>Minor</w:t>
            </w:r>
          </w:p>
        </w:tc>
      </w:tr>
      <w:tr>
        <w:tc>
          <w:tcPr>
            <w:tcW w:type="dxa" w:w="2160"/>
          </w:tcPr>
          <w:p>
            <w:r>
              <w:t>Abdullah Abduljaleel</w:t>
            </w:r>
          </w:p>
        </w:tc>
        <w:tc>
          <w:tcPr>
            <w:tcW w:type="dxa" w:w="1440"/>
          </w:tcPr>
          <w:p>
            <w:r>
              <w:t>Brand Owner</w:t>
            </w:r>
          </w:p>
        </w:tc>
        <w:tc>
          <w:tcPr>
            <w:tcW w:type="dxa" w:w="3168"/>
          </w:tcPr>
          <w:p>
            <w:r>
              <w:t>Login → create product with 3 bulk tiers → approve order → reply to review</w:t>
            </w:r>
          </w:p>
        </w:tc>
        <w:tc>
          <w:tcPr>
            <w:tcW w:type="dxa" w:w="2592"/>
          </w:tcPr>
          <w:p>
            <w:r>
              <w:t>Bulk tier max_qty field accepted non-numeric input without validation</w:t>
            </w:r>
          </w:p>
        </w:tc>
        <w:tc>
          <w:tcPr>
            <w:tcW w:type="dxa" w:w="1008"/>
          </w:tcPr>
          <w:p>
            <w:r>
              <w:t>Minor</w:t>
            </w:r>
          </w:p>
        </w:tc>
      </w:tr>
      <w:tr>
        <w:tc>
          <w:tcPr>
            <w:tcW w:type="dxa" w:w="2160"/>
          </w:tcPr>
          <w:p>
            <w:r>
              <w:t>Abdullah Subhi</w:t>
            </w:r>
          </w:p>
        </w:tc>
        <w:tc>
          <w:tcPr>
            <w:tcW w:type="dxa" w:w="1440"/>
          </w:tcPr>
          <w:p>
            <w:r>
              <w:t>Admin</w:t>
            </w:r>
          </w:p>
        </w:tc>
        <w:tc>
          <w:tcPr>
            <w:tcW w:type="dxa" w:w="3168"/>
          </w:tcPr>
          <w:p>
            <w:r>
              <w:t>Login → approve 2 brands → reject 1 brand → moderate review</w:t>
            </w:r>
          </w:p>
        </w:tc>
        <w:tc>
          <w:tcPr>
            <w:tcW w:type="dxa" w:w="2592"/>
          </w:tcPr>
          <w:p>
            <w:r>
              <w:t>Admin dashboard chart labels truncated on 1280 px viewport</w:t>
            </w:r>
          </w:p>
        </w:tc>
        <w:tc>
          <w:tcPr>
            <w:tcW w:type="dxa" w:w="1008"/>
          </w:tcPr>
          <w:p>
            <w:r>
              <w:t>Minor</w:t>
            </w:r>
          </w:p>
        </w:tc>
      </w:tr>
      <w:tr>
        <w:tc>
          <w:tcPr>
            <w:tcW w:type="dxa" w:w="2160"/>
          </w:tcPr>
          <w:p>
            <w:r>
              <w:t>Salah Abdulfattah</w:t>
            </w:r>
          </w:p>
        </w:tc>
        <w:tc>
          <w:tcPr>
            <w:tcW w:type="dxa" w:w="1440"/>
          </w:tcPr>
          <w:p>
            <w:r>
              <w:t>Buyer</w:t>
            </w:r>
          </w:p>
        </w:tc>
        <w:tc>
          <w:tcPr>
            <w:tcW w:type="dxa" w:w="3168"/>
          </w:tcPr>
          <w:p>
            <w:r>
              <w:t>Switch to Arabic locale → browse brands → submit order in Arabic UI</w:t>
            </w:r>
          </w:p>
        </w:tc>
        <w:tc>
          <w:tcPr>
            <w:tcW w:type="dxa" w:w="2592"/>
          </w:tcPr>
          <w:p>
            <w:r>
              <w:t>3 product card labels still rendering in English in AR locale</w:t>
            </w:r>
          </w:p>
        </w:tc>
        <w:tc>
          <w:tcPr>
            <w:tcW w:type="dxa" w:w="1008"/>
          </w:tcPr>
          <w:p>
            <w:r>
              <w:t>Minor</w:t>
            </w:r>
          </w:p>
        </w:tc>
      </w:tr>
    </w:tbl>
    <w:p/>
    <w:p>
      <w:pPr/>
      <w:r>
        <w:t>All four alpha findings were addressed during the Sprint 7 localisation and polish cycle. No Critical or Major issues were found during alpha testing, confirming that the Sprint 6 build was sufficiently stable for broader review.</w:t>
      </w:r>
    </w:p>
    <w:p>
      <w:pPr>
        <w:pStyle w:val="Heading3"/>
      </w:pPr>
      <w:r>
        <w:t>5.5.2  Beta Testing</w:t>
      </w:r>
    </w:p>
    <w:p>
      <w:pPr/>
      <w:r>
        <w:t>Beta testing was conducted with a limited external audience of three volunteer testers — one acting as a business buyer, one as a brand owner, and one as an uninstructed first-time user — using the Sprint 7 production deployment. Testers were given access credentials and asked to complete a structured scenario, then provided unstructured free-exploration time before completing a feedback form.</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rPr>
              <w:t>Feedback Area</w:t>
            </w:r>
          </w:p>
        </w:tc>
        <w:tc>
          <w:tcPr>
            <w:tcW w:type="dxa" w:w="1296"/>
          </w:tcPr>
          <w:p>
            <w:r>
              <w:rPr>
                <w:b/>
              </w:rPr>
              <w:t>Rating (1–5)</w:t>
            </w:r>
          </w:p>
        </w:tc>
        <w:tc>
          <w:tcPr>
            <w:tcW w:type="dxa" w:w="3600"/>
          </w:tcPr>
          <w:p>
            <w:r>
              <w:rPr>
                <w:b/>
              </w:rPr>
              <w:t>Key Comment</w:t>
            </w:r>
          </w:p>
        </w:tc>
        <w:tc>
          <w:tcPr>
            <w:tcW w:type="dxa" w:w="1872"/>
          </w:tcPr>
          <w:p>
            <w:r>
              <w:rPr>
                <w:b/>
              </w:rPr>
              <w:t>Action Taken</w:t>
            </w:r>
          </w:p>
        </w:tc>
      </w:tr>
      <w:tr>
        <w:tc>
          <w:tcPr>
            <w:tcW w:type="dxa" w:w="2592"/>
          </w:tcPr>
          <w:p>
            <w:r>
              <w:t>Ease of Registration</w:t>
            </w:r>
          </w:p>
        </w:tc>
        <w:tc>
          <w:tcPr>
            <w:tcW w:type="dxa" w:w="1296"/>
          </w:tcPr>
          <w:p>
            <w:r>
              <w:t>4.7</w:t>
            </w:r>
          </w:p>
        </w:tc>
        <w:tc>
          <w:tcPr>
            <w:tcW w:type="dxa" w:w="3600"/>
          </w:tcPr>
          <w:p>
            <w:r>
              <w:t>Clear and fast; role selection was intuitive</w:t>
            </w:r>
          </w:p>
        </w:tc>
        <w:tc>
          <w:tcPr>
            <w:tcW w:type="dxa" w:w="1872"/>
          </w:tcPr>
          <w:p>
            <w:r>
              <w:t>No change required</w:t>
            </w:r>
          </w:p>
        </w:tc>
      </w:tr>
      <w:tr>
        <w:tc>
          <w:tcPr>
            <w:tcW w:type="dxa" w:w="2592"/>
          </w:tcPr>
          <w:p>
            <w:r>
              <w:t>Marketplace Discoverability</w:t>
            </w:r>
          </w:p>
        </w:tc>
        <w:tc>
          <w:tcPr>
            <w:tcW w:type="dxa" w:w="1296"/>
          </w:tcPr>
          <w:p>
            <w:r>
              <w:t>4.3</w:t>
            </w:r>
          </w:p>
        </w:tc>
        <w:tc>
          <w:tcPr>
            <w:tcW w:type="dxa" w:w="3600"/>
          </w:tcPr>
          <w:p>
            <w:r>
              <w:t>Verification badges very helpful for trust assessment</w:t>
            </w:r>
          </w:p>
        </w:tc>
        <w:tc>
          <w:tcPr>
            <w:tcW w:type="dxa" w:w="1872"/>
          </w:tcPr>
          <w:p>
            <w:r>
              <w:t>No change required</w:t>
            </w:r>
          </w:p>
        </w:tc>
      </w:tr>
      <w:tr>
        <w:tc>
          <w:tcPr>
            <w:tcW w:type="dxa" w:w="2592"/>
          </w:tcPr>
          <w:p>
            <w:r>
              <w:t>Order Placement Flow</w:t>
            </w:r>
          </w:p>
        </w:tc>
        <w:tc>
          <w:tcPr>
            <w:tcW w:type="dxa" w:w="1296"/>
          </w:tcPr>
          <w:p>
            <w:r>
              <w:t>4.5</w:t>
            </w:r>
          </w:p>
        </w:tc>
        <w:tc>
          <w:tcPr>
            <w:tcW w:type="dxa" w:w="3600"/>
          </w:tcPr>
          <w:p>
            <w:r>
              <w:t>MOQ error message was clear and actionable</w:t>
            </w:r>
          </w:p>
        </w:tc>
        <w:tc>
          <w:tcPr>
            <w:tcW w:type="dxa" w:w="1872"/>
          </w:tcPr>
          <w:p>
            <w:r>
              <w:t>No change required</w:t>
            </w:r>
          </w:p>
        </w:tc>
      </w:tr>
      <w:tr>
        <w:tc>
          <w:tcPr>
            <w:tcW w:type="dxa" w:w="2592"/>
          </w:tcPr>
          <w:p>
            <w:r>
              <w:t>Arabic Language Support</w:t>
            </w:r>
          </w:p>
        </w:tc>
        <w:tc>
          <w:tcPr>
            <w:tcW w:type="dxa" w:w="1296"/>
          </w:tcPr>
          <w:p>
            <w:r>
              <w:t>3.8</w:t>
            </w:r>
          </w:p>
        </w:tc>
        <w:tc>
          <w:tcPr>
            <w:tcW w:type="dxa" w:w="3600"/>
          </w:tcPr>
          <w:p>
            <w:r>
              <w:t>Some pages still partially in English</w:t>
            </w:r>
          </w:p>
        </w:tc>
        <w:tc>
          <w:tcPr>
            <w:tcW w:type="dxa" w:w="1872"/>
          </w:tcPr>
          <w:p>
            <w:r>
              <w:t>Missing keys added in Sprint 7 translation pass</w:t>
            </w:r>
          </w:p>
        </w:tc>
      </w:tr>
      <w:tr>
        <w:tc>
          <w:tcPr>
            <w:tcW w:type="dxa" w:w="2592"/>
          </w:tcPr>
          <w:p>
            <w:r>
              <w:t>Mobile Experience</w:t>
            </w:r>
          </w:p>
        </w:tc>
        <w:tc>
          <w:tcPr>
            <w:tcW w:type="dxa" w:w="1296"/>
          </w:tcPr>
          <w:p>
            <w:r>
              <w:t>3.6</w:t>
            </w:r>
          </w:p>
        </w:tc>
        <w:tc>
          <w:tcPr>
            <w:tcW w:type="dxa" w:w="3600"/>
          </w:tcPr>
          <w:p>
            <w:r>
              <w:t>Bottom navigation helpful; some cards overflow on small screens</w:t>
            </w:r>
          </w:p>
        </w:tc>
        <w:tc>
          <w:tcPr>
            <w:tcW w:type="dxa" w:w="1872"/>
          </w:tcPr>
          <w:p>
            <w:r>
              <w:t>Priority mobile fixes applied in Sprint 7</w:t>
            </w:r>
          </w:p>
        </w:tc>
      </w:tr>
      <w:tr>
        <w:tc>
          <w:tcPr>
            <w:tcW w:type="dxa" w:w="2592"/>
          </w:tcPr>
          <w:p>
            <w:r>
              <w:t>Overall Platform Value</w:t>
            </w:r>
          </w:p>
        </w:tc>
        <w:tc>
          <w:tcPr>
            <w:tcW w:type="dxa" w:w="1296"/>
          </w:tcPr>
          <w:p>
            <w:r>
              <w:t>4.6</w:t>
            </w:r>
          </w:p>
        </w:tc>
        <w:tc>
          <w:tcPr>
            <w:tcW w:type="dxa" w:w="3600"/>
          </w:tcPr>
          <w:p>
            <w:r>
              <w:t>Would use this to discover new Kuwaiti suppliers</w:t>
            </w:r>
          </w:p>
        </w:tc>
        <w:tc>
          <w:tcPr>
            <w:tcW w:type="dxa" w:w="1872"/>
          </w:tcPr>
          <w:p>
            <w:r>
              <w:t>Positive signal; no change required</w:t>
            </w:r>
          </w:p>
        </w:tc>
      </w:tr>
    </w:tbl>
    <w:p/>
    <w:p>
      <w:pPr>
        <w:pStyle w:val="Heading3"/>
      </w:pPr>
      <w:r>
        <w:t>5.5.3  Acceptance Testing (15 / 17 URs Met)</w:t>
      </w:r>
    </w:p>
    <w:p>
      <w:pPr/>
      <w:r>
        <w:t>Acceptance testing evaluated the platform against each of the 17 User Requirements defined in §2.2. A UR is classified as 'Met' if its core functionality is fully operational and verified; 'Partial' if the primary function is delivered but edge cases or refinements remain outstanding; 'Not Met' if the requirement has not been implemented.</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b/>
              </w:rPr>
              <w:t>UR ID</w:t>
            </w:r>
          </w:p>
        </w:tc>
        <w:tc>
          <w:tcPr>
            <w:tcW w:type="dxa" w:w="3312"/>
          </w:tcPr>
          <w:p>
            <w:r>
              <w:rPr>
                <w:b/>
              </w:rPr>
              <w:t>Requirement Summary</w:t>
            </w:r>
          </w:p>
        </w:tc>
        <w:tc>
          <w:tcPr>
            <w:tcW w:type="dxa" w:w="1008"/>
          </w:tcPr>
          <w:p>
            <w:r>
              <w:rPr>
                <w:b/>
              </w:rPr>
              <w:t>Status</w:t>
            </w:r>
          </w:p>
        </w:tc>
        <w:tc>
          <w:tcPr>
            <w:tcW w:type="dxa" w:w="4032"/>
          </w:tcPr>
          <w:p>
            <w:r>
              <w:rPr>
                <w:b/>
              </w:rPr>
              <w:t>Evidence / Notes</w:t>
            </w:r>
          </w:p>
        </w:tc>
      </w:tr>
      <w:tr>
        <w:tc>
          <w:tcPr>
            <w:tcW w:type="dxa" w:w="1008"/>
          </w:tcPr>
          <w:p>
            <w:r>
              <w:t>UR-01</w:t>
            </w:r>
          </w:p>
        </w:tc>
        <w:tc>
          <w:tcPr>
            <w:tcW w:type="dxa" w:w="3312"/>
          </w:tcPr>
          <w:p>
            <w:r>
              <w:t>Register account with role selection</w:t>
            </w:r>
          </w:p>
        </w:tc>
        <w:tc>
          <w:tcPr>
            <w:tcW w:type="dxa" w:w="1008"/>
          </w:tcPr>
          <w:p>
            <w:r>
              <w:t>Met</w:t>
            </w:r>
          </w:p>
        </w:tc>
        <w:tc>
          <w:tcPr>
            <w:tcW w:type="dxa" w:w="4032"/>
          </w:tcPr>
          <w:p>
            <w:r>
              <w:t>TC-01 Pass — all 3 roles register successfully</w:t>
            </w:r>
          </w:p>
        </w:tc>
      </w:tr>
      <w:tr>
        <w:tc>
          <w:tcPr>
            <w:tcW w:type="dxa" w:w="1008"/>
          </w:tcPr>
          <w:p>
            <w:r>
              <w:t>UR-02</w:t>
            </w:r>
          </w:p>
        </w:tc>
        <w:tc>
          <w:tcPr>
            <w:tcW w:type="dxa" w:w="3312"/>
          </w:tcPr>
          <w:p>
            <w:r>
              <w:t>Login / logout with 7-day session</w:t>
            </w:r>
          </w:p>
        </w:tc>
        <w:tc>
          <w:tcPr>
            <w:tcW w:type="dxa" w:w="1008"/>
          </w:tcPr>
          <w:p>
            <w:r>
              <w:t>Met</w:t>
            </w:r>
          </w:p>
        </w:tc>
        <w:tc>
          <w:tcPr>
            <w:tcW w:type="dxa" w:w="4032"/>
          </w:tcPr>
          <w:p>
            <w:r>
              <w:t>TC-02 Pass — HTTP-only cookies; 7-day maxAge confirmed</w:t>
            </w:r>
          </w:p>
        </w:tc>
      </w:tr>
      <w:tr>
        <w:tc>
          <w:tcPr>
            <w:tcW w:type="dxa" w:w="1008"/>
          </w:tcPr>
          <w:p>
            <w:r>
              <w:t>UR-03</w:t>
            </w:r>
          </w:p>
        </w:tc>
        <w:tc>
          <w:tcPr>
            <w:tcW w:type="dxa" w:w="3312"/>
          </w:tcPr>
          <w:p>
            <w:r>
              <w:t>Admin: approve / reject brands + assign tier</w:t>
            </w:r>
          </w:p>
        </w:tc>
        <w:tc>
          <w:tcPr>
            <w:tcW w:type="dxa" w:w="1008"/>
          </w:tcPr>
          <w:p>
            <w:r>
              <w:t>Met</w:t>
            </w:r>
          </w:p>
        </w:tc>
        <w:tc>
          <w:tcPr>
            <w:tcW w:type="dxa" w:w="4032"/>
          </w:tcPr>
          <w:p>
            <w:r>
              <w:t>TC-10 Pass — atomic status update; notifications dispatched</w:t>
            </w:r>
          </w:p>
        </w:tc>
      </w:tr>
      <w:tr>
        <w:tc>
          <w:tcPr>
            <w:tcW w:type="dxa" w:w="1008"/>
          </w:tcPr>
          <w:p>
            <w:r>
              <w:t>UR-04</w:t>
            </w:r>
          </w:p>
        </w:tc>
        <w:tc>
          <w:tcPr>
            <w:tcW w:type="dxa" w:w="3312"/>
          </w:tcPr>
          <w:p>
            <w:r>
              <w:t>Brand owner: create/edit/delete products</w:t>
            </w:r>
          </w:p>
        </w:tc>
        <w:tc>
          <w:tcPr>
            <w:tcW w:type="dxa" w:w="1008"/>
          </w:tcPr>
          <w:p>
            <w:r>
              <w:t>Met</w:t>
            </w:r>
          </w:p>
        </w:tc>
        <w:tc>
          <w:tcPr>
            <w:tcW w:type="dxa" w:w="4032"/>
          </w:tcPr>
          <w:p>
            <w:r>
              <w:t>TC-06 Pass — full CRUD cycle verified</w:t>
            </w:r>
          </w:p>
        </w:tc>
      </w:tr>
      <w:tr>
        <w:tc>
          <w:tcPr>
            <w:tcW w:type="dxa" w:w="1008"/>
          </w:tcPr>
          <w:p>
            <w:r>
              <w:t>UR-05</w:t>
            </w:r>
          </w:p>
        </w:tc>
        <w:tc>
          <w:tcPr>
            <w:tcW w:type="dxa" w:w="3312"/>
          </w:tcPr>
          <w:p>
            <w:r>
              <w:t>Brand owner: define bulk-pricing tiers</w:t>
            </w:r>
          </w:p>
        </w:tc>
        <w:tc>
          <w:tcPr>
            <w:tcW w:type="dxa" w:w="1008"/>
          </w:tcPr>
          <w:p>
            <w:r>
              <w:t>Met</w:t>
            </w:r>
          </w:p>
        </w:tc>
        <w:tc>
          <w:tcPr>
            <w:tcW w:type="dxa" w:w="4032"/>
          </w:tcPr>
          <w:p>
            <w:r>
              <w:t>TC-08 Pass — tiers resolve correctly at order submission</w:t>
            </w:r>
          </w:p>
        </w:tc>
      </w:tr>
      <w:tr>
        <w:tc>
          <w:tcPr>
            <w:tcW w:type="dxa" w:w="1008"/>
          </w:tcPr>
          <w:p>
            <w:r>
              <w:t>UR-06</w:t>
            </w:r>
          </w:p>
        </w:tc>
        <w:tc>
          <w:tcPr>
            <w:tcW w:type="dxa" w:w="3312"/>
          </w:tcPr>
          <w:p>
            <w:r>
              <w:t>Buyer: browse and filter verified brands</w:t>
            </w:r>
          </w:p>
        </w:tc>
        <w:tc>
          <w:tcPr>
            <w:tcW w:type="dxa" w:w="1008"/>
          </w:tcPr>
          <w:p>
            <w:r>
              <w:t>Met</w:t>
            </w:r>
          </w:p>
        </w:tc>
        <w:tc>
          <w:tcPr>
            <w:tcW w:type="dxa" w:w="4032"/>
          </w:tcPr>
          <w:p>
            <w:r>
              <w:t>TC-05 Pass — all filter combinations work</w:t>
            </w:r>
          </w:p>
        </w:tc>
      </w:tr>
      <w:tr>
        <w:tc>
          <w:tcPr>
            <w:tcW w:type="dxa" w:w="1008"/>
          </w:tcPr>
          <w:p>
            <w:r>
              <w:t>UR-07</w:t>
            </w:r>
          </w:p>
        </w:tc>
        <w:tc>
          <w:tcPr>
            <w:tcW w:type="dxa" w:w="3312"/>
          </w:tcPr>
          <w:p>
            <w:r>
              <w:t>Buyer: multi-currency price display</w:t>
            </w:r>
          </w:p>
        </w:tc>
        <w:tc>
          <w:tcPr>
            <w:tcW w:type="dxa" w:w="1008"/>
          </w:tcPr>
          <w:p>
            <w:r>
              <w:t>Met</w:t>
            </w:r>
          </w:p>
        </w:tc>
        <w:tc>
          <w:tcPr>
            <w:tcW w:type="dxa" w:w="4032"/>
          </w:tcPr>
          <w:p>
            <w:r>
              <w:t>TC-15 Pass — KWD, SAR, AED, BHD all convert correctly</w:t>
            </w:r>
          </w:p>
        </w:tc>
      </w:tr>
      <w:tr>
        <w:tc>
          <w:tcPr>
            <w:tcW w:type="dxa" w:w="1008"/>
          </w:tcPr>
          <w:p>
            <w:r>
              <w:t>UR-08</w:t>
            </w:r>
          </w:p>
        </w:tc>
        <w:tc>
          <w:tcPr>
            <w:tcW w:type="dxa" w:w="3312"/>
          </w:tcPr>
          <w:p>
            <w:r>
              <w:t>Buyer: submit bulk order with MOQ enforcement</w:t>
            </w:r>
          </w:p>
        </w:tc>
        <w:tc>
          <w:tcPr>
            <w:tcW w:type="dxa" w:w="1008"/>
          </w:tcPr>
          <w:p>
            <w:r>
              <w:t>Met</w:t>
            </w:r>
          </w:p>
        </w:tc>
        <w:tc>
          <w:tcPr>
            <w:tcW w:type="dxa" w:w="4032"/>
          </w:tcPr>
          <w:p>
            <w:r>
              <w:t>TC-08 Pass — MOQ and stock guards enforced</w:t>
            </w:r>
          </w:p>
        </w:tc>
      </w:tr>
      <w:tr>
        <w:tc>
          <w:tcPr>
            <w:tcW w:type="dxa" w:w="1008"/>
          </w:tcPr>
          <w:p>
            <w:r>
              <w:t>UR-09</w:t>
            </w:r>
          </w:p>
        </w:tc>
        <w:tc>
          <w:tcPr>
            <w:tcW w:type="dxa" w:w="3312"/>
          </w:tcPr>
          <w:p>
            <w:r>
              <w:t>Brand owner: approve / reject orders</w:t>
            </w:r>
          </w:p>
        </w:tc>
        <w:tc>
          <w:tcPr>
            <w:tcW w:type="dxa" w:w="1008"/>
          </w:tcPr>
          <w:p>
            <w:r>
              <w:t>Met</w:t>
            </w:r>
          </w:p>
        </w:tc>
        <w:tc>
          <w:tcPr>
            <w:tcW w:type="dxa" w:w="4032"/>
          </w:tcPr>
          <w:p>
            <w:r>
              <w:t>TC-09 Pass — status transitions and notifications verified</w:t>
            </w:r>
          </w:p>
        </w:tc>
      </w:tr>
      <w:tr>
        <w:tc>
          <w:tcPr>
            <w:tcW w:type="dxa" w:w="1008"/>
          </w:tcPr>
          <w:p>
            <w:r>
              <w:t>UR-10</w:t>
            </w:r>
          </w:p>
        </w:tc>
        <w:tc>
          <w:tcPr>
            <w:tcW w:type="dxa" w:w="3312"/>
          </w:tcPr>
          <w:p>
            <w:r>
              <w:t>Order status lifecycle tracking</w:t>
            </w:r>
          </w:p>
        </w:tc>
        <w:tc>
          <w:tcPr>
            <w:tcW w:type="dxa" w:w="1008"/>
          </w:tcPr>
          <w:p>
            <w:r>
              <w:t>Met</w:t>
            </w:r>
          </w:p>
        </w:tc>
        <w:tc>
          <w:tcPr>
            <w:tcW w:type="dxa" w:w="4032"/>
          </w:tcPr>
          <w:p>
            <w:r>
              <w:t>TC-09 Pass — all 4 statuses visible in buyer and brand dashboards</w:t>
            </w:r>
          </w:p>
        </w:tc>
      </w:tr>
      <w:tr>
        <w:tc>
          <w:tcPr>
            <w:tcW w:type="dxa" w:w="1008"/>
          </w:tcPr>
          <w:p>
            <w:r>
              <w:t>UR-11</w:t>
            </w:r>
          </w:p>
        </w:tc>
        <w:tc>
          <w:tcPr>
            <w:tcW w:type="dxa" w:w="3312"/>
          </w:tcPr>
          <w:p>
            <w:r>
              <w:t>Buyer: submit star review (1–5) with optional anonymity</w:t>
            </w:r>
          </w:p>
        </w:tc>
        <w:tc>
          <w:tcPr>
            <w:tcW w:type="dxa" w:w="1008"/>
          </w:tcPr>
          <w:p>
            <w:r>
              <w:t>Met</w:t>
            </w:r>
          </w:p>
        </w:tc>
        <w:tc>
          <w:tcPr>
            <w:tcW w:type="dxa" w:w="4032"/>
          </w:tcPr>
          <w:p>
            <w:r>
              <w:t>TC-11, TC-12 Pass — ratings and anonymous flag work correctly</w:t>
            </w:r>
          </w:p>
        </w:tc>
      </w:tr>
      <w:tr>
        <w:tc>
          <w:tcPr>
            <w:tcW w:type="dxa" w:w="1008"/>
          </w:tcPr>
          <w:p>
            <w:r>
              <w:t>UR-12</w:t>
            </w:r>
          </w:p>
        </w:tc>
        <w:tc>
          <w:tcPr>
            <w:tcW w:type="dxa" w:w="3312"/>
          </w:tcPr>
          <w:p>
            <w:r>
              <w:t>Brand owner: reply to review</w:t>
            </w:r>
          </w:p>
        </w:tc>
        <w:tc>
          <w:tcPr>
            <w:tcW w:type="dxa" w:w="1008"/>
          </w:tcPr>
          <w:p>
            <w:r>
              <w:t>Met</w:t>
            </w:r>
          </w:p>
        </w:tc>
        <w:tc>
          <w:tcPr>
            <w:tcW w:type="dxa" w:w="4032"/>
          </w:tcPr>
          <w:p>
            <w:r>
              <w:t>TC-13 Pass — reply persisted and displayed; reviewer notified</w:t>
            </w:r>
          </w:p>
        </w:tc>
      </w:tr>
      <w:tr>
        <w:tc>
          <w:tcPr>
            <w:tcW w:type="dxa" w:w="1008"/>
          </w:tcPr>
          <w:p>
            <w:r>
              <w:t>UR-13</w:t>
            </w:r>
          </w:p>
        </w:tc>
        <w:tc>
          <w:tcPr>
            <w:tcW w:type="dxa" w:w="3312"/>
          </w:tcPr>
          <w:p>
            <w:r>
              <w:t>Admin: moderate and remove reviews</w:t>
            </w:r>
          </w:p>
        </w:tc>
        <w:tc>
          <w:tcPr>
            <w:tcW w:type="dxa" w:w="1008"/>
          </w:tcPr>
          <w:p>
            <w:r>
              <w:t>Met</w:t>
            </w:r>
          </w:p>
        </w:tc>
        <w:tc>
          <w:tcPr>
            <w:tcW w:type="dxa" w:w="4032"/>
          </w:tcPr>
          <w:p>
            <w:r>
              <w:t>TC-10 (review mod flow) Pass — flag and remove actions work</w:t>
            </w:r>
          </w:p>
        </w:tc>
      </w:tr>
      <w:tr>
        <w:tc>
          <w:tcPr>
            <w:tcW w:type="dxa" w:w="1008"/>
          </w:tcPr>
          <w:p>
            <w:r>
              <w:t>UR-14</w:t>
            </w:r>
          </w:p>
        </w:tc>
        <w:tc>
          <w:tcPr>
            <w:tcW w:type="dxa" w:w="3312"/>
          </w:tcPr>
          <w:p>
            <w:r>
              <w:t>In-app notifications for all role-relevant events</w:t>
            </w:r>
          </w:p>
        </w:tc>
        <w:tc>
          <w:tcPr>
            <w:tcW w:type="dxa" w:w="1008"/>
          </w:tcPr>
          <w:p>
            <w:r>
              <w:t>Met</w:t>
            </w:r>
          </w:p>
        </w:tc>
        <w:tc>
          <w:tcPr>
            <w:tcW w:type="dxa" w:w="4032"/>
          </w:tcPr>
          <w:p>
            <w:r>
              <w:t>TC-14 Pass — all 10 event types verified</w:t>
            </w:r>
          </w:p>
        </w:tc>
      </w:tr>
      <w:tr>
        <w:tc>
          <w:tcPr>
            <w:tcW w:type="dxa" w:w="1008"/>
          </w:tcPr>
          <w:p>
            <w:r>
              <w:t>UR-15</w:t>
            </w:r>
          </w:p>
        </w:tc>
        <w:tc>
          <w:tcPr>
            <w:tcW w:type="dxa" w:w="3312"/>
          </w:tcPr>
          <w:p>
            <w:r>
              <w:t>Bilingual UI (EN / AR RTL)</w:t>
            </w:r>
          </w:p>
        </w:tc>
        <w:tc>
          <w:tcPr>
            <w:tcW w:type="dxa" w:w="1008"/>
          </w:tcPr>
          <w:p>
            <w:r>
              <w:t>Partial</w:t>
            </w:r>
          </w:p>
        </w:tc>
        <w:tc>
          <w:tcPr>
            <w:tcW w:type="dxa" w:w="4032"/>
          </w:tcPr>
          <w:p>
            <w:r>
              <w:t>TC-16 Partial — main pages RTL; 3 components pending translation</w:t>
            </w:r>
          </w:p>
        </w:tc>
      </w:tr>
      <w:tr>
        <w:tc>
          <w:tcPr>
            <w:tcW w:type="dxa" w:w="1008"/>
          </w:tcPr>
          <w:p>
            <w:r>
              <w:t>UR-16</w:t>
            </w:r>
          </w:p>
        </w:tc>
        <w:tc>
          <w:tcPr>
            <w:tcW w:type="dxa" w:w="3312"/>
          </w:tcPr>
          <w:p>
            <w:r>
              <w:t>Brand owner: bulk catalogue import via Excel</w:t>
            </w:r>
          </w:p>
        </w:tc>
        <w:tc>
          <w:tcPr>
            <w:tcW w:type="dxa" w:w="1008"/>
          </w:tcPr>
          <w:p>
            <w:r>
              <w:t>Met</w:t>
            </w:r>
          </w:p>
        </w:tc>
        <w:tc>
          <w:tcPr>
            <w:tcW w:type="dxa" w:w="4032"/>
          </w:tcPr>
          <w:p>
            <w:r>
              <w:t>TC-07 Pass — XLSX import creates products correctly</w:t>
            </w:r>
          </w:p>
        </w:tc>
      </w:tr>
      <w:tr>
        <w:tc>
          <w:tcPr>
            <w:tcW w:type="dxa" w:w="1008"/>
          </w:tcPr>
          <w:p>
            <w:r>
              <w:t>UR-17</w:t>
            </w:r>
          </w:p>
        </w:tc>
        <w:tc>
          <w:tcPr>
            <w:tcW w:type="dxa" w:w="3312"/>
          </w:tcPr>
          <w:p>
            <w:r>
              <w:t>Buyer: WhatsApp contact link with click tracking</w:t>
            </w:r>
          </w:p>
        </w:tc>
        <w:tc>
          <w:tcPr>
            <w:tcW w:type="dxa" w:w="1008"/>
          </w:tcPr>
          <w:p>
            <w:r>
              <w:t>Met</w:t>
            </w:r>
          </w:p>
        </w:tc>
        <w:tc>
          <w:tcPr>
            <w:tcW w:type="dxa" w:w="4032"/>
          </w:tcPr>
          <w:p>
            <w:r>
              <w:t>TC-19 Pass — deep-link correct; click counter increments</w:t>
            </w:r>
          </w:p>
        </w:tc>
      </w:tr>
    </w:tbl>
    <w:p/>
    <w:p>
      <w:pPr/>
      <w:r>
        <w:t>Result: 16 of 17 User Requirements are Met or Partially Met. UR-15 (bilingual UI) is classified as Partial due to 3 components with outstanding translation keys — the RTL layout structure is correct and 97% of strings are translated. No User Requirement is classified as Not Met. The platform is assessed as Conditionally Accepted for prototype deployment, with UR-15 completion as the sole outstanding acceptance condition.</w:t>
      </w:r>
    </w:p>
    <w:p>
      <w:r>
        <w:br w:type="page"/>
      </w:r>
    </w:p>
    <w:p>
      <w:pPr>
        <w:pStyle w:val="Heading1"/>
      </w:pPr>
      <w:r>
        <w:t>CHAPTER VI — SYSTEM EVOLUTION</w:t>
      </w:r>
    </w:p>
    <w:p>
      <w:pPr>
        <w:pStyle w:val="Heading2"/>
      </w:pPr>
      <w:r>
        <w:t>6.1  Overview</w:t>
      </w:r>
    </w:p>
    <w:p>
      <w:pPr/>
      <w:r>
        <w:t>Software systems do not exist in a static state. From the moment a system is deployed, external pressures — changing user needs, technological shifts, regulatory requirements, and competitive market forces — drive continuous evolution. The Kuwait B2B Hub, as a prototype-stage platform serving the Kuwaiti wholesale and distribution market, is subject to these same evolutionary pressures.</w:t>
      </w:r>
    </w:p>
    <w:p>
      <w:pPr/>
      <w:r>
        <w:t>This chapter applies Lehman's Laws of Software Evolution to predict and plan the long-term trajectory of the system, documents the anticipated changes across near-, medium-, and long-term horizons, and presents a structured ten-year forecast of system quality and business value. These predictions are grounded in the current technical state of the codebase (11.35 KLOC, zero automated test coverage, JSON prototype database) and aligned with Kuwait's National Digital Economy Vision 2035.</w:t>
      </w:r>
    </w:p>
    <w:p>
      <w:pPr>
        <w:pStyle w:val="Heading2"/>
      </w:pPr>
      <w:r>
        <w:t>6.2  Lehman's Laws Applied to the Kuwait B2B Hub</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rPr>
              <w:t>Law</w:t>
            </w:r>
          </w:p>
        </w:tc>
        <w:tc>
          <w:tcPr>
            <w:tcW w:type="dxa" w:w="3168"/>
          </w:tcPr>
          <w:p>
            <w:r>
              <w:rPr>
                <w:b/>
              </w:rPr>
              <w:t>Statement</w:t>
            </w:r>
          </w:p>
        </w:tc>
        <w:tc>
          <w:tcPr>
            <w:tcW w:type="dxa" w:w="4032"/>
          </w:tcPr>
          <w:p>
            <w:r>
              <w:rPr>
                <w:b/>
              </w:rPr>
              <w:t>Application to Kuwait B2B Hub</w:t>
            </w:r>
          </w:p>
        </w:tc>
      </w:tr>
      <w:tr>
        <w:tc>
          <w:tcPr>
            <w:tcW w:type="dxa" w:w="2160"/>
          </w:tcPr>
          <w:p>
            <w:r>
              <w:t>Law I — Continuing Change</w:t>
            </w:r>
          </w:p>
        </w:tc>
        <w:tc>
          <w:tcPr>
            <w:tcW w:type="dxa" w:w="3168"/>
          </w:tcPr>
          <w:p>
            <w:r>
              <w:t>A system must be continually adapted or it becomes progressively less satisfactory.</w:t>
            </w:r>
          </w:p>
        </w:tc>
        <w:tc>
          <w:tcPr>
            <w:tcW w:type="dxa" w:w="4032"/>
          </w:tcPr>
          <w:p>
            <w:r>
              <w:t>The JSON flat-file database and absence of a payment gateway will become critical limitations within 12–18 months of live deployment as transaction volumes grow.</w:t>
            </w:r>
          </w:p>
        </w:tc>
      </w:tr>
      <w:tr>
        <w:tc>
          <w:tcPr>
            <w:tcW w:type="dxa" w:w="2160"/>
          </w:tcPr>
          <w:p>
            <w:r>
              <w:t>Law II — Increasing Complexity</w:t>
            </w:r>
          </w:p>
        </w:tc>
        <w:tc>
          <w:tcPr>
            <w:tcW w:type="dxa" w:w="3168"/>
          </w:tcPr>
          <w:p>
            <w:r>
              <w:t>As a system evolves, its complexity increases unless work is done to maintain or reduce it.</w:t>
            </w:r>
          </w:p>
        </w:tc>
        <w:tc>
          <w:tcPr>
            <w:tcW w:type="dxa" w:w="4032"/>
          </w:tcPr>
          <w:p>
            <w:r>
              <w:t>With 0% automated test coverage and 11.35 KLOC of untested production code, each new feature added without a corresponding test suite accelerates technical debt accumulation.</w:t>
            </w:r>
          </w:p>
        </w:tc>
      </w:tr>
      <w:tr>
        <w:tc>
          <w:tcPr>
            <w:tcW w:type="dxa" w:w="2160"/>
          </w:tcPr>
          <w:p>
            <w:r>
              <w:t>Law VI — Continuing Growth</w:t>
            </w:r>
          </w:p>
        </w:tc>
        <w:tc>
          <w:tcPr>
            <w:tcW w:type="dxa" w:w="3168"/>
          </w:tcPr>
          <w:p>
            <w:r>
              <w:t>The functional content of a system must be continually increased to maintain user satisfaction.</w:t>
            </w:r>
          </w:p>
        </w:tc>
        <w:tc>
          <w:tcPr>
            <w:tcW w:type="dxa" w:w="4032"/>
          </w:tcPr>
          <w:p>
            <w:r>
              <w:t>Buyers and brand owners will demand AI recommendations, logistics tracking, and mobile-native experiences within 2–3 years of launch. Failure to deliver will drive user attrition to competing GCC platforms.</w:t>
            </w:r>
          </w:p>
        </w:tc>
      </w:tr>
      <w:tr>
        <w:tc>
          <w:tcPr>
            <w:tcW w:type="dxa" w:w="2160"/>
          </w:tcPr>
          <w:p>
            <w:r>
              <w:t>Law VII — Declining Quality</w:t>
            </w:r>
          </w:p>
        </w:tc>
        <w:tc>
          <w:tcPr>
            <w:tcW w:type="dxa" w:w="3168"/>
          </w:tcPr>
          <w:p>
            <w:r>
              <w:t>Quality will appear to decline unless the system is rigorously maintained.</w:t>
            </w:r>
          </w:p>
        </w:tc>
        <w:tc>
          <w:tcPr>
            <w:tcW w:type="dxa" w:w="4032"/>
          </w:tcPr>
          <w:p>
            <w:r>
              <w:t>Security vulnerabilities, performance degradation under load, and browser API deprecations will erode user experience unless a formal maintenance programme — including regression testing and dependency auditing — is established.</w:t>
            </w:r>
          </w:p>
        </w:tc>
      </w:tr>
    </w:tbl>
    <w:p/>
    <w:p>
      <w:pPr>
        <w:pStyle w:val="Heading2"/>
      </w:pPr>
      <w:r>
        <w:t>6.3  Anticipated System Changes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tcPr>
          <w:p>
            <w:r>
              <w:rPr>
                <w:b/>
              </w:rPr>
              <w:t>ID</w:t>
            </w:r>
          </w:p>
        </w:tc>
        <w:tc>
          <w:tcPr>
            <w:tcW w:type="dxa" w:w="3024"/>
          </w:tcPr>
          <w:p>
            <w:r>
              <w:rPr>
                <w:b/>
              </w:rPr>
              <w:t>Change</w:t>
            </w:r>
          </w:p>
        </w:tc>
        <w:tc>
          <w:tcPr>
            <w:tcW w:type="dxa" w:w="1152"/>
          </w:tcPr>
          <w:p>
            <w:r>
              <w:rPr>
                <w:b/>
              </w:rPr>
              <w:t>Type</w:t>
            </w:r>
          </w:p>
        </w:tc>
        <w:tc>
          <w:tcPr>
            <w:tcW w:type="dxa" w:w="1008"/>
          </w:tcPr>
          <w:p>
            <w:r>
              <w:rPr>
                <w:b/>
              </w:rPr>
              <w:t>Priority</w:t>
            </w:r>
          </w:p>
        </w:tc>
        <w:tc>
          <w:tcPr>
            <w:tcW w:type="dxa" w:w="1152"/>
          </w:tcPr>
          <w:p>
            <w:r>
              <w:rPr>
                <w:b/>
              </w:rPr>
              <w:t>Horizon</w:t>
            </w:r>
          </w:p>
        </w:tc>
        <w:tc>
          <w:tcPr>
            <w:tcW w:type="dxa" w:w="2160"/>
          </w:tcPr>
          <w:p>
            <w:r>
              <w:rPr>
                <w:b/>
              </w:rPr>
              <w:t>Rationale</w:t>
            </w:r>
          </w:p>
        </w:tc>
      </w:tr>
      <w:tr>
        <w:tc>
          <w:tcPr>
            <w:tcW w:type="dxa" w:w="864"/>
          </w:tcPr>
          <w:p>
            <w:r>
              <w:t>SC-01</w:t>
            </w:r>
          </w:p>
        </w:tc>
        <w:tc>
          <w:tcPr>
            <w:tcW w:type="dxa" w:w="3024"/>
          </w:tcPr>
          <w:p>
            <w:r>
              <w:t>PostgreSQL Full Migration — Replace src/data/db.json with Supabase-managed PostgreSQL. Migrate all entity tables using Prisma or Supabase migrations.</w:t>
            </w:r>
          </w:p>
        </w:tc>
        <w:tc>
          <w:tcPr>
            <w:tcW w:type="dxa" w:w="1152"/>
          </w:tcPr>
          <w:p>
            <w:r>
              <w:t>Perfective</w:t>
            </w:r>
          </w:p>
        </w:tc>
        <w:tc>
          <w:tcPr>
            <w:tcW w:type="dxa" w:w="1008"/>
          </w:tcPr>
          <w:p>
            <w:r>
              <w:t>Critical</w:t>
            </w:r>
          </w:p>
        </w:tc>
        <w:tc>
          <w:tcPr>
            <w:tcW w:type="dxa" w:w="1152"/>
          </w:tcPr>
          <w:p>
            <w:r>
              <w:t>Year 1</w:t>
            </w:r>
          </w:p>
        </w:tc>
        <w:tc>
          <w:tcPr>
            <w:tcW w:type="dxa" w:w="2160"/>
          </w:tcPr>
          <w:p>
            <w:r>
              <w:t>The JSON store does not support concurrent writes or transactions. A single simultaneous order from two buyers can corrupt stock counts. Production deployment is not viable without this migration.</w:t>
            </w:r>
          </w:p>
        </w:tc>
      </w:tr>
      <w:tr>
        <w:tc>
          <w:tcPr>
            <w:tcW w:type="dxa" w:w="864"/>
          </w:tcPr>
          <w:p>
            <w:r>
              <w:t>SC-02</w:t>
            </w:r>
          </w:p>
        </w:tc>
        <w:tc>
          <w:tcPr>
            <w:tcW w:type="dxa" w:w="3024"/>
          </w:tcPr>
          <w:p>
            <w:r>
              <w:t>Automated Test Suite (Vitest + RTL) — Introduce Vitest with React Testing Library. Priority targets: all 25 API route handlers, getCurrentUser(), bulk pricing resolution, and the Trust Engine. Target ≥ 60% line coverage.</w:t>
            </w:r>
          </w:p>
        </w:tc>
        <w:tc>
          <w:tcPr>
            <w:tcW w:type="dxa" w:w="1152"/>
          </w:tcPr>
          <w:p>
            <w:r>
              <w:t>Preventive</w:t>
            </w:r>
          </w:p>
        </w:tc>
        <w:tc>
          <w:tcPr>
            <w:tcW w:type="dxa" w:w="1008"/>
          </w:tcPr>
          <w:p>
            <w:r>
              <w:t>Critical</w:t>
            </w:r>
          </w:p>
        </w:tc>
        <w:tc>
          <w:tcPr>
            <w:tcW w:type="dxa" w:w="1152"/>
          </w:tcPr>
          <w:p>
            <w:r>
              <w:t>Year 1</w:t>
            </w:r>
          </w:p>
        </w:tc>
        <w:tc>
          <w:tcPr>
            <w:tcW w:type="dxa" w:w="2160"/>
          </w:tcPr>
          <w:p>
            <w:r>
              <w:t>Zero automated coverage means every deployment is a manual regression risk. The Trust Engine and RBAC middleware, which gate financial transactions, have never been tested programmatically.</w:t>
            </w:r>
          </w:p>
        </w:tc>
      </w:tr>
      <w:tr>
        <w:tc>
          <w:tcPr>
            <w:tcW w:type="dxa" w:w="864"/>
          </w:tcPr>
          <w:p>
            <w:r>
              <w:t>SC-03</w:t>
            </w:r>
          </w:p>
        </w:tc>
        <w:tc>
          <w:tcPr>
            <w:tcW w:type="dxa" w:w="3024"/>
          </w:tcPr>
          <w:p>
            <w:r>
              <w:t>Payment Gateway Integration — Integrate KNET (Kuwait national payment network) as primary, with PayTabs or Stripe for GCC cross-border transactions. Introduce payments table and order status flow payment_pending → payment_confirmed.</w:t>
            </w:r>
          </w:p>
        </w:tc>
        <w:tc>
          <w:tcPr>
            <w:tcW w:type="dxa" w:w="1152"/>
          </w:tcPr>
          <w:p>
            <w:r>
              <w:t>Perfective</w:t>
            </w:r>
          </w:p>
        </w:tc>
        <w:tc>
          <w:tcPr>
            <w:tcW w:type="dxa" w:w="1008"/>
          </w:tcPr>
          <w:p>
            <w:r>
              <w:t>Critical</w:t>
            </w:r>
          </w:p>
        </w:tc>
        <w:tc>
          <w:tcPr>
            <w:tcW w:type="dxa" w:w="1152"/>
          </w:tcPr>
          <w:p>
            <w:r>
              <w:t>Year 1</w:t>
            </w:r>
          </w:p>
        </w:tc>
        <w:tc>
          <w:tcPr>
            <w:tcW w:type="dxa" w:w="2160"/>
          </w:tcPr>
          <w:p>
            <w:r>
              <w:t>The platform currently processes zero monetary transactions. Without in-platform payment, the system cannot generate revenue or provide accounting-compliant transaction records.</w:t>
            </w:r>
          </w:p>
        </w:tc>
      </w:tr>
      <w:tr>
        <w:tc>
          <w:tcPr>
            <w:tcW w:type="dxa" w:w="864"/>
          </w:tcPr>
          <w:p>
            <w:r>
              <w:t>SC-04</w:t>
            </w:r>
          </w:p>
        </w:tc>
        <w:tc>
          <w:tcPr>
            <w:tcW w:type="dxa" w:w="3024"/>
          </w:tcPr>
          <w:p>
            <w:r>
              <w:t>Mobile-First Progressive Web App (PWA) — Convert to a PWA with offline caching, push notification support, and an app-installable manifest.</w:t>
            </w:r>
          </w:p>
        </w:tc>
        <w:tc>
          <w:tcPr>
            <w:tcW w:type="dxa" w:w="1152"/>
          </w:tcPr>
          <w:p>
            <w:r>
              <w:t>Adaptive</w:t>
            </w:r>
          </w:p>
        </w:tc>
        <w:tc>
          <w:tcPr>
            <w:tcW w:type="dxa" w:w="1008"/>
          </w:tcPr>
          <w:p>
            <w:r>
              <w:t>High</w:t>
            </w:r>
          </w:p>
        </w:tc>
        <w:tc>
          <w:tcPr>
            <w:tcW w:type="dxa" w:w="1152"/>
          </w:tcPr>
          <w:p>
            <w:r>
              <w:t>Year 1–2</w:t>
            </w:r>
          </w:p>
        </w:tc>
        <w:tc>
          <w:tcPr>
            <w:tcW w:type="dxa" w:w="2160"/>
          </w:tcPr>
          <w:p>
            <w:r>
              <w:t>Over 78% of Kuwaiti internet users access services via mobile (CITRA, 2024). The existing BottomNav.tsx and MobileTopBar.tsx indicate mobile intent, but push notification delivery and offline resilience are absent.</w:t>
            </w:r>
          </w:p>
        </w:tc>
      </w:tr>
      <w:tr>
        <w:tc>
          <w:tcPr>
            <w:tcW w:type="dxa" w:w="864"/>
          </w:tcPr>
          <w:p>
            <w:r>
              <w:t>SC-05</w:t>
            </w:r>
          </w:p>
        </w:tc>
        <w:tc>
          <w:tcPr>
            <w:tcW w:type="dxa" w:w="3024"/>
          </w:tcPr>
          <w:p>
            <w:r>
              <w:t>AI-Powered Product Recommendation Engine — Implement collaborative filtering (or integrate AWS Personalize) for personalised product recommendations.</w:t>
            </w:r>
          </w:p>
        </w:tc>
        <w:tc>
          <w:tcPr>
            <w:tcW w:type="dxa" w:w="1152"/>
          </w:tcPr>
          <w:p>
            <w:r>
              <w:t>Perfective</w:t>
            </w:r>
          </w:p>
        </w:tc>
        <w:tc>
          <w:tcPr>
            <w:tcW w:type="dxa" w:w="1008"/>
          </w:tcPr>
          <w:p>
            <w:r>
              <w:t>High</w:t>
            </w:r>
          </w:p>
        </w:tc>
        <w:tc>
          <w:tcPr>
            <w:tcW w:type="dxa" w:w="1152"/>
          </w:tcPr>
          <w:p>
            <w:r>
              <w:t>Year 2–3</w:t>
            </w:r>
          </w:p>
        </w:tc>
        <w:tc>
          <w:tcPr>
            <w:tcW w:type="dxa" w:w="2160"/>
          </w:tcPr>
          <w:p>
            <w:r>
              <w:t>B2B buyers in GCC markets report that discovery of new supplier products is a primary purchasing friction point. Recommendations increase average order value.</w:t>
            </w:r>
          </w:p>
        </w:tc>
      </w:tr>
      <w:tr>
        <w:tc>
          <w:tcPr>
            <w:tcW w:type="dxa" w:w="864"/>
          </w:tcPr>
          <w:p>
            <w:r>
              <w:t>SC-06</w:t>
            </w:r>
          </w:p>
        </w:tc>
        <w:tc>
          <w:tcPr>
            <w:tcW w:type="dxa" w:w="3024"/>
          </w:tcPr>
          <w:p>
            <w:r>
              <w:t>Arabic NLP Search — Replace filter-based search with Arabic-aware full-text search (PostgreSQL tsvector with Arabic stemming, or Algolia with Arabic locale). Support transliteration and diacritics-insensitive matching.</w:t>
            </w:r>
          </w:p>
        </w:tc>
        <w:tc>
          <w:tcPr>
            <w:tcW w:type="dxa" w:w="1152"/>
          </w:tcPr>
          <w:p>
            <w:r>
              <w:t>Adaptive</w:t>
            </w:r>
          </w:p>
        </w:tc>
        <w:tc>
          <w:tcPr>
            <w:tcW w:type="dxa" w:w="1008"/>
          </w:tcPr>
          <w:p>
            <w:r>
              <w:t>High</w:t>
            </w:r>
          </w:p>
        </w:tc>
        <w:tc>
          <w:tcPr>
            <w:tcW w:type="dxa" w:w="1152"/>
          </w:tcPr>
          <w:p>
            <w:r>
              <w:t>Year 2–3</w:t>
            </w:r>
          </w:p>
        </w:tc>
        <w:tc>
          <w:tcPr>
            <w:tcW w:type="dxa" w:w="2160"/>
          </w:tcPr>
          <w:p>
            <w:r>
              <w:t>Product data is predominantly entered in English by brand owners, creating a searchability barrier for Arabic-first buyers.</w:t>
            </w:r>
          </w:p>
        </w:tc>
      </w:tr>
      <w:tr>
        <w:tc>
          <w:tcPr>
            <w:tcW w:type="dxa" w:w="864"/>
          </w:tcPr>
          <w:p>
            <w:r>
              <w:t>SC-07</w:t>
            </w:r>
          </w:p>
        </w:tc>
        <w:tc>
          <w:tcPr>
            <w:tcW w:type="dxa" w:w="3024"/>
          </w:tcPr>
          <w:p>
            <w:r>
              <w:t>GCC Regional Expansion — Extend to Saudi Arabia, UAE, Qatar, Bahrain, and Oman. Implement country-level VAT rules, currency-native invoicing, and localised KYC workflows.</w:t>
            </w:r>
          </w:p>
        </w:tc>
        <w:tc>
          <w:tcPr>
            <w:tcW w:type="dxa" w:w="1152"/>
          </w:tcPr>
          <w:p>
            <w:r>
              <w:t>Adaptive</w:t>
            </w:r>
          </w:p>
        </w:tc>
        <w:tc>
          <w:tcPr>
            <w:tcW w:type="dxa" w:w="1008"/>
          </w:tcPr>
          <w:p>
            <w:r>
              <w:t>High</w:t>
            </w:r>
          </w:p>
        </w:tc>
        <w:tc>
          <w:tcPr>
            <w:tcW w:type="dxa" w:w="1152"/>
          </w:tcPr>
          <w:p>
            <w:r>
              <w:t>Year 3–4</w:t>
            </w:r>
          </w:p>
        </w:tc>
        <w:tc>
          <w:tcPr>
            <w:tcW w:type="dxa" w:w="2160"/>
          </w:tcPr>
          <w:p>
            <w:r>
              <w:t>src/lib/currencies.ts already defines all six GCC currencies. This architectural intent is ready to be activated.</w:t>
            </w:r>
          </w:p>
        </w:tc>
      </w:tr>
      <w:tr>
        <w:tc>
          <w:tcPr>
            <w:tcW w:type="dxa" w:w="864"/>
          </w:tcPr>
          <w:p>
            <w:r>
              <w:t>SC-08</w:t>
            </w:r>
          </w:p>
        </w:tc>
        <w:tc>
          <w:tcPr>
            <w:tcW w:type="dxa" w:w="3024"/>
          </w:tcPr>
          <w:p>
            <w:r>
              <w:t>Logistics &amp; Delivery Tracking — Integrate with Kuwait-based providers (Aramex, DNATA, Fetchr) for real-time shipment tracking within the order page.</w:t>
            </w:r>
          </w:p>
        </w:tc>
        <w:tc>
          <w:tcPr>
            <w:tcW w:type="dxa" w:w="1152"/>
          </w:tcPr>
          <w:p>
            <w:r>
              <w:t>Perfective</w:t>
            </w:r>
          </w:p>
        </w:tc>
        <w:tc>
          <w:tcPr>
            <w:tcW w:type="dxa" w:w="1008"/>
          </w:tcPr>
          <w:p>
            <w:r>
              <w:t>Medium</w:t>
            </w:r>
          </w:p>
        </w:tc>
        <w:tc>
          <w:tcPr>
            <w:tcW w:type="dxa" w:w="1152"/>
          </w:tcPr>
          <w:p>
            <w:r>
              <w:t>Year 2–3</w:t>
            </w:r>
          </w:p>
        </w:tc>
        <w:tc>
          <w:tcPr>
            <w:tcW w:type="dxa" w:w="2160"/>
          </w:tcPr>
          <w:p>
            <w:r>
              <w:t>Post-order fulfilment is currently invisible to buyers, increasing support enquiries to brand owners.</w:t>
            </w:r>
          </w:p>
        </w:tc>
      </w:tr>
      <w:tr>
        <w:tc>
          <w:tcPr>
            <w:tcW w:type="dxa" w:w="864"/>
          </w:tcPr>
          <w:p>
            <w:r>
              <w:t>SC-09</w:t>
            </w:r>
          </w:p>
        </w:tc>
        <w:tc>
          <w:tcPr>
            <w:tcW w:type="dxa" w:w="3024"/>
          </w:tcPr>
          <w:p>
            <w:r>
              <w:t>ERP &amp; Accounting Integration — API connectors for Zoho Books, QuickBooks, and Microsoft Dynamics for automated order and invoice reconciliation.</w:t>
            </w:r>
          </w:p>
        </w:tc>
        <w:tc>
          <w:tcPr>
            <w:tcW w:type="dxa" w:w="1152"/>
          </w:tcPr>
          <w:p>
            <w:r>
              <w:t>Adaptive</w:t>
            </w:r>
          </w:p>
        </w:tc>
        <w:tc>
          <w:tcPr>
            <w:tcW w:type="dxa" w:w="1008"/>
          </w:tcPr>
          <w:p>
            <w:r>
              <w:t>Medium</w:t>
            </w:r>
          </w:p>
        </w:tc>
        <w:tc>
          <w:tcPr>
            <w:tcW w:type="dxa" w:w="1152"/>
          </w:tcPr>
          <w:p>
            <w:r>
              <w:t>Year 3–5</w:t>
            </w:r>
          </w:p>
        </w:tc>
        <w:tc>
          <w:tcPr>
            <w:tcW w:type="dxa" w:w="2160"/>
          </w:tcPr>
          <w:p>
            <w:r>
              <w:t>Medium and large brand owners require automated reconciliation between platform orders and internal financial records.</w:t>
            </w:r>
          </w:p>
        </w:tc>
      </w:tr>
      <w:tr>
        <w:tc>
          <w:tcPr>
            <w:tcW w:type="dxa" w:w="864"/>
          </w:tcPr>
          <w:p>
            <w:r>
              <w:t>SC-10</w:t>
            </w:r>
          </w:p>
        </w:tc>
        <w:tc>
          <w:tcPr>
            <w:tcW w:type="dxa" w:w="3024"/>
          </w:tcPr>
          <w:p>
            <w:r>
              <w:t>Advanced Analytics Dashboard — Cohort analysis, buyer LTV scoring, geographic heat maps (by governorate), and predictive stock depletion alerts.</w:t>
            </w:r>
          </w:p>
        </w:tc>
        <w:tc>
          <w:tcPr>
            <w:tcW w:type="dxa" w:w="1152"/>
          </w:tcPr>
          <w:p>
            <w:r>
              <w:t>Perfective</w:t>
            </w:r>
          </w:p>
        </w:tc>
        <w:tc>
          <w:tcPr>
            <w:tcW w:type="dxa" w:w="1008"/>
          </w:tcPr>
          <w:p>
            <w:r>
              <w:t>Medium</w:t>
            </w:r>
          </w:p>
        </w:tc>
        <w:tc>
          <w:tcPr>
            <w:tcW w:type="dxa" w:w="1152"/>
          </w:tcPr>
          <w:p>
            <w:r>
              <w:t>Year 3–5</w:t>
            </w:r>
          </w:p>
        </w:tc>
        <w:tc>
          <w:tcPr>
            <w:tcW w:type="dxa" w:w="2160"/>
          </w:tcPr>
          <w:p>
            <w:r>
              <w:t>Platform operators and brand owners require actionable market intelligence to justify continued investment.</w:t>
            </w:r>
          </w:p>
        </w:tc>
      </w:tr>
      <w:tr>
        <w:tc>
          <w:tcPr>
            <w:tcW w:type="dxa" w:w="864"/>
          </w:tcPr>
          <w:p>
            <w:r>
              <w:t>SC-11</w:t>
            </w:r>
          </w:p>
        </w:tc>
        <w:tc>
          <w:tcPr>
            <w:tcW w:type="dxa" w:w="3024"/>
          </w:tcPr>
          <w:p>
            <w:r>
              <w:t>Blockchain Supply Chain Verification — Immutable provenance ledger for regulated product categories using Hyperledger Fabric or Ethereum Layer 2.</w:t>
            </w:r>
          </w:p>
        </w:tc>
        <w:tc>
          <w:tcPr>
            <w:tcW w:type="dxa" w:w="1152"/>
          </w:tcPr>
          <w:p>
            <w:r>
              <w:t>Perfective</w:t>
            </w:r>
          </w:p>
        </w:tc>
        <w:tc>
          <w:tcPr>
            <w:tcW w:type="dxa" w:w="1008"/>
          </w:tcPr>
          <w:p>
            <w:r>
              <w:t>Low</w:t>
            </w:r>
          </w:p>
        </w:tc>
        <w:tc>
          <w:tcPr>
            <w:tcW w:type="dxa" w:w="1152"/>
          </w:tcPr>
          <w:p>
            <w:r>
              <w:t>Year 5–7</w:t>
            </w:r>
          </w:p>
        </w:tc>
        <w:tc>
          <w:tcPr>
            <w:tcW w:type="dxa" w:w="2160"/>
          </w:tcPr>
          <w:p>
            <w:r>
              <w:t>GCC customs authorities are progressively mandating digital provenance for cross-border trade.</w:t>
            </w:r>
          </w:p>
        </w:tc>
      </w:tr>
      <w:tr>
        <w:tc>
          <w:tcPr>
            <w:tcW w:type="dxa" w:w="864"/>
          </w:tcPr>
          <w:p>
            <w:r>
              <w:t>SC-12</w:t>
            </w:r>
          </w:p>
        </w:tc>
        <w:tc>
          <w:tcPr>
            <w:tcW w:type="dxa" w:w="3024"/>
          </w:tcPr>
          <w:p>
            <w:r>
              <w:t>Voice &amp; Conversational Commerce (Arabic) — Arabic-language LLM interface for order placement, status queries, and product discovery.</w:t>
            </w:r>
          </w:p>
        </w:tc>
        <w:tc>
          <w:tcPr>
            <w:tcW w:type="dxa" w:w="1152"/>
          </w:tcPr>
          <w:p>
            <w:r>
              <w:t>Perfective</w:t>
            </w:r>
          </w:p>
        </w:tc>
        <w:tc>
          <w:tcPr>
            <w:tcW w:type="dxa" w:w="1008"/>
          </w:tcPr>
          <w:p>
            <w:r>
              <w:t>Low</w:t>
            </w:r>
          </w:p>
        </w:tc>
        <w:tc>
          <w:tcPr>
            <w:tcW w:type="dxa" w:w="1152"/>
          </w:tcPr>
          <w:p>
            <w:r>
              <w:t>Year 6–8</w:t>
            </w:r>
          </w:p>
        </w:tc>
        <w:tc>
          <w:tcPr>
            <w:tcW w:type="dxa" w:w="2160"/>
          </w:tcPr>
          <w:p>
            <w:r>
              <w:t>Conversational commerce adoption is accelerating across GCC, particularly for repeat B2B ordering in warehouse environments.</w:t>
            </w:r>
          </w:p>
        </w:tc>
      </w:tr>
      <w:tr>
        <w:tc>
          <w:tcPr>
            <w:tcW w:type="dxa" w:w="864"/>
          </w:tcPr>
          <w:p>
            <w:r>
              <w:t>SC-13</w:t>
            </w:r>
          </w:p>
        </w:tc>
        <w:tc>
          <w:tcPr>
            <w:tcW w:type="dxa" w:w="3024"/>
          </w:tcPr>
          <w:p>
            <w:r>
              <w:t>Autonomous Procurement Workflows — Rules-based engine allowing buyers to configure standing orders that trigger automatically on stock levels, pricing thresholds, or calendar conditions.</w:t>
            </w:r>
          </w:p>
        </w:tc>
        <w:tc>
          <w:tcPr>
            <w:tcW w:type="dxa" w:w="1152"/>
          </w:tcPr>
          <w:p>
            <w:r>
              <w:t>Perfective</w:t>
            </w:r>
          </w:p>
        </w:tc>
        <w:tc>
          <w:tcPr>
            <w:tcW w:type="dxa" w:w="1008"/>
          </w:tcPr>
          <w:p>
            <w:r>
              <w:t>Low</w:t>
            </w:r>
          </w:p>
        </w:tc>
        <w:tc>
          <w:tcPr>
            <w:tcW w:type="dxa" w:w="1152"/>
          </w:tcPr>
          <w:p>
            <w:r>
              <w:t>Year 7–10</w:t>
            </w:r>
          </w:p>
        </w:tc>
        <w:tc>
          <w:tcPr>
            <w:tcW w:type="dxa" w:w="2160"/>
          </w:tcPr>
          <w:p>
            <w:r>
              <w:t>Mature B2B platforms offer automated reorder as a competitive differentiator. Converts the platform from a transactional tool to a supply chain component.</w:t>
            </w:r>
          </w:p>
        </w:tc>
      </w:tr>
    </w:tbl>
    <w:p/>
    <w:p>
      <w:pPr>
        <w:pStyle w:val="Heading2"/>
      </w:pPr>
      <w:r>
        <w:t>6.4  System Quality and Value: Ten-Year Prediction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872"/>
          </w:tcPr>
          <w:p>
            <w:r>
              <w:rPr>
                <w:b/>
              </w:rPr>
              <w:t>Dimension</w:t>
            </w:r>
          </w:p>
        </w:tc>
        <w:tc>
          <w:tcPr>
            <w:tcW w:type="dxa" w:w="1872"/>
          </w:tcPr>
          <w:p>
            <w:r>
              <w:rPr>
                <w:b/>
              </w:rPr>
              <w:t>Year 1</w:t>
            </w:r>
          </w:p>
        </w:tc>
        <w:tc>
          <w:tcPr>
            <w:tcW w:type="dxa" w:w="1872"/>
          </w:tcPr>
          <w:p>
            <w:r>
              <w:rPr>
                <w:b/>
              </w:rPr>
              <w:t>Year 2–3</w:t>
            </w:r>
          </w:p>
        </w:tc>
        <w:tc>
          <w:tcPr>
            <w:tcW w:type="dxa" w:w="1872"/>
          </w:tcPr>
          <w:p>
            <w:r>
              <w:rPr>
                <w:b/>
              </w:rPr>
              <w:t>Year 4–5</w:t>
            </w:r>
          </w:p>
        </w:tc>
        <w:tc>
          <w:tcPr>
            <w:tcW w:type="dxa" w:w="1872"/>
          </w:tcPr>
          <w:p>
            <w:r>
              <w:rPr>
                <w:b/>
              </w:rPr>
              <w:t>Year 6–8</w:t>
            </w:r>
          </w:p>
        </w:tc>
        <w:tc>
          <w:tcPr>
            <w:tcW w:type="dxa" w:w="1440"/>
          </w:tcPr>
          <w:p>
            <w:r>
              <w:rPr>
                <w:b/>
              </w:rPr>
              <w:t>Year 9–10</w:t>
            </w:r>
          </w:p>
        </w:tc>
      </w:tr>
      <w:tr>
        <w:tc>
          <w:tcPr>
            <w:tcW w:type="dxa" w:w="1872"/>
          </w:tcPr>
          <w:p>
            <w:r>
              <w:t>System Reliability</w:t>
            </w:r>
          </w:p>
        </w:tc>
        <w:tc>
          <w:tcPr>
            <w:tcW w:type="dxa" w:w="1872"/>
          </w:tcPr>
          <w:p>
            <w:r>
              <w:t>~95% — Single-region Vercel; no redundancy; JSON DB I/O bottleneck.</w:t>
            </w:r>
          </w:p>
        </w:tc>
        <w:tc>
          <w:tcPr>
            <w:tcW w:type="dxa" w:w="1872"/>
          </w:tcPr>
          <w:p>
            <w:r>
              <w:t>~98.5% — Multi-region; PostgreSQL read replicas; automated health checks.</w:t>
            </w:r>
          </w:p>
        </w:tc>
        <w:tc>
          <w:tcPr>
            <w:tcW w:type="dxa" w:w="1872"/>
          </w:tcPr>
          <w:p>
            <w:r>
              <w:t>~99.5% — High-availability; database failover; CDN-cached assets.</w:t>
            </w:r>
          </w:p>
        </w:tc>
        <w:tc>
          <w:tcPr>
            <w:tcW w:type="dxa" w:w="1872"/>
          </w:tcPr>
          <w:p>
            <w:r>
              <w:t>~99.9% — SLA-grade; circuit-breaker patterns; DR tested annually.</w:t>
            </w:r>
          </w:p>
        </w:tc>
        <w:tc>
          <w:tcPr>
            <w:tcW w:type="dxa" w:w="1440"/>
          </w:tcPr>
          <w:p>
            <w:r>
              <w:t>~99.95% — Enterprise SLA; active-active multi-region; zero-downtime pipeline.</w:t>
            </w:r>
          </w:p>
        </w:tc>
      </w:tr>
      <w:tr>
        <w:tc>
          <w:tcPr>
            <w:tcW w:type="dxa" w:w="1872"/>
          </w:tcPr>
          <w:p>
            <w:r>
              <w:t>Security Posture</w:t>
            </w:r>
          </w:p>
        </w:tc>
        <w:tc>
          <w:tcPr>
            <w:tcW w:type="dxa" w:w="1872"/>
          </w:tcPr>
          <w:p>
            <w:r>
              <w:t>Moderate — XSS patched; httpOnly cookies; no WAF; plain-text passwords unresolved.</w:t>
            </w:r>
          </w:p>
        </w:tc>
        <w:tc>
          <w:tcPr>
            <w:tcW w:type="dxa" w:w="1872"/>
          </w:tcPr>
          <w:p>
            <w:r>
              <w:t>Improved — argon2id hashing; Snyk in CI; WAF on Vercel; pen test commissioned.</w:t>
            </w:r>
          </w:p>
        </w:tc>
        <w:tc>
          <w:tcPr>
            <w:tcW w:type="dxa" w:w="1872"/>
          </w:tcPr>
          <w:p>
            <w:r>
              <w:t>Strong — OWASP Top 10 in CI; bug bounty active; ISO 27001-aligned controls.</w:t>
            </w:r>
          </w:p>
        </w:tc>
        <w:tc>
          <w:tcPr>
            <w:tcW w:type="dxa" w:w="1872"/>
          </w:tcPr>
          <w:p>
            <w:r>
              <w:t>Hardened — Biannual third-party audits; SOC 2 Type II pursued.</w:t>
            </w:r>
          </w:p>
        </w:tc>
        <w:tc>
          <w:tcPr>
            <w:tcW w:type="dxa" w:w="1440"/>
          </w:tcPr>
          <w:p>
            <w:r>
              <w:t>Certified — Full compliance with Kuwait CSB cybersecurity standards and GCC data residency.</w:t>
            </w:r>
          </w:p>
        </w:tc>
      </w:tr>
      <w:tr>
        <w:tc>
          <w:tcPr>
            <w:tcW w:type="dxa" w:w="1872"/>
          </w:tcPr>
          <w:p>
            <w:r>
              <w:t>Test Coverage</w:t>
            </w:r>
          </w:p>
        </w:tc>
        <w:tc>
          <w:tcPr>
            <w:tcW w:type="dxa" w:w="1872"/>
          </w:tcPr>
          <w:p>
            <w:r>
              <w:t>0% — No automated tests at submission.</w:t>
            </w:r>
          </w:p>
        </w:tc>
        <w:tc>
          <w:tcPr>
            <w:tcW w:type="dxa" w:w="1872"/>
          </w:tcPr>
          <w:p>
            <w:r>
              <w:t>~45% — Vitest suite covering all API routes and Trust Engine; CI gate active.</w:t>
            </w:r>
          </w:p>
        </w:tc>
        <w:tc>
          <w:tcPr>
            <w:tcW w:type="dxa" w:w="1872"/>
          </w:tcPr>
          <w:p>
            <w:r>
              <w:t>~70% — Integration tests for payment flows; CI gate at 65% minimum.</w:t>
            </w:r>
          </w:p>
        </w:tc>
        <w:tc>
          <w:tcPr>
            <w:tcW w:type="dxa" w:w="1872"/>
          </w:tcPr>
          <w:p>
            <w:r>
              <w:t>~80% — E2E Playwright tests for golden paths; performance regression tests.</w:t>
            </w:r>
          </w:p>
        </w:tc>
        <w:tc>
          <w:tcPr>
            <w:tcW w:type="dxa" w:w="1440"/>
          </w:tcPr>
          <w:p>
            <w:r>
              <w:t>~85%+ — Mature test pyramid; mutation testing on Trust Engine; coverage is a release gate.</w:t>
            </w:r>
          </w:p>
        </w:tc>
      </w:tr>
      <w:tr>
        <w:tc>
          <w:tcPr>
            <w:tcW w:type="dxa" w:w="1872"/>
          </w:tcPr>
          <w:p>
            <w:r>
              <w:t>Performance (Median API)</w:t>
            </w:r>
          </w:p>
        </w:tc>
        <w:tc>
          <w:tcPr>
            <w:tcW w:type="dxa" w:w="1872"/>
          </w:tcPr>
          <w:p>
            <w:r>
              <w:t>180–250 ms — readFileSync blocks event loop under concurrent load.</w:t>
            </w:r>
          </w:p>
        </w:tc>
        <w:tc>
          <w:tcPr>
            <w:tcW w:type="dxa" w:w="1872"/>
          </w:tcPr>
          <w:p>
            <w:r>
              <w:t>80–120 ms — PostgreSQL with indexed queries; Next.js ISR caching.</w:t>
            </w:r>
          </w:p>
        </w:tc>
        <w:tc>
          <w:tcPr>
            <w:tcW w:type="dxa" w:w="1872"/>
          </w:tcPr>
          <w:p>
            <w:r>
              <w:t>40–70 ms — Connection pooling; Redis caching for brand and product data.</w:t>
            </w:r>
          </w:p>
        </w:tc>
        <w:tc>
          <w:tcPr>
            <w:tcW w:type="dxa" w:w="1872"/>
          </w:tcPr>
          <w:p>
            <w:r>
              <w:t>20–40 ms — Edge-cached API responses; CDN-served assets with aggressive TTLs.</w:t>
            </w:r>
          </w:p>
        </w:tc>
        <w:tc>
          <w:tcPr>
            <w:tcW w:type="dxa" w:w="1440"/>
          </w:tcPr>
          <w:p>
            <w:r>
              <w:t>&lt; 20 ms — Globally distributed edge functions; predictive pre-fetching.</w:t>
            </w:r>
          </w:p>
        </w:tc>
      </w:tr>
      <w:tr>
        <w:tc>
          <w:tcPr>
            <w:tcW w:type="dxa" w:w="1872"/>
          </w:tcPr>
          <w:p>
            <w:r>
              <w:t>Maintainability</w:t>
            </w:r>
          </w:p>
        </w:tc>
        <w:tc>
          <w:tcPr>
            <w:tcW w:type="dxa" w:w="1872"/>
          </w:tcPr>
          <w:p>
            <w:r>
              <w:t>Moderate — Strict TypeScript, clean architecture; zero tests create regression risk.</w:t>
            </w:r>
          </w:p>
        </w:tc>
        <w:tc>
          <w:tcPr>
            <w:tcW w:type="dxa" w:w="1872"/>
          </w:tcPr>
          <w:p>
            <w:r>
              <w:t>Improving — CI/CD enforced; ESLint tightened; quarterly dependency audits.</w:t>
            </w:r>
          </w:p>
        </w:tc>
        <w:tc>
          <w:tcPr>
            <w:tcW w:type="dxa" w:w="1872"/>
          </w:tcPr>
          <w:p>
            <w:r>
              <w:t>Good — SonarQube tracking debt; ADRs documented; onboarding time reduced.</w:t>
            </w:r>
          </w:p>
        </w:tc>
        <w:tc>
          <w:tcPr>
            <w:tcW w:type="dxa" w:w="1872"/>
          </w:tcPr>
          <w:p>
            <w:r>
              <w:t>Strong — Modular monorepo (Turborepo); shared component library.</w:t>
            </w:r>
          </w:p>
        </w:tc>
        <w:tc>
          <w:tcPr>
            <w:tcW w:type="dxa" w:w="1440"/>
          </w:tcPr>
          <w:p>
            <w:r>
              <w:t>Excellent — 85%+ coverage; automated changelog; full API contract testing via OpenAPI.</w:t>
            </w:r>
          </w:p>
        </w:tc>
      </w:tr>
      <w:tr>
        <w:tc>
          <w:tcPr>
            <w:tcW w:type="dxa" w:w="1872"/>
          </w:tcPr>
          <w:p>
            <w:r>
              <w:t>Registered Users</w:t>
            </w:r>
          </w:p>
        </w:tc>
        <w:tc>
          <w:tcPr>
            <w:tcW w:type="dxa" w:w="1872"/>
          </w:tcPr>
          <w:p>
            <w:r>
              <w:t>50–200 — Pilot with invited Kuwait City brands and buyers.</w:t>
            </w:r>
          </w:p>
        </w:tc>
        <w:tc>
          <w:tcPr>
            <w:tcW w:type="dxa" w:w="1872"/>
          </w:tcPr>
          <w:p>
            <w:r>
              <w:t>500–2,000 — Organic growth; Kuwait Chamber of Commerce partnership.</w:t>
            </w:r>
          </w:p>
        </w:tc>
        <w:tc>
          <w:tcPr>
            <w:tcW w:type="dxa" w:w="1872"/>
          </w:tcPr>
          <w:p>
            <w:r>
              <w:t>5,000–15,000 — GCC expansion; Arabic NLP search drives discoverability.</w:t>
            </w:r>
          </w:p>
        </w:tc>
        <w:tc>
          <w:tcPr>
            <w:tcW w:type="dxa" w:w="1872"/>
          </w:tcPr>
          <w:p>
            <w:r>
              <w:t>30,000–80,000 — PWA broadens mobile adoption; AI recommendations increase retention.</w:t>
            </w:r>
          </w:p>
        </w:tc>
        <w:tc>
          <w:tcPr>
            <w:tcW w:type="dxa" w:w="1440"/>
          </w:tcPr>
          <w:p>
            <w:r>
              <w:t>150,000–400,000 — Reference GCC B2B marketplace; enterprise ERP accounts.</w:t>
            </w:r>
          </w:p>
        </w:tc>
      </w:tr>
      <w:tr>
        <w:tc>
          <w:tcPr>
            <w:tcW w:type="dxa" w:w="1872"/>
          </w:tcPr>
          <w:p>
            <w:r>
              <w:t>Estimated GMV</w:t>
            </w:r>
          </w:p>
        </w:tc>
        <w:tc>
          <w:tcPr>
            <w:tcW w:type="dxa" w:w="1872"/>
          </w:tcPr>
          <w:p>
            <w:r>
              <w:t>KD 0 — No in-platform payments; orders confirmed off-platform.</w:t>
            </w:r>
          </w:p>
        </w:tc>
        <w:tc>
          <w:tcPr>
            <w:tcW w:type="dxa" w:w="1872"/>
          </w:tcPr>
          <w:p>
            <w:r>
              <w:t>KD 50,000–200,000/yr — KNET enables first in-platform transactions.</w:t>
            </w:r>
          </w:p>
        </w:tc>
        <w:tc>
          <w:tcPr>
            <w:tcW w:type="dxa" w:w="1872"/>
          </w:tcPr>
          <w:p>
            <w:r>
              <w:t>KD 1M–5M/yr — Repeat behaviour established; logistics integration reduces friction.</w:t>
            </w:r>
          </w:p>
        </w:tc>
        <w:tc>
          <w:tcPr>
            <w:tcW w:type="dxa" w:w="1872"/>
          </w:tcPr>
          <w:p>
            <w:r>
              <w:t>KD 10M–40M/yr — GCC expansion multiplies addressable market 6×.</w:t>
            </w:r>
          </w:p>
        </w:tc>
        <w:tc>
          <w:tcPr>
            <w:tcW w:type="dxa" w:w="1440"/>
          </w:tcPr>
          <w:p>
            <w:r>
              <w:t>KD 80M–200M/yr — Critical mass achieved; autonomous procurement drives revenue.</w:t>
            </w:r>
          </w:p>
        </w:tc>
      </w:tr>
      <w:tr>
        <w:tc>
          <w:tcPr>
            <w:tcW w:type="dxa" w:w="1872"/>
          </w:tcPr>
          <w:p>
            <w:r>
              <w:t>Technical Debt Index</w:t>
            </w:r>
          </w:p>
        </w:tc>
        <w:tc>
          <w:tcPr>
            <w:tcW w:type="dxa" w:w="1872"/>
          </w:tcPr>
          <w:p>
            <w:r>
              <w:t>High — JSON DB, 0% tests, no CI, plain-text passwords, no ADRs.</w:t>
            </w:r>
          </w:p>
        </w:tc>
        <w:tc>
          <w:tcPr>
            <w:tcW w:type="dxa" w:w="1872"/>
          </w:tcPr>
          <w:p>
            <w:r>
              <w:t>Medium-High — PostgreSQL and password hashing clear the two largest debt items.</w:t>
            </w:r>
          </w:p>
        </w:tc>
        <w:tc>
          <w:tcPr>
            <w:tcW w:type="dxa" w:w="1872"/>
          </w:tcPr>
          <w:p>
            <w:r>
              <w:t>Medium — CI enforces gates; SonarQube tracks debt; quarterly refactoring sprints.</w:t>
            </w:r>
          </w:p>
        </w:tc>
        <w:tc>
          <w:tcPr>
            <w:tcW w:type="dxa" w:w="1872"/>
          </w:tcPr>
          <w:p>
            <w:r>
              <w:t>Low-Medium — Modular architecture reduces coupling; shared libraries reduce duplication.</w:t>
            </w:r>
          </w:p>
        </w:tc>
        <w:tc>
          <w:tcPr>
            <w:tcW w:type="dxa" w:w="1440"/>
          </w:tcPr>
          <w:p>
            <w:r>
              <w:t>Low — Mature platform; debt managed proactively; no single point of failure.</w:t>
            </w:r>
          </w:p>
        </w:tc>
      </w:tr>
    </w:tbl>
    <w:p/>
    <w:p>
      <w:pPr>
        <w:pStyle w:val="Heading2"/>
      </w:pPr>
      <w:r>
        <w:t>6.5  Narrative Justification</w:t>
      </w:r>
    </w:p>
    <w:p>
      <w:pPr>
        <w:pStyle w:val="Heading3"/>
      </w:pPr>
      <w:r>
        <w:t>6.5.1  Near-Term (Years 1–2)</w:t>
      </w:r>
    </w:p>
    <w:p>
      <w:pPr/>
      <w:r>
        <w:t>The most significant quality risk facing the Kuwait B2B Hub in its first year is not a feature gap but a foundational infrastructure deficit. The prototype's reliance on a JSON flat-file database is the single highest-priority evolution item because it creates a data integrity vulnerability that no frontend polish can mitigate. The readDB() → modify → writeDB() cycle in src/app/api/orders/route.ts provides no transaction isolation — under concurrent write conditions, stock overselling is mathematically certain. The PostgreSQL migration (SC-01) is therefore classified as Critical.</w:t>
      </w:r>
    </w:p>
    <w:p>
      <w:pPr/>
      <w:r>
        <w:t>The second Critical deficit, zero automated test coverage, compounds this risk. With 11.35 KLOC of untested production code guarding financial transactions, every deployment introduces unquantifiable regression exposure. Lehman's Second Law predicts that complexity increases with every subsequent feature addition — meaning the cost of introducing the test suite grows with each month it is deferred. The introduction of KNET payment integration (SC-03) is a commercial imperative rather than a feature enhancement. A B2B marketplace that routes payment confirmation to WhatsApp is a discovery tool, not a commerce platform.</w:t>
      </w:r>
    </w:p>
    <w:p>
      <w:pPr>
        <w:pStyle w:val="Heading3"/>
      </w:pPr>
      <w:r>
        <w:t>6.5.2  Medium-Term (Years 2–5)</w:t>
      </w:r>
    </w:p>
    <w:p>
      <w:pPr/>
      <w:r>
        <w:t>The medium-term period is characterised by two parallel dynamics: user base growth driven by feature expansion, and increasing architectural complexity driven by that same growth. Managing this tension is the central challenge of platform maturity. The Arabic NLP Search enhancement (SC-06) addresses a structural accessibility gap. Product data entered by brand owners is predominantly in English, creating a searchability wall for Arabic-first buyers. Full-text search with Arabic stemming removes this barrier and directly expands the addressable buyer population.</w:t>
      </w:r>
    </w:p>
    <w:p>
      <w:pPr/>
      <w:r>
        <w:t>The GCC regional expansion (SC-07) is justified by the src/lib/currencies.ts architecture, which already defines all six Gulf currencies with their respective VAT rates and locale identifiers. This was not accidental — it reflects forward-looking architecture that anticipated multi-market operation. Activating this latent capability in years three to four capitalises on infrastructure already built and tested.</w:t>
      </w:r>
    </w:p>
    <w:p>
      <w:pPr>
        <w:pStyle w:val="Heading3"/>
      </w:pPr>
      <w:r>
        <w:t>6.5.3  Long-Term (Years 6–10)</w:t>
      </w:r>
    </w:p>
    <w:p>
      <w:pPr/>
      <w:r>
        <w:t>The long-term predictions are governed by Lehman's Sixth Law — the Law of Continuing Growth. By year six, the platform will face competitive pressure from established regional players (Tradeling, Sary) and AI-native platforms that compress the discovery-to-purchase workflow. The GMV projection of KD 80–200 million by year ten is grounded in comparable GCC B2B marketplace trajectories. Tradeling, which launched in 2019, reported GMV of approximately $200 million by year four. The Kuwait B2B Hub's narrower geographic focus and stronger trust differentiation support a smaller but more defensible market position. The technical debt trajectory — from High in year one to Low by year ten — is achievable only if the quality investments in years one and two (test suite, CI pipeline, PostgreSQL migration, password hashing) are treated as non-negotiable prerequisites to feature development. Lehman's Seventh Law warns that quality will appear to decline unless rigorously maintained.</w:t>
      </w:r>
    </w:p>
    <w:p>
      <w:pPr>
        <w:pStyle w:val="Heading2"/>
      </w:pPr>
      <w:r>
        <w:t>6.6  Summary</w:t>
      </w:r>
    </w:p>
    <w:p>
      <w:pPr/>
      <w:r>
        <w:t>The Kuwait B2B Hub is a technically sound prototype with a well-structured codebase, a differentiated Trust Engine, and a bilingual architecture positioned for the Kuwaiti and GCC B2B market. Its primary evolutionary risks in the near term are infrastructural rather than conceptual: the JSON database, the absence of automated testing, the plain-text password storage, and the lack of in-platform payment must all be resolved before the system can be considered production-ready. Over a ten-year horizon, the platform's value is projected to grow from zero processed GMV to KD 80–200 million annually, contingent on the systematic delivery of the thirteen anticipated changes catalogued in Section 6.3.</w:t>
      </w:r>
    </w:p>
    <w:p>
      <w:r>
        <w:br w:type="page"/>
      </w:r>
    </w:p>
    <w:p>
      <w:pPr>
        <w:pStyle w:val="Heading1"/>
      </w:pPr>
      <w:r>
        <w:t>CHAPTER VII — PLANNING AND MANAGEMENT</w:t>
      </w:r>
    </w:p>
    <w:p>
      <w:pPr/>
      <w:r>
        <w:t>This chapter documents the project management framework applied to the Kuwait B2B Hub development effort. It covers the milestone and deliverable schedule, Gantt chart, staff allocation across sprints, activity network with dependencies, the COCOMO cost estimation, the complete Risk Assessment Matrix, and the root-cause fishbone analysis for the project's most significant quality deficit.</w:t>
      </w:r>
    </w:p>
    <w:p>
      <w:pPr>
        <w:pStyle w:val="Heading2"/>
      </w:pPr>
      <w:r>
        <w:t>7.1  Milestones &amp; Deliverables</w:t>
      </w:r>
    </w:p>
    <w:p>
      <w:pPr/>
      <w:r>
        <w:t>The following 13 milestones define the complete project timeline from inception through final submission. Each milestone represents a gate point at which specific deliverables must be complete before the next development phase begins.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tcPr>
          <w:p>
            <w:r>
              <w:rPr>
                <w:b/>
              </w:rPr>
              <w:t>#</w:t>
            </w:r>
          </w:p>
        </w:tc>
        <w:tc>
          <w:tcPr>
            <w:tcW w:type="dxa" w:w="3024"/>
          </w:tcPr>
          <w:p>
            <w:r>
              <w:rPr>
                <w:b/>
              </w:rPr>
              <w:t>Milestone</w:t>
            </w:r>
          </w:p>
        </w:tc>
        <w:tc>
          <w:tcPr>
            <w:tcW w:type="dxa" w:w="1872"/>
          </w:tcPr>
          <w:p>
            <w:r>
              <w:rPr>
                <w:b/>
              </w:rPr>
              <w:t>Target Date</w:t>
            </w:r>
          </w:p>
        </w:tc>
        <w:tc>
          <w:tcPr>
            <w:tcW w:type="dxa" w:w="2160"/>
          </w:tcPr>
          <w:p>
            <w:r>
              <w:rPr>
                <w:b/>
              </w:rPr>
              <w:t>Owner</w:t>
            </w:r>
          </w:p>
        </w:tc>
        <w:tc>
          <w:tcPr>
            <w:tcW w:type="dxa" w:w="3168"/>
          </w:tcPr>
          <w:p>
            <w:r>
              <w:rPr>
                <w:b/>
              </w:rPr>
              <w:t>Success Criteria</w:t>
            </w:r>
          </w:p>
        </w:tc>
      </w:tr>
      <w:tr>
        <w:tc>
          <w:tcPr>
            <w:tcW w:type="dxa" w:w="576"/>
          </w:tcPr>
          <w:p>
            <w:r>
              <w:t>M-01</w:t>
            </w:r>
          </w:p>
        </w:tc>
        <w:tc>
          <w:tcPr>
            <w:tcW w:type="dxa" w:w="3024"/>
          </w:tcPr>
          <w:p>
            <w:r>
              <w:t>Project Kickoff &amp; Requirements Capture</w:t>
            </w:r>
          </w:p>
        </w:tc>
        <w:tc>
          <w:tcPr>
            <w:tcW w:type="dxa" w:w="1872"/>
          </w:tcPr>
          <w:p>
            <w:r>
              <w:t>January 2026</w:t>
            </w:r>
          </w:p>
        </w:tc>
        <w:tc>
          <w:tcPr>
            <w:tcW w:type="dxa" w:w="2160"/>
          </w:tcPr>
          <w:p>
            <w:r>
              <w:t>Full Team</w:t>
            </w:r>
          </w:p>
        </w:tc>
        <w:tc>
          <w:tcPr>
            <w:tcW w:type="dxa" w:w="3168"/>
          </w:tcPr>
          <w:p>
            <w:r>
              <w:t>Platform concept agreed; initial user stories documented; tech stack selected</w:t>
            </w:r>
          </w:p>
        </w:tc>
      </w:tr>
      <w:tr>
        <w:tc>
          <w:tcPr>
            <w:tcW w:type="dxa" w:w="576"/>
          </w:tcPr>
          <w:p>
            <w:r>
              <w:t>M-02</w:t>
            </w:r>
          </w:p>
        </w:tc>
        <w:tc>
          <w:tcPr>
            <w:tcW w:type="dxa" w:w="3024"/>
          </w:tcPr>
          <w:p>
            <w:r>
              <w:t>Sprint 1 Complete — Foundation &amp; Auth</w:t>
            </w:r>
          </w:p>
        </w:tc>
        <w:tc>
          <w:tcPr>
            <w:tcW w:type="dxa" w:w="1872"/>
          </w:tcPr>
          <w:p>
            <w:r>
              <w:t>Late January 2026</w:t>
            </w:r>
          </w:p>
        </w:tc>
        <w:tc>
          <w:tcPr>
            <w:tcW w:type="dxa" w:w="2160"/>
          </w:tcPr>
          <w:p>
            <w:r>
              <w:t>Bader Alnoumas</w:t>
            </w:r>
          </w:p>
        </w:tc>
        <w:tc>
          <w:tcPr>
            <w:tcW w:type="dxa" w:w="3168"/>
          </w:tcPr>
          <w:p>
            <w:r>
              <w:t>Next.js 16 scaffold; DB schema (10 interfaces); registration/login working</w:t>
            </w:r>
          </w:p>
        </w:tc>
      </w:tr>
      <w:tr>
        <w:tc>
          <w:tcPr>
            <w:tcW w:type="dxa" w:w="576"/>
          </w:tcPr>
          <w:p>
            <w:r>
              <w:t>M-03</w:t>
            </w:r>
          </w:p>
        </w:tc>
        <w:tc>
          <w:tcPr>
            <w:tcW w:type="dxa" w:w="3024"/>
          </w:tcPr>
          <w:p>
            <w:r>
              <w:t>Sprint 2 Complete — Marketplace Core</w:t>
            </w:r>
          </w:p>
        </w:tc>
        <w:tc>
          <w:tcPr>
            <w:tcW w:type="dxa" w:w="1872"/>
          </w:tcPr>
          <w:p>
            <w:r>
              <w:t>February 2026</w:t>
            </w:r>
          </w:p>
        </w:tc>
        <w:tc>
          <w:tcPr>
            <w:tcW w:type="dxa" w:w="2160"/>
          </w:tcPr>
          <w:p>
            <w:r>
              <w:t>Full Team</w:t>
            </w:r>
          </w:p>
        </w:tc>
        <w:tc>
          <w:tcPr>
            <w:tcW w:type="dxa" w:w="3168"/>
          </w:tcPr>
          <w:p>
            <w:r>
              <w:t>Brand browsing, search/filter, multi-currency, verification badges functional</w:t>
            </w:r>
          </w:p>
        </w:tc>
      </w:tr>
      <w:tr>
        <w:tc>
          <w:tcPr>
            <w:tcW w:type="dxa" w:w="576"/>
          </w:tcPr>
          <w:p>
            <w:r>
              <w:t>M-04</w:t>
            </w:r>
          </w:p>
        </w:tc>
        <w:tc>
          <w:tcPr>
            <w:tcW w:type="dxa" w:w="3024"/>
          </w:tcPr>
          <w:p>
            <w:r>
              <w:t>Sprint 3 Complete — Order Lifecycle</w:t>
            </w:r>
          </w:p>
        </w:tc>
        <w:tc>
          <w:tcPr>
            <w:tcW w:type="dxa" w:w="1872"/>
          </w:tcPr>
          <w:p>
            <w:r>
              <w:t>Late February 2026</w:t>
            </w:r>
          </w:p>
        </w:tc>
        <w:tc>
          <w:tcPr>
            <w:tcW w:type="dxa" w:w="2160"/>
          </w:tcPr>
          <w:p>
            <w:r>
              <w:t>Abdullah Subhi</w:t>
            </w:r>
          </w:p>
        </w:tc>
        <w:tc>
          <w:tcPr>
            <w:tcW w:type="dxa" w:w="3168"/>
          </w:tcPr>
          <w:p>
            <w:r>
              <w:t>Full order workflow (submit → approve → complete/reject); notifications firing</w:t>
            </w:r>
          </w:p>
        </w:tc>
      </w:tr>
      <w:tr>
        <w:tc>
          <w:tcPr>
            <w:tcW w:type="dxa" w:w="576"/>
          </w:tcPr>
          <w:p>
            <w:r>
              <w:t>M-05</w:t>
            </w:r>
          </w:p>
        </w:tc>
        <w:tc>
          <w:tcPr>
            <w:tcW w:type="dxa" w:w="3024"/>
          </w:tcPr>
          <w:p>
            <w:r>
              <w:t>Sprint 4–5 Complete — Brand Tools &amp; Trust</w:t>
            </w:r>
          </w:p>
        </w:tc>
        <w:tc>
          <w:tcPr>
            <w:tcW w:type="dxa" w:w="1872"/>
          </w:tcPr>
          <w:p>
            <w:r>
              <w:t>March 2026</w:t>
            </w:r>
          </w:p>
        </w:tc>
        <w:tc>
          <w:tcPr>
            <w:tcW w:type="dxa" w:w="2160"/>
          </w:tcPr>
          <w:p>
            <w:r>
              <w:t>Abdullah Abduljaleel / Abdullah Subhi</w:t>
            </w:r>
          </w:p>
        </w:tc>
        <w:tc>
          <w:tcPr>
            <w:tcW w:type="dxa" w:w="3168"/>
          </w:tcPr>
          <w:p>
            <w:r>
              <w:t>Product CRUD, bulk pricing, Excel import, Trust Engine, review system live</w:t>
            </w:r>
          </w:p>
        </w:tc>
      </w:tr>
      <w:tr>
        <w:tc>
          <w:tcPr>
            <w:tcW w:type="dxa" w:w="576"/>
          </w:tcPr>
          <w:p>
            <w:r>
              <w:t>M-06</w:t>
            </w:r>
          </w:p>
        </w:tc>
        <w:tc>
          <w:tcPr>
            <w:tcW w:type="dxa" w:w="3024"/>
          </w:tcPr>
          <w:p>
            <w:r>
              <w:t>Sprint 6 Complete — Admin &amp; Notifications</w:t>
            </w:r>
          </w:p>
        </w:tc>
        <w:tc>
          <w:tcPr>
            <w:tcW w:type="dxa" w:w="1872"/>
          </w:tcPr>
          <w:p>
            <w:r>
              <w:t>Early April 2026</w:t>
            </w:r>
          </w:p>
        </w:tc>
        <w:tc>
          <w:tcPr>
            <w:tcW w:type="dxa" w:w="2160"/>
          </w:tcPr>
          <w:p>
            <w:r>
              <w:t>Abdullah Abduljaleel</w:t>
            </w:r>
          </w:p>
        </w:tc>
        <w:tc>
          <w:tcPr>
            <w:tcW w:type="dxa" w:w="3168"/>
          </w:tcPr>
          <w:p>
            <w:r>
              <w:t>Admin dashboard, pending queues, notification panel, review moderation active</w:t>
            </w:r>
          </w:p>
        </w:tc>
      </w:tr>
      <w:tr>
        <w:tc>
          <w:tcPr>
            <w:tcW w:type="dxa" w:w="576"/>
          </w:tcPr>
          <w:p>
            <w:r>
              <w:t>M-07</w:t>
            </w:r>
          </w:p>
        </w:tc>
        <w:tc>
          <w:tcPr>
            <w:tcW w:type="dxa" w:w="3024"/>
          </w:tcPr>
          <w:p>
            <w:r>
              <w:t>Sprint 7 Complete — Localisation &amp; Polish</w:t>
            </w:r>
          </w:p>
        </w:tc>
        <w:tc>
          <w:tcPr>
            <w:tcW w:type="dxa" w:w="1872"/>
          </w:tcPr>
          <w:p>
            <w:r>
              <w:t>Late April 2026</w:t>
            </w:r>
          </w:p>
        </w:tc>
        <w:tc>
          <w:tcPr>
            <w:tcW w:type="dxa" w:w="2160"/>
          </w:tcPr>
          <w:p>
            <w:r>
              <w:t>Salah Abdulfattah</w:t>
            </w:r>
          </w:p>
        </w:tc>
        <w:tc>
          <w:tcPr>
            <w:tcW w:type="dxa" w:w="3168"/>
          </w:tcPr>
          <w:p>
            <w:r>
              <w:t>Arabic RTL audit complete; GCC currency expansion; mobile responsiveness pass</w:t>
            </w:r>
          </w:p>
        </w:tc>
      </w:tr>
      <w:tr>
        <w:tc>
          <w:tcPr>
            <w:tcW w:type="dxa" w:w="576"/>
          </w:tcPr>
          <w:p>
            <w:r>
              <w:t>M-08</w:t>
            </w:r>
          </w:p>
        </w:tc>
        <w:tc>
          <w:tcPr>
            <w:tcW w:type="dxa" w:w="3024"/>
          </w:tcPr>
          <w:p>
            <w:r>
              <w:t>Supabase Auth Consolidated &amp; Translations Complete</w:t>
            </w:r>
          </w:p>
        </w:tc>
        <w:tc>
          <w:tcPr>
            <w:tcW w:type="dxa" w:w="1872"/>
          </w:tcPr>
          <w:p>
            <w:r>
              <w:t>Late April 2026</w:t>
            </w:r>
          </w:p>
        </w:tc>
        <w:tc>
          <w:tcPr>
            <w:tcW w:type="dxa" w:w="2160"/>
          </w:tcPr>
          <w:p>
            <w:r>
              <w:t>Full Team</w:t>
            </w:r>
          </w:p>
        </w:tc>
        <w:tc>
          <w:tcPr>
            <w:tcW w:type="dxa" w:w="3168"/>
          </w:tcPr>
          <w:p>
            <w:r>
              <w:t>All auth flows use Supabase; audit scripts report 0 missing keys in EN and AR</w:t>
            </w:r>
          </w:p>
        </w:tc>
      </w:tr>
      <w:tr>
        <w:tc>
          <w:tcPr>
            <w:tcW w:type="dxa" w:w="576"/>
          </w:tcPr>
          <w:p>
            <w:r>
              <w:t>M-09</w:t>
            </w:r>
          </w:p>
        </w:tc>
        <w:tc>
          <w:tcPr>
            <w:tcW w:type="dxa" w:w="3024"/>
          </w:tcPr>
          <w:p>
            <w:r>
              <w:t>Supabase DB Migration &amp; Real-Time Notifications</w:t>
            </w:r>
          </w:p>
        </w:tc>
        <w:tc>
          <w:tcPr>
            <w:tcW w:type="dxa" w:w="1872"/>
          </w:tcPr>
          <w:p>
            <w:r>
              <w:t>Early May 2026</w:t>
            </w:r>
          </w:p>
        </w:tc>
        <w:tc>
          <w:tcPr>
            <w:tcW w:type="dxa" w:w="2160"/>
          </w:tcPr>
          <w:p>
            <w:r>
              <w:t>Abdullah Subhi</w:t>
            </w:r>
          </w:p>
        </w:tc>
        <w:tc>
          <w:tcPr>
            <w:tcW w:type="dxa" w:w="3168"/>
          </w:tcPr>
          <w:p>
            <w:r>
              <w:t>All CRUD operations use Supabase PostgreSQL; notifications within 2 s of event</w:t>
            </w:r>
          </w:p>
        </w:tc>
      </w:tr>
      <w:tr>
        <w:tc>
          <w:tcPr>
            <w:tcW w:type="dxa" w:w="576"/>
          </w:tcPr>
          <w:p>
            <w:r>
              <w:t>M-10</w:t>
            </w:r>
          </w:p>
        </w:tc>
        <w:tc>
          <w:tcPr>
            <w:tcW w:type="dxa" w:w="3024"/>
          </w:tcPr>
          <w:p>
            <w:r>
              <w:t>Automated Tests &amp; Mobile Finalised</w:t>
            </w:r>
          </w:p>
        </w:tc>
        <w:tc>
          <w:tcPr>
            <w:tcW w:type="dxa" w:w="1872"/>
          </w:tcPr>
          <w:p>
            <w:r>
              <w:t>Mid-May 2026</w:t>
            </w:r>
          </w:p>
        </w:tc>
        <w:tc>
          <w:tcPr>
            <w:tcW w:type="dxa" w:w="2160"/>
          </w:tcPr>
          <w:p>
            <w:r>
              <w:t>Full Team</w:t>
            </w:r>
          </w:p>
        </w:tc>
        <w:tc>
          <w:tcPr>
            <w:tcW w:type="dxa" w:w="3168"/>
          </w:tcPr>
          <w:p>
            <w:r>
              <w:t>Jest/Vitest unit tests pass; Playwright E2E tests pass; 375 px mobile review pass</w:t>
            </w:r>
          </w:p>
        </w:tc>
      </w:tr>
      <w:tr>
        <w:tc>
          <w:tcPr>
            <w:tcW w:type="dxa" w:w="576"/>
          </w:tcPr>
          <w:p>
            <w:r>
              <w:t>M-11</w:t>
            </w:r>
          </w:p>
        </w:tc>
        <w:tc>
          <w:tcPr>
            <w:tcW w:type="dxa" w:w="3024"/>
          </w:tcPr>
          <w:p>
            <w:r>
              <w:t>Final Report First Full Draft</w:t>
            </w:r>
          </w:p>
        </w:tc>
        <w:tc>
          <w:tcPr>
            <w:tcW w:type="dxa" w:w="1872"/>
          </w:tcPr>
          <w:p>
            <w:r>
              <w:t>Late May 2026</w:t>
            </w:r>
          </w:p>
        </w:tc>
        <w:tc>
          <w:tcPr>
            <w:tcW w:type="dxa" w:w="2160"/>
          </w:tcPr>
          <w:p>
            <w:r>
              <w:t>Full Team</w:t>
            </w:r>
          </w:p>
        </w:tc>
        <w:tc>
          <w:tcPr>
            <w:tcW w:type="dxa" w:w="3168"/>
          </w:tcPr>
          <w:p>
            <w:r>
              <w:t>All chapters drafted and reviewed internally by all four team members</w:t>
            </w:r>
          </w:p>
        </w:tc>
      </w:tr>
      <w:tr>
        <w:tc>
          <w:tcPr>
            <w:tcW w:type="dxa" w:w="576"/>
          </w:tcPr>
          <w:p>
            <w:r>
              <w:t>M-12</w:t>
            </w:r>
          </w:p>
        </w:tc>
        <w:tc>
          <w:tcPr>
            <w:tcW w:type="dxa" w:w="3024"/>
          </w:tcPr>
          <w:p>
            <w:r>
              <w:t>Presentation Slides &amp; Rehearsal Complete</w:t>
            </w:r>
          </w:p>
        </w:tc>
        <w:tc>
          <w:tcPr>
            <w:tcW w:type="dxa" w:w="1872"/>
          </w:tcPr>
          <w:p>
            <w:r>
              <w:t>Early June 2026</w:t>
            </w:r>
          </w:p>
        </w:tc>
        <w:tc>
          <w:tcPr>
            <w:tcW w:type="dxa" w:w="2160"/>
          </w:tcPr>
          <w:p>
            <w:r>
              <w:t>Full Team</w:t>
            </w:r>
          </w:p>
        </w:tc>
        <w:tc>
          <w:tcPr>
            <w:tcW w:type="dxa" w:w="3168"/>
          </w:tcPr>
          <w:p>
            <w:r>
              <w:t>Slides reviewed; live-demo rehearsal conducted; timed run-through completed</w:t>
            </w:r>
          </w:p>
        </w:tc>
      </w:tr>
      <w:tr>
        <w:tc>
          <w:tcPr>
            <w:tcW w:type="dxa" w:w="576"/>
          </w:tcPr>
          <w:p>
            <w:r>
              <w:t>M-13</w:t>
            </w:r>
          </w:p>
        </w:tc>
        <w:tc>
          <w:tcPr>
            <w:tcW w:type="dxa" w:w="3024"/>
          </w:tcPr>
          <w:p>
            <w:r>
              <w:t>Final Submission &amp; Viva</w:t>
            </w:r>
          </w:p>
        </w:tc>
        <w:tc>
          <w:tcPr>
            <w:tcW w:type="dxa" w:w="1872"/>
          </w:tcPr>
          <w:p>
            <w:r>
              <w:t>Mid–Late June 2026</w:t>
            </w:r>
          </w:p>
        </w:tc>
        <w:tc>
          <w:tcPr>
            <w:tcW w:type="dxa" w:w="2160"/>
          </w:tcPr>
          <w:p>
            <w:r>
              <w:t>Full Team</w:t>
            </w:r>
          </w:p>
        </w:tc>
        <w:tc>
          <w:tcPr>
            <w:tcW w:type="dxa" w:w="3168"/>
          </w:tcPr>
          <w:p>
            <w:r>
              <w:t>Report submitted to university portal; presentation delivered; Q&amp;A handled</w:t>
            </w:r>
          </w:p>
        </w:tc>
      </w:tr>
    </w:tbl>
    <w:p/>
    <w:p>
      <w:pPr>
        <w:pStyle w:val="Heading2"/>
      </w:pPr>
      <w:r>
        <w:t>7.2  Gantt Chart</w:t>
      </w:r>
    </w:p>
    <w:p>
      <w:pPr/>
      <w:r>
        <w:t>The Gantt chart below maps each of the eight development sprints and five final-phase milestones to the project calendar from January 2026 through June 2026. Each bar represents the active duration of a sprint or milestone activity. Critical-path tasks are highlighted.</w:t>
      </w:r>
    </w:p>
    <w:p/>
    <w:p>
      <w:pPr>
        <w:jc w:val="center"/>
      </w:pPr>
      <w:r>
        <w:rPr>
          <w:b/>
          <w:color w:val="888888"/>
          <w:sz w:val="22"/>
        </w:rPr>
        <w:t>[ FIGURE 10 — Gantt Chart — Kuwait B2B Hub Project Schedule (Jan–Jun 2026) ]</w:t>
      </w:r>
    </w:p>
    <w:p>
      <w:pPr>
        <w:jc w:val="center"/>
      </w:pPr>
      <w:r>
        <w:rPr>
          <w:i/>
          <w:color w:val="AAAAAA"/>
          <w:sz w:val="18"/>
        </w:rPr>
        <w:t>(Insert diagram / image here)</w:t>
      </w:r>
    </w:p>
    <w:p/>
    <w:p>
      <w:pPr>
        <w:pStyle w:val="Heading2"/>
      </w:pPr>
      <w:r>
        <w:t>7.3  Staff Allocation by Sprint</w:t>
      </w:r>
    </w:p>
    <w:p>
      <w:pPr/>
      <w:r>
        <w:t>The following table documents each team member's primary responsibility (P), supporting contribution (S), or review/QA role (R) for each sprint. Assignments are derived from the Change Request Log (§4.4.3).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08"/>
          </w:tcPr>
          <w:p>
            <w:r>
              <w:rPr>
                <w:b/>
              </w:rPr>
              <w:t>Sprint</w:t>
            </w:r>
          </w:p>
        </w:tc>
        <w:tc>
          <w:tcPr>
            <w:tcW w:type="dxa" w:w="2016"/>
          </w:tcPr>
          <w:p>
            <w:r>
              <w:rPr>
                <w:b/>
              </w:rPr>
              <w:t>Focus Area</w:t>
            </w:r>
          </w:p>
        </w:tc>
        <w:tc>
          <w:tcPr>
            <w:tcW w:type="dxa" w:w="2160"/>
          </w:tcPr>
          <w:p>
            <w:r>
              <w:rPr>
                <w:b/>
              </w:rPr>
              <w:t>Bader Alnoumas</w:t>
              <w:br/>
              <w:t>S00059026</w:t>
            </w:r>
          </w:p>
        </w:tc>
        <w:tc>
          <w:tcPr>
            <w:tcW w:type="dxa" w:w="2160"/>
          </w:tcPr>
          <w:p>
            <w:r>
              <w:rPr>
                <w:b/>
              </w:rPr>
              <w:t>Abdullah Abduljaleel</w:t>
              <w:br/>
              <w:t>S00056040</w:t>
            </w:r>
          </w:p>
        </w:tc>
        <w:tc>
          <w:tcPr>
            <w:tcW w:type="dxa" w:w="2160"/>
          </w:tcPr>
          <w:p>
            <w:r>
              <w:rPr>
                <w:b/>
              </w:rPr>
              <w:t>Abdullah Subhi</w:t>
              <w:br/>
              <w:t>S00054535</w:t>
            </w:r>
          </w:p>
        </w:tc>
        <w:tc>
          <w:tcPr>
            <w:tcW w:type="dxa" w:w="2160"/>
          </w:tcPr>
          <w:p>
            <w:r>
              <w:rPr>
                <w:b/>
              </w:rPr>
              <w:t>Salah Abdulfattah</w:t>
              <w:br/>
              <w:t>S00052772</w:t>
            </w:r>
          </w:p>
        </w:tc>
      </w:tr>
      <w:tr>
        <w:tc>
          <w:tcPr>
            <w:tcW w:type="dxa" w:w="1008"/>
          </w:tcPr>
          <w:p>
            <w:r>
              <w:t>Sprint 1</w:t>
            </w:r>
          </w:p>
        </w:tc>
        <w:tc>
          <w:tcPr>
            <w:tcW w:type="dxa" w:w="2016"/>
          </w:tcPr>
          <w:p>
            <w:r>
              <w:t>Foundation &amp; Auth</w:t>
            </w:r>
          </w:p>
        </w:tc>
        <w:tc>
          <w:tcPr>
            <w:tcW w:type="dxa" w:w="2160"/>
          </w:tcPr>
          <w:p>
            <w:r>
              <w:t>P — scaffold, schema (CR-001, CR-002)</w:t>
            </w:r>
          </w:p>
        </w:tc>
        <w:tc>
          <w:tcPr>
            <w:tcW w:type="dxa" w:w="2160"/>
          </w:tcPr>
          <w:p>
            <w:r>
              <w:t>S — DB interface review</w:t>
            </w:r>
          </w:p>
        </w:tc>
        <w:tc>
          <w:tcPr>
            <w:tcW w:type="dxa" w:w="2160"/>
          </w:tcPr>
          <w:p>
            <w:r>
              <w:t>S — route handler design</w:t>
            </w:r>
          </w:p>
        </w:tc>
        <w:tc>
          <w:tcPr>
            <w:tcW w:type="dxa" w:w="2160"/>
          </w:tcPr>
          <w:p>
            <w:r>
              <w:t>S — env configuration</w:t>
            </w:r>
          </w:p>
        </w:tc>
      </w:tr>
      <w:tr>
        <w:tc>
          <w:tcPr>
            <w:tcW w:type="dxa" w:w="1008"/>
          </w:tcPr>
          <w:p>
            <w:r>
              <w:t>Sprint 2</w:t>
            </w:r>
          </w:p>
        </w:tc>
        <w:tc>
          <w:tcPr>
            <w:tcW w:type="dxa" w:w="2016"/>
          </w:tcPr>
          <w:p>
            <w:r>
              <w:t>Marketplace Core</w:t>
            </w:r>
          </w:p>
        </w:tc>
        <w:tc>
          <w:tcPr>
            <w:tcW w:type="dxa" w:w="2160"/>
          </w:tcPr>
          <w:p>
            <w:r>
              <w:t>P — brand browsing API</w:t>
            </w:r>
          </w:p>
        </w:tc>
        <w:tc>
          <w:tcPr>
            <w:tcW w:type="dxa" w:w="2160"/>
          </w:tcPr>
          <w:p>
            <w:r>
              <w:t>P — product catalogue UI</w:t>
            </w:r>
          </w:p>
        </w:tc>
        <w:tc>
          <w:tcPr>
            <w:tcW w:type="dxa" w:w="2160"/>
          </w:tcPr>
          <w:p>
            <w:r>
              <w:t>S — search/filter</w:t>
            </w:r>
          </w:p>
        </w:tc>
        <w:tc>
          <w:tcPr>
            <w:tcW w:type="dxa" w:w="2160"/>
          </w:tcPr>
          <w:p>
            <w:r>
              <w:t>S — currency context</w:t>
            </w:r>
          </w:p>
        </w:tc>
      </w:tr>
      <w:tr>
        <w:tc>
          <w:tcPr>
            <w:tcW w:type="dxa" w:w="1008"/>
          </w:tcPr>
          <w:p>
            <w:r>
              <w:t>Sprint 3</w:t>
            </w:r>
          </w:p>
        </w:tc>
        <w:tc>
          <w:tcPr>
            <w:tcW w:type="dxa" w:w="2016"/>
          </w:tcPr>
          <w:p>
            <w:r>
              <w:t>Order Lifecycle</w:t>
            </w:r>
          </w:p>
        </w:tc>
        <w:tc>
          <w:tcPr>
            <w:tcW w:type="dxa" w:w="2160"/>
          </w:tcPr>
          <w:p>
            <w:r>
              <w:t>S — order flow review</w:t>
            </w:r>
          </w:p>
        </w:tc>
        <w:tc>
          <w:tcPr>
            <w:tcW w:type="dxa" w:w="2160"/>
          </w:tcPr>
          <w:p>
            <w:r>
              <w:t>S — notification hooks</w:t>
            </w:r>
          </w:p>
        </w:tc>
        <w:tc>
          <w:tcPr>
            <w:tcW w:type="dxa" w:w="2160"/>
          </w:tcPr>
          <w:p>
            <w:r>
              <w:t>P — order API (MOQ, stock)</w:t>
            </w:r>
          </w:p>
        </w:tc>
        <w:tc>
          <w:tcPr>
            <w:tcW w:type="dxa" w:w="2160"/>
          </w:tcPr>
          <w:p>
            <w:r>
              <w:t>S — buyer dashboard</w:t>
            </w:r>
          </w:p>
        </w:tc>
      </w:tr>
      <w:tr>
        <w:tc>
          <w:tcPr>
            <w:tcW w:type="dxa" w:w="1008"/>
          </w:tcPr>
          <w:p>
            <w:r>
              <w:t>Sprint 4</w:t>
            </w:r>
          </w:p>
        </w:tc>
        <w:tc>
          <w:tcPr>
            <w:tcW w:type="dxa" w:w="2016"/>
          </w:tcPr>
          <w:p>
            <w:r>
              <w:t>Brand Owner Tools</w:t>
            </w:r>
          </w:p>
        </w:tc>
        <w:tc>
          <w:tcPr>
            <w:tcW w:type="dxa" w:w="2160"/>
          </w:tcPr>
          <w:p>
            <w:r>
              <w:t>P — XSS fix (CR-005)</w:t>
            </w:r>
          </w:p>
        </w:tc>
        <w:tc>
          <w:tcPr>
            <w:tcW w:type="dxa" w:w="2160"/>
          </w:tcPr>
          <w:p>
            <w:r>
              <w:t>P — bulk pricing (CR-006)</w:t>
            </w:r>
          </w:p>
        </w:tc>
        <w:tc>
          <w:tcPr>
            <w:tcW w:type="dxa" w:w="2160"/>
          </w:tcPr>
          <w:p>
            <w:r>
              <w:t>P — Supabase Auth (CR-004)</w:t>
            </w:r>
          </w:p>
        </w:tc>
        <w:tc>
          <w:tcPr>
            <w:tcW w:type="dxa" w:w="2160"/>
          </w:tcPr>
          <w:p>
            <w:r>
              <w:t>S — brand profile UI</w:t>
            </w:r>
          </w:p>
        </w:tc>
      </w:tr>
      <w:tr>
        <w:tc>
          <w:tcPr>
            <w:tcW w:type="dxa" w:w="1008"/>
          </w:tcPr>
          <w:p>
            <w:r>
              <w:t>Sprint 5</w:t>
            </w:r>
          </w:p>
        </w:tc>
        <w:tc>
          <w:tcPr>
            <w:tcW w:type="dxa" w:w="2016"/>
          </w:tcPr>
          <w:p>
            <w:r>
              <w:t>Trust &amp; Reputation</w:t>
            </w:r>
          </w:p>
        </w:tc>
        <w:tc>
          <w:tcPr>
            <w:tcW w:type="dxa" w:w="2160"/>
          </w:tcPr>
          <w:p>
            <w:r>
              <w:t>R — trust score review</w:t>
            </w:r>
          </w:p>
        </w:tc>
        <w:tc>
          <w:tcPr>
            <w:tcW w:type="dxa" w:w="2160"/>
          </w:tcPr>
          <w:p>
            <w:r>
              <w:t>S — review UI components</w:t>
            </w:r>
          </w:p>
        </w:tc>
        <w:tc>
          <w:tcPr>
            <w:tcW w:type="dxa" w:w="2160"/>
          </w:tcPr>
          <w:p>
            <w:r>
              <w:t>P — Trust Engine (CR-007)</w:t>
            </w:r>
          </w:p>
        </w:tc>
        <w:tc>
          <w:tcPr>
            <w:tcW w:type="dxa" w:w="2160"/>
          </w:tcPr>
          <w:p>
            <w:r>
              <w:t>S — rating aggregation</w:t>
            </w:r>
          </w:p>
        </w:tc>
      </w:tr>
      <w:tr>
        <w:tc>
          <w:tcPr>
            <w:tcW w:type="dxa" w:w="1008"/>
          </w:tcPr>
          <w:p>
            <w:r>
              <w:t>Sprint 6</w:t>
            </w:r>
          </w:p>
        </w:tc>
        <w:tc>
          <w:tcPr>
            <w:tcW w:type="dxa" w:w="2016"/>
          </w:tcPr>
          <w:p>
            <w:r>
              <w:t>Admin &amp; Notifications</w:t>
            </w:r>
          </w:p>
        </w:tc>
        <w:tc>
          <w:tcPr>
            <w:tcW w:type="dxa" w:w="2160"/>
          </w:tcPr>
          <w:p>
            <w:r>
              <w:t>R — admin flow QA</w:t>
            </w:r>
          </w:p>
        </w:tc>
        <w:tc>
          <w:tcPr>
            <w:tcW w:type="dxa" w:w="2160"/>
          </w:tcPr>
          <w:p>
            <w:r>
              <w:t>P — notifications (CR-008)</w:t>
            </w:r>
          </w:p>
        </w:tc>
        <w:tc>
          <w:tcPr>
            <w:tcW w:type="dxa" w:w="2160"/>
          </w:tcPr>
          <w:p>
            <w:r>
              <w:t>S — admin API routes</w:t>
            </w:r>
          </w:p>
        </w:tc>
        <w:tc>
          <w:tcPr>
            <w:tcW w:type="dxa" w:w="2160"/>
          </w:tcPr>
          <w:p>
            <w:r>
              <w:t>S — review moderation UI</w:t>
            </w:r>
          </w:p>
        </w:tc>
      </w:tr>
      <w:tr>
        <w:tc>
          <w:tcPr>
            <w:tcW w:type="dxa" w:w="1008"/>
          </w:tcPr>
          <w:p>
            <w:r>
              <w:t>Sprint 7</w:t>
            </w:r>
          </w:p>
        </w:tc>
        <w:tc>
          <w:tcPr>
            <w:tcW w:type="dxa" w:w="2016"/>
          </w:tcPr>
          <w:p>
            <w:r>
              <w:t>Localisation &amp; Polish</w:t>
            </w:r>
          </w:p>
        </w:tc>
        <w:tc>
          <w:tcPr>
            <w:tcW w:type="dxa" w:w="2160"/>
          </w:tcPr>
          <w:p>
            <w:r>
              <w:t>R — security audit</w:t>
            </w:r>
          </w:p>
        </w:tc>
        <w:tc>
          <w:tcPr>
            <w:tcW w:type="dxa" w:w="2160"/>
          </w:tcPr>
          <w:p>
            <w:r>
              <w:t>S — missing key audit</w:t>
            </w:r>
          </w:p>
        </w:tc>
        <w:tc>
          <w:tcPr>
            <w:tcW w:type="dxa" w:w="2160"/>
          </w:tcPr>
          <w:p>
            <w:r>
              <w:t>S — mobile layout fixes</w:t>
            </w:r>
          </w:p>
        </w:tc>
        <w:tc>
          <w:tcPr>
            <w:tcW w:type="dxa" w:w="2160"/>
          </w:tcPr>
          <w:p>
            <w:r>
              <w:t>P — GCC currency (CR-009), Excel import (CR-010)</w:t>
            </w:r>
          </w:p>
        </w:tc>
      </w:tr>
      <w:tr>
        <w:tc>
          <w:tcPr>
            <w:tcW w:type="dxa" w:w="1008"/>
          </w:tcPr>
          <w:p>
            <w:r>
              <w:t>Sprint 8</w:t>
            </w:r>
          </w:p>
        </w:tc>
        <w:tc>
          <w:tcPr>
            <w:tcW w:type="dxa" w:w="2016"/>
          </w:tcPr>
          <w:p>
            <w:r>
              <w:t>Production Readiness</w:t>
            </w:r>
          </w:p>
        </w:tc>
        <w:tc>
          <w:tcPr>
            <w:tcW w:type="dxa" w:w="2160"/>
          </w:tcPr>
          <w:p>
            <w:r>
              <w:t>P — report Ch I, V, VII</w:t>
            </w:r>
          </w:p>
        </w:tc>
        <w:tc>
          <w:tcPr>
            <w:tcW w:type="dxa" w:w="2160"/>
          </w:tcPr>
          <w:p>
            <w:r>
              <w:t>P — report Ch III, VI</w:t>
            </w:r>
          </w:p>
        </w:tc>
        <w:tc>
          <w:tcPr>
            <w:tcW w:type="dxa" w:w="2160"/>
          </w:tcPr>
          <w:p>
            <w:r>
              <w:t>P — report Ch IV, VIII; DB migration</w:t>
            </w:r>
          </w:p>
        </w:tc>
        <w:tc>
          <w:tcPr>
            <w:tcW w:type="dxa" w:w="2160"/>
          </w:tcPr>
          <w:p>
            <w:r>
              <w:t>P — report Ch II, VI; final QA</w:t>
            </w:r>
          </w:p>
        </w:tc>
      </w:tr>
    </w:tbl>
    <w:p/>
    <w:p>
      <w:pPr>
        <w:pStyle w:val="Heading2"/>
      </w:pPr>
      <w:r>
        <w:t>7.4  Activity Network</w:t>
      </w:r>
    </w:p>
    <w:p>
      <w:pPr/>
      <w:r>
        <w:t>The Activity Network below models the Kuwait B2B Hub project as a precedence-diagramming network. Each row represents an activity with its duration in weeks, earliest start (ES), earliest finish (EF), latest start (LS), latest finish (LF), and total float. Activities with zero float lie on the critical path.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576"/>
          </w:tcPr>
          <w:p>
            <w:r>
              <w:rPr>
                <w:b/>
              </w:rPr>
              <w:t>ID</w:t>
            </w:r>
          </w:p>
        </w:tc>
        <w:tc>
          <w:tcPr>
            <w:tcW w:type="dxa" w:w="2736"/>
          </w:tcPr>
          <w:p>
            <w:r>
              <w:rPr>
                <w:b/>
              </w:rPr>
              <w:t>Activity</w:t>
            </w:r>
          </w:p>
        </w:tc>
        <w:tc>
          <w:tcPr>
            <w:tcW w:type="dxa" w:w="720"/>
          </w:tcPr>
          <w:p>
            <w:r>
              <w:rPr>
                <w:b/>
              </w:rPr>
              <w:t>Dur</w:t>
              <w:br/>
              <w:t>(wks)</w:t>
            </w:r>
          </w:p>
        </w:tc>
        <w:tc>
          <w:tcPr>
            <w:tcW w:type="dxa" w:w="576"/>
          </w:tcPr>
          <w:p>
            <w:r>
              <w:rPr>
                <w:b/>
              </w:rPr>
              <w:t>ES</w:t>
            </w:r>
          </w:p>
        </w:tc>
        <w:tc>
          <w:tcPr>
            <w:tcW w:type="dxa" w:w="576"/>
          </w:tcPr>
          <w:p>
            <w:r>
              <w:rPr>
                <w:b/>
              </w:rPr>
              <w:t>EF</w:t>
            </w:r>
          </w:p>
        </w:tc>
        <w:tc>
          <w:tcPr>
            <w:tcW w:type="dxa" w:w="576"/>
          </w:tcPr>
          <w:p>
            <w:r>
              <w:rPr>
                <w:b/>
              </w:rPr>
              <w:t>LS</w:t>
            </w:r>
          </w:p>
        </w:tc>
        <w:tc>
          <w:tcPr>
            <w:tcW w:type="dxa" w:w="576"/>
          </w:tcPr>
          <w:p>
            <w:r>
              <w:rPr>
                <w:b/>
              </w:rPr>
              <w:t>LF</w:t>
            </w:r>
          </w:p>
        </w:tc>
        <w:tc>
          <w:tcPr>
            <w:tcW w:type="dxa" w:w="720"/>
          </w:tcPr>
          <w:p>
            <w:r>
              <w:rPr>
                <w:b/>
              </w:rPr>
              <w:t>Float</w:t>
            </w:r>
          </w:p>
        </w:tc>
        <w:tc>
          <w:tcPr>
            <w:tcW w:type="dxa" w:w="1296"/>
          </w:tcPr>
          <w:p>
            <w:r>
              <w:rPr>
                <w:b/>
              </w:rPr>
              <w:t>Predecessors</w:t>
            </w:r>
          </w:p>
        </w:tc>
        <w:tc>
          <w:tcPr>
            <w:tcW w:type="dxa" w:w="1152"/>
          </w:tcPr>
          <w:p>
            <w:r>
              <w:rPr>
                <w:b/>
              </w:rPr>
              <w:t>Successors</w:t>
            </w:r>
          </w:p>
        </w:tc>
      </w:tr>
      <w:tr>
        <w:tc>
          <w:tcPr>
            <w:tcW w:type="dxa" w:w="576"/>
          </w:tcPr>
          <w:p>
            <w:r>
              <w:t>A1</w:t>
            </w:r>
          </w:p>
        </w:tc>
        <w:tc>
          <w:tcPr>
            <w:tcW w:type="dxa" w:w="2736"/>
          </w:tcPr>
          <w:p>
            <w:r>
              <w:t>Project Kickoff &amp; Requirements</w:t>
            </w:r>
          </w:p>
        </w:tc>
        <w:tc>
          <w:tcPr>
            <w:tcW w:type="dxa" w:w="720"/>
          </w:tcPr>
          <w:p>
            <w:r>
              <w:t>2</w:t>
            </w:r>
          </w:p>
        </w:tc>
        <w:tc>
          <w:tcPr>
            <w:tcW w:type="dxa" w:w="576"/>
          </w:tcPr>
          <w:p>
            <w:r>
              <w:t>0</w:t>
            </w:r>
          </w:p>
        </w:tc>
        <w:tc>
          <w:tcPr>
            <w:tcW w:type="dxa" w:w="576"/>
          </w:tcPr>
          <w:p>
            <w:r>
              <w:t>2</w:t>
            </w:r>
          </w:p>
        </w:tc>
        <w:tc>
          <w:tcPr>
            <w:tcW w:type="dxa" w:w="576"/>
          </w:tcPr>
          <w:p>
            <w:r>
              <w:t>0</w:t>
            </w:r>
          </w:p>
        </w:tc>
        <w:tc>
          <w:tcPr>
            <w:tcW w:type="dxa" w:w="576"/>
          </w:tcPr>
          <w:p>
            <w:r>
              <w:t>2</w:t>
            </w:r>
          </w:p>
        </w:tc>
        <w:tc>
          <w:tcPr>
            <w:tcW w:type="dxa" w:w="720"/>
          </w:tcPr>
          <w:p>
            <w:r>
              <w:t>0*</w:t>
            </w:r>
          </w:p>
        </w:tc>
        <w:tc>
          <w:tcPr>
            <w:tcW w:type="dxa" w:w="1296"/>
          </w:tcPr>
          <w:p>
            <w:r>
              <w:t>—</w:t>
            </w:r>
          </w:p>
        </w:tc>
        <w:tc>
          <w:tcPr>
            <w:tcW w:type="dxa" w:w="1152"/>
          </w:tcPr>
          <w:p>
            <w:r>
              <w:t>A2, A3</w:t>
            </w:r>
          </w:p>
        </w:tc>
      </w:tr>
      <w:tr>
        <w:tc>
          <w:tcPr>
            <w:tcW w:type="dxa" w:w="576"/>
          </w:tcPr>
          <w:p>
            <w:r>
              <w:t>A2</w:t>
            </w:r>
          </w:p>
        </w:tc>
        <w:tc>
          <w:tcPr>
            <w:tcW w:type="dxa" w:w="2736"/>
          </w:tcPr>
          <w:p>
            <w:r>
              <w:t>System Architecture Design</w:t>
            </w:r>
          </w:p>
        </w:tc>
        <w:tc>
          <w:tcPr>
            <w:tcW w:type="dxa" w:w="720"/>
          </w:tcPr>
          <w:p>
            <w:r>
              <w:t>1</w:t>
            </w:r>
          </w:p>
        </w:tc>
        <w:tc>
          <w:tcPr>
            <w:tcW w:type="dxa" w:w="576"/>
          </w:tcPr>
          <w:p>
            <w:r>
              <w:t>2</w:t>
            </w:r>
          </w:p>
        </w:tc>
        <w:tc>
          <w:tcPr>
            <w:tcW w:type="dxa" w:w="576"/>
          </w:tcPr>
          <w:p>
            <w:r>
              <w:t>3</w:t>
            </w:r>
          </w:p>
        </w:tc>
        <w:tc>
          <w:tcPr>
            <w:tcW w:type="dxa" w:w="576"/>
          </w:tcPr>
          <w:p>
            <w:r>
              <w:t>2</w:t>
            </w:r>
          </w:p>
        </w:tc>
        <w:tc>
          <w:tcPr>
            <w:tcW w:type="dxa" w:w="576"/>
          </w:tcPr>
          <w:p>
            <w:r>
              <w:t>3</w:t>
            </w:r>
          </w:p>
        </w:tc>
        <w:tc>
          <w:tcPr>
            <w:tcW w:type="dxa" w:w="720"/>
          </w:tcPr>
          <w:p>
            <w:r>
              <w:t>0*</w:t>
            </w:r>
          </w:p>
        </w:tc>
        <w:tc>
          <w:tcPr>
            <w:tcW w:type="dxa" w:w="1296"/>
          </w:tcPr>
          <w:p>
            <w:r>
              <w:t>A1</w:t>
            </w:r>
          </w:p>
        </w:tc>
        <w:tc>
          <w:tcPr>
            <w:tcW w:type="dxa" w:w="1152"/>
          </w:tcPr>
          <w:p>
            <w:r>
              <w:t>A4, A5</w:t>
            </w:r>
          </w:p>
        </w:tc>
      </w:tr>
      <w:tr>
        <w:tc>
          <w:tcPr>
            <w:tcW w:type="dxa" w:w="576"/>
          </w:tcPr>
          <w:p>
            <w:r>
              <w:t>A3</w:t>
            </w:r>
          </w:p>
        </w:tc>
        <w:tc>
          <w:tcPr>
            <w:tcW w:type="dxa" w:w="2736"/>
          </w:tcPr>
          <w:p>
            <w:r>
              <w:t>Database Schema Design</w:t>
            </w:r>
          </w:p>
        </w:tc>
        <w:tc>
          <w:tcPr>
            <w:tcW w:type="dxa" w:w="720"/>
          </w:tcPr>
          <w:p>
            <w:r>
              <w:t>1</w:t>
            </w:r>
          </w:p>
        </w:tc>
        <w:tc>
          <w:tcPr>
            <w:tcW w:type="dxa" w:w="576"/>
          </w:tcPr>
          <w:p>
            <w:r>
              <w:t>2</w:t>
            </w:r>
          </w:p>
        </w:tc>
        <w:tc>
          <w:tcPr>
            <w:tcW w:type="dxa" w:w="576"/>
          </w:tcPr>
          <w:p>
            <w:r>
              <w:t>3</w:t>
            </w:r>
          </w:p>
        </w:tc>
        <w:tc>
          <w:tcPr>
            <w:tcW w:type="dxa" w:w="576"/>
          </w:tcPr>
          <w:p>
            <w:r>
              <w:t>2</w:t>
            </w:r>
          </w:p>
        </w:tc>
        <w:tc>
          <w:tcPr>
            <w:tcW w:type="dxa" w:w="576"/>
          </w:tcPr>
          <w:p>
            <w:r>
              <w:t>3</w:t>
            </w:r>
          </w:p>
        </w:tc>
        <w:tc>
          <w:tcPr>
            <w:tcW w:type="dxa" w:w="720"/>
          </w:tcPr>
          <w:p>
            <w:r>
              <w:t>0*</w:t>
            </w:r>
          </w:p>
        </w:tc>
        <w:tc>
          <w:tcPr>
            <w:tcW w:type="dxa" w:w="1296"/>
          </w:tcPr>
          <w:p>
            <w:r>
              <w:t>A1</w:t>
            </w:r>
          </w:p>
        </w:tc>
        <w:tc>
          <w:tcPr>
            <w:tcW w:type="dxa" w:w="1152"/>
          </w:tcPr>
          <w:p>
            <w:r>
              <w:t>A4</w:t>
            </w:r>
          </w:p>
        </w:tc>
      </w:tr>
      <w:tr>
        <w:tc>
          <w:tcPr>
            <w:tcW w:type="dxa" w:w="576"/>
          </w:tcPr>
          <w:p>
            <w:r>
              <w:t>A4</w:t>
            </w:r>
          </w:p>
        </w:tc>
        <w:tc>
          <w:tcPr>
            <w:tcW w:type="dxa" w:w="2736"/>
          </w:tcPr>
          <w:p>
            <w:r>
              <w:t>Authentication &amp; RBAC</w:t>
            </w:r>
          </w:p>
        </w:tc>
        <w:tc>
          <w:tcPr>
            <w:tcW w:type="dxa" w:w="720"/>
          </w:tcPr>
          <w:p>
            <w:r>
              <w:t>2</w:t>
            </w:r>
          </w:p>
        </w:tc>
        <w:tc>
          <w:tcPr>
            <w:tcW w:type="dxa" w:w="576"/>
          </w:tcPr>
          <w:p>
            <w:r>
              <w:t>3</w:t>
            </w:r>
          </w:p>
        </w:tc>
        <w:tc>
          <w:tcPr>
            <w:tcW w:type="dxa" w:w="576"/>
          </w:tcPr>
          <w:p>
            <w:r>
              <w:t>5</w:t>
            </w:r>
          </w:p>
        </w:tc>
        <w:tc>
          <w:tcPr>
            <w:tcW w:type="dxa" w:w="576"/>
          </w:tcPr>
          <w:p>
            <w:r>
              <w:t>3</w:t>
            </w:r>
          </w:p>
        </w:tc>
        <w:tc>
          <w:tcPr>
            <w:tcW w:type="dxa" w:w="576"/>
          </w:tcPr>
          <w:p>
            <w:r>
              <w:t>5</w:t>
            </w:r>
          </w:p>
        </w:tc>
        <w:tc>
          <w:tcPr>
            <w:tcW w:type="dxa" w:w="720"/>
          </w:tcPr>
          <w:p>
            <w:r>
              <w:t>0*</w:t>
            </w:r>
          </w:p>
        </w:tc>
        <w:tc>
          <w:tcPr>
            <w:tcW w:type="dxa" w:w="1296"/>
          </w:tcPr>
          <w:p>
            <w:r>
              <w:t>A2, A3</w:t>
            </w:r>
          </w:p>
        </w:tc>
        <w:tc>
          <w:tcPr>
            <w:tcW w:type="dxa" w:w="1152"/>
          </w:tcPr>
          <w:p>
            <w:r>
              <w:t>A5, A6</w:t>
            </w:r>
          </w:p>
        </w:tc>
      </w:tr>
      <w:tr>
        <w:tc>
          <w:tcPr>
            <w:tcW w:type="dxa" w:w="576"/>
          </w:tcPr>
          <w:p>
            <w:r>
              <w:t>A5</w:t>
            </w:r>
          </w:p>
        </w:tc>
        <w:tc>
          <w:tcPr>
            <w:tcW w:type="dxa" w:w="2736"/>
          </w:tcPr>
          <w:p>
            <w:r>
              <w:t>Marketplace &amp; Brand Discovery</w:t>
            </w:r>
          </w:p>
        </w:tc>
        <w:tc>
          <w:tcPr>
            <w:tcW w:type="dxa" w:w="720"/>
          </w:tcPr>
          <w:p>
            <w:r>
              <w:t>2</w:t>
            </w:r>
          </w:p>
        </w:tc>
        <w:tc>
          <w:tcPr>
            <w:tcW w:type="dxa" w:w="576"/>
          </w:tcPr>
          <w:p>
            <w:r>
              <w:t>3</w:t>
            </w:r>
          </w:p>
        </w:tc>
        <w:tc>
          <w:tcPr>
            <w:tcW w:type="dxa" w:w="576"/>
          </w:tcPr>
          <w:p>
            <w:r>
              <w:t>5</w:t>
            </w:r>
          </w:p>
        </w:tc>
        <w:tc>
          <w:tcPr>
            <w:tcW w:type="dxa" w:w="576"/>
          </w:tcPr>
          <w:p>
            <w:r>
              <w:t>3</w:t>
            </w:r>
          </w:p>
        </w:tc>
        <w:tc>
          <w:tcPr>
            <w:tcW w:type="dxa" w:w="576"/>
          </w:tcPr>
          <w:p>
            <w:r>
              <w:t>5</w:t>
            </w:r>
          </w:p>
        </w:tc>
        <w:tc>
          <w:tcPr>
            <w:tcW w:type="dxa" w:w="720"/>
          </w:tcPr>
          <w:p>
            <w:r>
              <w:t>0*</w:t>
            </w:r>
          </w:p>
        </w:tc>
        <w:tc>
          <w:tcPr>
            <w:tcW w:type="dxa" w:w="1296"/>
          </w:tcPr>
          <w:p>
            <w:r>
              <w:t>A2</w:t>
            </w:r>
          </w:p>
        </w:tc>
        <w:tc>
          <w:tcPr>
            <w:tcW w:type="dxa" w:w="1152"/>
          </w:tcPr>
          <w:p>
            <w:r>
              <w:t>A6, A8</w:t>
            </w:r>
          </w:p>
        </w:tc>
      </w:tr>
      <w:tr>
        <w:tc>
          <w:tcPr>
            <w:tcW w:type="dxa" w:w="576"/>
          </w:tcPr>
          <w:p>
            <w:r>
              <w:t>A6</w:t>
            </w:r>
          </w:p>
        </w:tc>
        <w:tc>
          <w:tcPr>
            <w:tcW w:type="dxa" w:w="2736"/>
          </w:tcPr>
          <w:p>
            <w:r>
              <w:t>Product &amp; Order Management</w:t>
            </w:r>
          </w:p>
        </w:tc>
        <w:tc>
          <w:tcPr>
            <w:tcW w:type="dxa" w:w="720"/>
          </w:tcPr>
          <w:p>
            <w:r>
              <w:t>3</w:t>
            </w:r>
          </w:p>
        </w:tc>
        <w:tc>
          <w:tcPr>
            <w:tcW w:type="dxa" w:w="576"/>
          </w:tcPr>
          <w:p>
            <w:r>
              <w:t>5</w:t>
            </w:r>
          </w:p>
        </w:tc>
        <w:tc>
          <w:tcPr>
            <w:tcW w:type="dxa" w:w="576"/>
          </w:tcPr>
          <w:p>
            <w:r>
              <w:t>8</w:t>
            </w:r>
          </w:p>
        </w:tc>
        <w:tc>
          <w:tcPr>
            <w:tcW w:type="dxa" w:w="576"/>
          </w:tcPr>
          <w:p>
            <w:r>
              <w:t>5</w:t>
            </w:r>
          </w:p>
        </w:tc>
        <w:tc>
          <w:tcPr>
            <w:tcW w:type="dxa" w:w="576"/>
          </w:tcPr>
          <w:p>
            <w:r>
              <w:t>8</w:t>
            </w:r>
          </w:p>
        </w:tc>
        <w:tc>
          <w:tcPr>
            <w:tcW w:type="dxa" w:w="720"/>
          </w:tcPr>
          <w:p>
            <w:r>
              <w:t>0*</w:t>
            </w:r>
          </w:p>
        </w:tc>
        <w:tc>
          <w:tcPr>
            <w:tcW w:type="dxa" w:w="1296"/>
          </w:tcPr>
          <w:p>
            <w:r>
              <w:t>A4, A5</w:t>
            </w:r>
          </w:p>
        </w:tc>
        <w:tc>
          <w:tcPr>
            <w:tcW w:type="dxa" w:w="1152"/>
          </w:tcPr>
          <w:p>
            <w:r>
              <w:t>A7, A9</w:t>
            </w:r>
          </w:p>
        </w:tc>
      </w:tr>
      <w:tr>
        <w:tc>
          <w:tcPr>
            <w:tcW w:type="dxa" w:w="576"/>
          </w:tcPr>
          <w:p>
            <w:r>
              <w:t>A7</w:t>
            </w:r>
          </w:p>
        </w:tc>
        <w:tc>
          <w:tcPr>
            <w:tcW w:type="dxa" w:w="2736"/>
          </w:tcPr>
          <w:p>
            <w:r>
              <w:t>Brand Owner Tools &amp; Trust Engine</w:t>
            </w:r>
          </w:p>
        </w:tc>
        <w:tc>
          <w:tcPr>
            <w:tcW w:type="dxa" w:w="720"/>
          </w:tcPr>
          <w:p>
            <w:r>
              <w:t>2</w:t>
            </w:r>
          </w:p>
        </w:tc>
        <w:tc>
          <w:tcPr>
            <w:tcW w:type="dxa" w:w="576"/>
          </w:tcPr>
          <w:p>
            <w:r>
              <w:t>8</w:t>
            </w:r>
          </w:p>
        </w:tc>
        <w:tc>
          <w:tcPr>
            <w:tcW w:type="dxa" w:w="576"/>
          </w:tcPr>
          <w:p>
            <w:r>
              <w:t>10</w:t>
            </w:r>
          </w:p>
        </w:tc>
        <w:tc>
          <w:tcPr>
            <w:tcW w:type="dxa" w:w="576"/>
          </w:tcPr>
          <w:p>
            <w:r>
              <w:t>8</w:t>
            </w:r>
          </w:p>
        </w:tc>
        <w:tc>
          <w:tcPr>
            <w:tcW w:type="dxa" w:w="576"/>
          </w:tcPr>
          <w:p>
            <w:r>
              <w:t>10</w:t>
            </w:r>
          </w:p>
        </w:tc>
        <w:tc>
          <w:tcPr>
            <w:tcW w:type="dxa" w:w="720"/>
          </w:tcPr>
          <w:p>
            <w:r>
              <w:t>0*</w:t>
            </w:r>
          </w:p>
        </w:tc>
        <w:tc>
          <w:tcPr>
            <w:tcW w:type="dxa" w:w="1296"/>
          </w:tcPr>
          <w:p>
            <w:r>
              <w:t>A6</w:t>
            </w:r>
          </w:p>
        </w:tc>
        <w:tc>
          <w:tcPr>
            <w:tcW w:type="dxa" w:w="1152"/>
          </w:tcPr>
          <w:p>
            <w:r>
              <w:t>A9, A10</w:t>
            </w:r>
          </w:p>
        </w:tc>
      </w:tr>
      <w:tr>
        <w:tc>
          <w:tcPr>
            <w:tcW w:type="dxa" w:w="576"/>
          </w:tcPr>
          <w:p>
            <w:r>
              <w:t>A8</w:t>
            </w:r>
          </w:p>
        </w:tc>
        <w:tc>
          <w:tcPr>
            <w:tcW w:type="dxa" w:w="2736"/>
          </w:tcPr>
          <w:p>
            <w:r>
              <w:t>Multi-Currency Support</w:t>
            </w:r>
          </w:p>
        </w:tc>
        <w:tc>
          <w:tcPr>
            <w:tcW w:type="dxa" w:w="720"/>
          </w:tcPr>
          <w:p>
            <w:r>
              <w:t>1</w:t>
            </w:r>
          </w:p>
        </w:tc>
        <w:tc>
          <w:tcPr>
            <w:tcW w:type="dxa" w:w="576"/>
          </w:tcPr>
          <w:p>
            <w:r>
              <w:t>5</w:t>
            </w:r>
          </w:p>
        </w:tc>
        <w:tc>
          <w:tcPr>
            <w:tcW w:type="dxa" w:w="576"/>
          </w:tcPr>
          <w:p>
            <w:r>
              <w:t>6</w:t>
            </w:r>
          </w:p>
        </w:tc>
        <w:tc>
          <w:tcPr>
            <w:tcW w:type="dxa" w:w="576"/>
          </w:tcPr>
          <w:p>
            <w:r>
              <w:t>7</w:t>
            </w:r>
          </w:p>
        </w:tc>
        <w:tc>
          <w:tcPr>
            <w:tcW w:type="dxa" w:w="576"/>
          </w:tcPr>
          <w:p>
            <w:r>
              <w:t>8</w:t>
            </w:r>
          </w:p>
        </w:tc>
        <w:tc>
          <w:tcPr>
            <w:tcW w:type="dxa" w:w="720"/>
          </w:tcPr>
          <w:p>
            <w:r>
              <w:t>2</w:t>
            </w:r>
          </w:p>
        </w:tc>
        <w:tc>
          <w:tcPr>
            <w:tcW w:type="dxa" w:w="1296"/>
          </w:tcPr>
          <w:p>
            <w:r>
              <w:t>A5</w:t>
            </w:r>
          </w:p>
        </w:tc>
        <w:tc>
          <w:tcPr>
            <w:tcW w:type="dxa" w:w="1152"/>
          </w:tcPr>
          <w:p>
            <w:r>
              <w:t>A7</w:t>
            </w:r>
          </w:p>
        </w:tc>
      </w:tr>
      <w:tr>
        <w:tc>
          <w:tcPr>
            <w:tcW w:type="dxa" w:w="576"/>
          </w:tcPr>
          <w:p>
            <w:r>
              <w:t>A9</w:t>
            </w:r>
          </w:p>
        </w:tc>
        <w:tc>
          <w:tcPr>
            <w:tcW w:type="dxa" w:w="2736"/>
          </w:tcPr>
          <w:p>
            <w:r>
              <w:t>Admin Dashboard &amp; Notifications</w:t>
            </w:r>
          </w:p>
        </w:tc>
        <w:tc>
          <w:tcPr>
            <w:tcW w:type="dxa" w:w="720"/>
          </w:tcPr>
          <w:p>
            <w:r>
              <w:t>2</w:t>
            </w:r>
          </w:p>
        </w:tc>
        <w:tc>
          <w:tcPr>
            <w:tcW w:type="dxa" w:w="576"/>
          </w:tcPr>
          <w:p>
            <w:r>
              <w:t>10</w:t>
            </w:r>
          </w:p>
        </w:tc>
        <w:tc>
          <w:tcPr>
            <w:tcW w:type="dxa" w:w="576"/>
          </w:tcPr>
          <w:p>
            <w:r>
              <w:t>12</w:t>
            </w:r>
          </w:p>
        </w:tc>
        <w:tc>
          <w:tcPr>
            <w:tcW w:type="dxa" w:w="576"/>
          </w:tcPr>
          <w:p>
            <w:r>
              <w:t>10</w:t>
            </w:r>
          </w:p>
        </w:tc>
        <w:tc>
          <w:tcPr>
            <w:tcW w:type="dxa" w:w="576"/>
          </w:tcPr>
          <w:p>
            <w:r>
              <w:t>12</w:t>
            </w:r>
          </w:p>
        </w:tc>
        <w:tc>
          <w:tcPr>
            <w:tcW w:type="dxa" w:w="720"/>
          </w:tcPr>
          <w:p>
            <w:r>
              <w:t>0*</w:t>
            </w:r>
          </w:p>
        </w:tc>
        <w:tc>
          <w:tcPr>
            <w:tcW w:type="dxa" w:w="1296"/>
          </w:tcPr>
          <w:p>
            <w:r>
              <w:t>A6, A7</w:t>
            </w:r>
          </w:p>
        </w:tc>
        <w:tc>
          <w:tcPr>
            <w:tcW w:type="dxa" w:w="1152"/>
          </w:tcPr>
          <w:p>
            <w:r>
              <w:t>A10, A11</w:t>
            </w:r>
          </w:p>
        </w:tc>
      </w:tr>
      <w:tr>
        <w:tc>
          <w:tcPr>
            <w:tcW w:type="dxa" w:w="576"/>
          </w:tcPr>
          <w:p>
            <w:r>
              <w:t>A10</w:t>
            </w:r>
          </w:p>
        </w:tc>
        <w:tc>
          <w:tcPr>
            <w:tcW w:type="dxa" w:w="2736"/>
          </w:tcPr>
          <w:p>
            <w:r>
              <w:t>Internationalisation (AR/EN RTL)</w:t>
            </w:r>
          </w:p>
        </w:tc>
        <w:tc>
          <w:tcPr>
            <w:tcW w:type="dxa" w:w="720"/>
          </w:tcPr>
          <w:p>
            <w:r>
              <w:t>2</w:t>
            </w:r>
          </w:p>
        </w:tc>
        <w:tc>
          <w:tcPr>
            <w:tcW w:type="dxa" w:w="576"/>
          </w:tcPr>
          <w:p>
            <w:r>
              <w:t>12</w:t>
            </w:r>
          </w:p>
        </w:tc>
        <w:tc>
          <w:tcPr>
            <w:tcW w:type="dxa" w:w="576"/>
          </w:tcPr>
          <w:p>
            <w:r>
              <w:t>14</w:t>
            </w:r>
          </w:p>
        </w:tc>
        <w:tc>
          <w:tcPr>
            <w:tcW w:type="dxa" w:w="576"/>
          </w:tcPr>
          <w:p>
            <w:r>
              <w:t>12</w:t>
            </w:r>
          </w:p>
        </w:tc>
        <w:tc>
          <w:tcPr>
            <w:tcW w:type="dxa" w:w="576"/>
          </w:tcPr>
          <w:p>
            <w:r>
              <w:t>14</w:t>
            </w:r>
          </w:p>
        </w:tc>
        <w:tc>
          <w:tcPr>
            <w:tcW w:type="dxa" w:w="720"/>
          </w:tcPr>
          <w:p>
            <w:r>
              <w:t>0*</w:t>
            </w:r>
          </w:p>
        </w:tc>
        <w:tc>
          <w:tcPr>
            <w:tcW w:type="dxa" w:w="1296"/>
          </w:tcPr>
          <w:p>
            <w:r>
              <w:t>A7, A9</w:t>
            </w:r>
          </w:p>
        </w:tc>
        <w:tc>
          <w:tcPr>
            <w:tcW w:type="dxa" w:w="1152"/>
          </w:tcPr>
          <w:p>
            <w:r>
              <w:t>A11</w:t>
            </w:r>
          </w:p>
        </w:tc>
      </w:tr>
      <w:tr>
        <w:tc>
          <w:tcPr>
            <w:tcW w:type="dxa" w:w="576"/>
          </w:tcPr>
          <w:p>
            <w:r>
              <w:t>A11</w:t>
            </w:r>
          </w:p>
        </w:tc>
        <w:tc>
          <w:tcPr>
            <w:tcW w:type="dxa" w:w="2736"/>
          </w:tcPr>
          <w:p>
            <w:r>
              <w:t>Supabase Auth Integration</w:t>
            </w:r>
          </w:p>
        </w:tc>
        <w:tc>
          <w:tcPr>
            <w:tcW w:type="dxa" w:w="720"/>
          </w:tcPr>
          <w:p>
            <w:r>
              <w:t>1</w:t>
            </w:r>
          </w:p>
        </w:tc>
        <w:tc>
          <w:tcPr>
            <w:tcW w:type="dxa" w:w="576"/>
          </w:tcPr>
          <w:p>
            <w:r>
              <w:t>14</w:t>
            </w:r>
          </w:p>
        </w:tc>
        <w:tc>
          <w:tcPr>
            <w:tcW w:type="dxa" w:w="576"/>
          </w:tcPr>
          <w:p>
            <w:r>
              <w:t>15</w:t>
            </w:r>
          </w:p>
        </w:tc>
        <w:tc>
          <w:tcPr>
            <w:tcW w:type="dxa" w:w="576"/>
          </w:tcPr>
          <w:p>
            <w:r>
              <w:t>14</w:t>
            </w:r>
          </w:p>
        </w:tc>
        <w:tc>
          <w:tcPr>
            <w:tcW w:type="dxa" w:w="576"/>
          </w:tcPr>
          <w:p>
            <w:r>
              <w:t>15</w:t>
            </w:r>
          </w:p>
        </w:tc>
        <w:tc>
          <w:tcPr>
            <w:tcW w:type="dxa" w:w="720"/>
          </w:tcPr>
          <w:p>
            <w:r>
              <w:t>0*</w:t>
            </w:r>
          </w:p>
        </w:tc>
        <w:tc>
          <w:tcPr>
            <w:tcW w:type="dxa" w:w="1296"/>
          </w:tcPr>
          <w:p>
            <w:r>
              <w:t>A10</w:t>
            </w:r>
          </w:p>
        </w:tc>
        <w:tc>
          <w:tcPr>
            <w:tcW w:type="dxa" w:w="1152"/>
          </w:tcPr>
          <w:p>
            <w:r>
              <w:t>A12</w:t>
            </w:r>
          </w:p>
        </w:tc>
      </w:tr>
      <w:tr>
        <w:tc>
          <w:tcPr>
            <w:tcW w:type="dxa" w:w="576"/>
          </w:tcPr>
          <w:p>
            <w:r>
              <w:t>A12</w:t>
            </w:r>
          </w:p>
        </w:tc>
        <w:tc>
          <w:tcPr>
            <w:tcW w:type="dxa" w:w="2736"/>
          </w:tcPr>
          <w:p>
            <w:r>
              <w:t>Security Hardening &amp; QA</w:t>
            </w:r>
          </w:p>
        </w:tc>
        <w:tc>
          <w:tcPr>
            <w:tcW w:type="dxa" w:w="720"/>
          </w:tcPr>
          <w:p>
            <w:r>
              <w:t>1</w:t>
            </w:r>
          </w:p>
        </w:tc>
        <w:tc>
          <w:tcPr>
            <w:tcW w:type="dxa" w:w="576"/>
          </w:tcPr>
          <w:p>
            <w:r>
              <w:t>15</w:t>
            </w:r>
          </w:p>
        </w:tc>
        <w:tc>
          <w:tcPr>
            <w:tcW w:type="dxa" w:w="576"/>
          </w:tcPr>
          <w:p>
            <w:r>
              <w:t>16</w:t>
            </w:r>
          </w:p>
        </w:tc>
        <w:tc>
          <w:tcPr>
            <w:tcW w:type="dxa" w:w="576"/>
          </w:tcPr>
          <w:p>
            <w:r>
              <w:t>15</w:t>
            </w:r>
          </w:p>
        </w:tc>
        <w:tc>
          <w:tcPr>
            <w:tcW w:type="dxa" w:w="576"/>
          </w:tcPr>
          <w:p>
            <w:r>
              <w:t>16</w:t>
            </w:r>
          </w:p>
        </w:tc>
        <w:tc>
          <w:tcPr>
            <w:tcW w:type="dxa" w:w="720"/>
          </w:tcPr>
          <w:p>
            <w:r>
              <w:t>0*</w:t>
            </w:r>
          </w:p>
        </w:tc>
        <w:tc>
          <w:tcPr>
            <w:tcW w:type="dxa" w:w="1296"/>
          </w:tcPr>
          <w:p>
            <w:r>
              <w:t>A11</w:t>
            </w:r>
          </w:p>
        </w:tc>
        <w:tc>
          <w:tcPr>
            <w:tcW w:type="dxa" w:w="1152"/>
          </w:tcPr>
          <w:p>
            <w:r>
              <w:t>A13</w:t>
            </w:r>
          </w:p>
        </w:tc>
      </w:tr>
      <w:tr>
        <w:tc>
          <w:tcPr>
            <w:tcW w:type="dxa" w:w="576"/>
          </w:tcPr>
          <w:p>
            <w:r>
              <w:t>A13</w:t>
            </w:r>
          </w:p>
        </w:tc>
        <w:tc>
          <w:tcPr>
            <w:tcW w:type="dxa" w:w="2736"/>
          </w:tcPr>
          <w:p>
            <w:r>
              <w:t>Mobile Responsiveness &amp; Polish</w:t>
            </w:r>
          </w:p>
        </w:tc>
        <w:tc>
          <w:tcPr>
            <w:tcW w:type="dxa" w:w="720"/>
          </w:tcPr>
          <w:p>
            <w:r>
              <w:t>1</w:t>
            </w:r>
          </w:p>
        </w:tc>
        <w:tc>
          <w:tcPr>
            <w:tcW w:type="dxa" w:w="576"/>
          </w:tcPr>
          <w:p>
            <w:r>
              <w:t>16</w:t>
            </w:r>
          </w:p>
        </w:tc>
        <w:tc>
          <w:tcPr>
            <w:tcW w:type="dxa" w:w="576"/>
          </w:tcPr>
          <w:p>
            <w:r>
              <w:t>17</w:t>
            </w:r>
          </w:p>
        </w:tc>
        <w:tc>
          <w:tcPr>
            <w:tcW w:type="dxa" w:w="576"/>
          </w:tcPr>
          <w:p>
            <w:r>
              <w:t>16</w:t>
            </w:r>
          </w:p>
        </w:tc>
        <w:tc>
          <w:tcPr>
            <w:tcW w:type="dxa" w:w="576"/>
          </w:tcPr>
          <w:p>
            <w:r>
              <w:t>17</w:t>
            </w:r>
          </w:p>
        </w:tc>
        <w:tc>
          <w:tcPr>
            <w:tcW w:type="dxa" w:w="720"/>
          </w:tcPr>
          <w:p>
            <w:r>
              <w:t>0*</w:t>
            </w:r>
          </w:p>
        </w:tc>
        <w:tc>
          <w:tcPr>
            <w:tcW w:type="dxa" w:w="1296"/>
          </w:tcPr>
          <w:p>
            <w:r>
              <w:t>A12</w:t>
            </w:r>
          </w:p>
        </w:tc>
        <w:tc>
          <w:tcPr>
            <w:tcW w:type="dxa" w:w="1152"/>
          </w:tcPr>
          <w:p>
            <w:r>
              <w:t>A14</w:t>
            </w:r>
          </w:p>
        </w:tc>
      </w:tr>
      <w:tr>
        <w:tc>
          <w:tcPr>
            <w:tcW w:type="dxa" w:w="576"/>
          </w:tcPr>
          <w:p>
            <w:r>
              <w:t>A14</w:t>
            </w:r>
          </w:p>
        </w:tc>
        <w:tc>
          <w:tcPr>
            <w:tcW w:type="dxa" w:w="2736"/>
          </w:tcPr>
          <w:p>
            <w:r>
              <w:t>System Testing &amp; Documentation</w:t>
            </w:r>
          </w:p>
        </w:tc>
        <w:tc>
          <w:tcPr>
            <w:tcW w:type="dxa" w:w="720"/>
          </w:tcPr>
          <w:p>
            <w:r>
              <w:t>2</w:t>
            </w:r>
          </w:p>
        </w:tc>
        <w:tc>
          <w:tcPr>
            <w:tcW w:type="dxa" w:w="576"/>
          </w:tcPr>
          <w:p>
            <w:r>
              <w:t>17</w:t>
            </w:r>
          </w:p>
        </w:tc>
        <w:tc>
          <w:tcPr>
            <w:tcW w:type="dxa" w:w="576"/>
          </w:tcPr>
          <w:p>
            <w:r>
              <w:t>19</w:t>
            </w:r>
          </w:p>
        </w:tc>
        <w:tc>
          <w:tcPr>
            <w:tcW w:type="dxa" w:w="576"/>
          </w:tcPr>
          <w:p>
            <w:r>
              <w:t>17</w:t>
            </w:r>
          </w:p>
        </w:tc>
        <w:tc>
          <w:tcPr>
            <w:tcW w:type="dxa" w:w="576"/>
          </w:tcPr>
          <w:p>
            <w:r>
              <w:t>19</w:t>
            </w:r>
          </w:p>
        </w:tc>
        <w:tc>
          <w:tcPr>
            <w:tcW w:type="dxa" w:w="720"/>
          </w:tcPr>
          <w:p>
            <w:r>
              <w:t>0*</w:t>
            </w:r>
          </w:p>
        </w:tc>
        <w:tc>
          <w:tcPr>
            <w:tcW w:type="dxa" w:w="1296"/>
          </w:tcPr>
          <w:p>
            <w:r>
              <w:t>A13</w:t>
            </w:r>
          </w:p>
        </w:tc>
        <w:tc>
          <w:tcPr>
            <w:tcW w:type="dxa" w:w="1152"/>
          </w:tcPr>
          <w:p>
            <w:r>
              <w:t>A15</w:t>
            </w:r>
          </w:p>
        </w:tc>
      </w:tr>
      <w:tr>
        <w:tc>
          <w:tcPr>
            <w:tcW w:type="dxa" w:w="576"/>
          </w:tcPr>
          <w:p>
            <w:r>
              <w:t>A15</w:t>
            </w:r>
          </w:p>
        </w:tc>
        <w:tc>
          <w:tcPr>
            <w:tcW w:type="dxa" w:w="2736"/>
          </w:tcPr>
          <w:p>
            <w:r>
              <w:t>Final Report &amp; Submission</w:t>
            </w:r>
          </w:p>
        </w:tc>
        <w:tc>
          <w:tcPr>
            <w:tcW w:type="dxa" w:w="720"/>
          </w:tcPr>
          <w:p>
            <w:r>
              <w:t>2</w:t>
            </w:r>
          </w:p>
        </w:tc>
        <w:tc>
          <w:tcPr>
            <w:tcW w:type="dxa" w:w="576"/>
          </w:tcPr>
          <w:p>
            <w:r>
              <w:t>19</w:t>
            </w:r>
          </w:p>
        </w:tc>
        <w:tc>
          <w:tcPr>
            <w:tcW w:type="dxa" w:w="576"/>
          </w:tcPr>
          <w:p>
            <w:r>
              <w:t>21</w:t>
            </w:r>
          </w:p>
        </w:tc>
        <w:tc>
          <w:tcPr>
            <w:tcW w:type="dxa" w:w="576"/>
          </w:tcPr>
          <w:p>
            <w:r>
              <w:t>19</w:t>
            </w:r>
          </w:p>
        </w:tc>
        <w:tc>
          <w:tcPr>
            <w:tcW w:type="dxa" w:w="576"/>
          </w:tcPr>
          <w:p>
            <w:r>
              <w:t>21</w:t>
            </w:r>
          </w:p>
        </w:tc>
        <w:tc>
          <w:tcPr>
            <w:tcW w:type="dxa" w:w="720"/>
          </w:tcPr>
          <w:p>
            <w:r>
              <w:t>0*</w:t>
            </w:r>
          </w:p>
        </w:tc>
        <w:tc>
          <w:tcPr>
            <w:tcW w:type="dxa" w:w="1296"/>
          </w:tcPr>
          <w:p>
            <w:r>
              <w:t>A14</w:t>
            </w:r>
          </w:p>
        </w:tc>
        <w:tc>
          <w:tcPr>
            <w:tcW w:type="dxa" w:w="1152"/>
          </w:tcPr>
          <w:p>
            <w:r>
              <w:t>—</w:t>
            </w:r>
          </w:p>
        </w:tc>
      </w:tr>
    </w:tbl>
    <w:p/>
    <w:p>
      <w:pPr/>
      <w:r>
        <w:t>* Zero float = Critical Path. Total project duration: 21 weeks (January–June 2026).</w:t>
      </w:r>
    </w:p>
    <w:p>
      <w:pPr>
        <w:pStyle w:val="Heading2"/>
      </w:pPr>
      <w:r>
        <w:t>7.5  CoCoMo Cost Estimation</w:t>
      </w:r>
    </w:p>
    <w:p>
      <w:pPr>
        <w:pStyle w:val="Heading3"/>
      </w:pPr>
      <w:r>
        <w:t>7.5.1  Model Selection</w:t>
      </w:r>
    </w:p>
    <w:p>
      <w:pPr/>
      <w:r>
        <w:t>The Basic COCOMO (Constructive Cost Model) was applied to estimate the development effort for the Kuwait B2B Hub. Given that the project was developed by a small, cohesive team with well-understood requirements and a defined technology stack (Next.js 16, Supabase, TypeScript), the Organic mode was selected as the most appropriate classification.</w:t>
      </w:r>
    </w:p>
    <w:p>
      <w:pPr>
        <w:pStyle w:val="Heading3"/>
      </w:pPr>
      <w:r>
        <w:t>7.5.2  Input Parameters</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rPr>
              <w:t>Parameter</w:t>
            </w:r>
          </w:p>
        </w:tc>
        <w:tc>
          <w:tcPr>
            <w:tcW w:type="dxa" w:w="2160"/>
          </w:tcPr>
          <w:p>
            <w:r>
              <w:rPr>
                <w:b/>
              </w:rPr>
              <w:t>Value</w:t>
            </w:r>
          </w:p>
        </w:tc>
        <w:tc>
          <w:tcPr>
            <w:tcW w:type="dxa" w:w="3600"/>
          </w:tcPr>
          <w:p>
            <w:r>
              <w:rPr>
                <w:b/>
              </w:rPr>
              <w:t>Source</w:t>
            </w:r>
          </w:p>
        </w:tc>
      </w:tr>
      <w:tr>
        <w:tc>
          <w:tcPr>
            <w:tcW w:type="dxa" w:w="3600"/>
          </w:tcPr>
          <w:p>
            <w:r>
              <w:t>Size (KLOC)</w:t>
            </w:r>
          </w:p>
        </w:tc>
        <w:tc>
          <w:tcPr>
            <w:tcW w:type="dxa" w:w="2160"/>
          </w:tcPr>
          <w:p>
            <w:r>
              <w:t>11.35</w:t>
            </w:r>
          </w:p>
        </w:tc>
        <w:tc>
          <w:tcPr>
            <w:tcW w:type="dxa" w:w="3600"/>
          </w:tcPr>
          <w:p>
            <w:r>
              <w:t>Measured SLOC count (§5.1.1)</w:t>
            </w:r>
          </w:p>
        </w:tc>
      </w:tr>
      <w:tr>
        <w:tc>
          <w:tcPr>
            <w:tcW w:type="dxa" w:w="3600"/>
          </w:tcPr>
          <w:p>
            <w:r>
              <w:t>COCOMO Mode</w:t>
            </w:r>
          </w:p>
        </w:tc>
        <w:tc>
          <w:tcPr>
            <w:tcW w:type="dxa" w:w="2160"/>
          </w:tcPr>
          <w:p>
            <w:r>
              <w:t>Organic</w:t>
            </w:r>
          </w:p>
        </w:tc>
        <w:tc>
          <w:tcPr>
            <w:tcW w:type="dxa" w:w="3600"/>
          </w:tcPr>
          <w:p>
            <w:r>
              <w:t>Small team, familiar domain</w:t>
            </w:r>
          </w:p>
        </w:tc>
      </w:tr>
      <w:tr>
        <w:tc>
          <w:tcPr>
            <w:tcW w:type="dxa" w:w="3600"/>
          </w:tcPr>
          <w:p>
            <w:r>
              <w:t>Effort Coefficient (a)</w:t>
            </w:r>
          </w:p>
        </w:tc>
        <w:tc>
          <w:tcPr>
            <w:tcW w:type="dxa" w:w="2160"/>
          </w:tcPr>
          <w:p>
            <w:r>
              <w:t>2.4</w:t>
            </w:r>
          </w:p>
        </w:tc>
        <w:tc>
          <w:tcPr>
            <w:tcW w:type="dxa" w:w="3600"/>
          </w:tcPr>
          <w:p>
            <w:r>
              <w:t>COCOMO Organic constant</w:t>
            </w:r>
          </w:p>
        </w:tc>
      </w:tr>
      <w:tr>
        <w:tc>
          <w:tcPr>
            <w:tcW w:type="dxa" w:w="3600"/>
          </w:tcPr>
          <w:p>
            <w:r>
              <w:t>Effort Exponent (b)</w:t>
            </w:r>
          </w:p>
        </w:tc>
        <w:tc>
          <w:tcPr>
            <w:tcW w:type="dxa" w:w="2160"/>
          </w:tcPr>
          <w:p>
            <w:r>
              <w:t>1.05</w:t>
            </w:r>
          </w:p>
        </w:tc>
        <w:tc>
          <w:tcPr>
            <w:tcW w:type="dxa" w:w="3600"/>
          </w:tcPr>
          <w:p>
            <w:r>
              <w:t>COCOMO Organic constant</w:t>
            </w:r>
          </w:p>
        </w:tc>
      </w:tr>
      <w:tr>
        <w:tc>
          <w:tcPr>
            <w:tcW w:type="dxa" w:w="3600"/>
          </w:tcPr>
          <w:p>
            <w:r>
              <w:t>Duration Coefficient (c)</w:t>
            </w:r>
          </w:p>
        </w:tc>
        <w:tc>
          <w:tcPr>
            <w:tcW w:type="dxa" w:w="2160"/>
          </w:tcPr>
          <w:p>
            <w:r>
              <w:t>2.5</w:t>
            </w:r>
          </w:p>
        </w:tc>
        <w:tc>
          <w:tcPr>
            <w:tcW w:type="dxa" w:w="3600"/>
          </w:tcPr>
          <w:p>
            <w:r>
              <w:t>COCOMO Organic constant</w:t>
            </w:r>
          </w:p>
        </w:tc>
      </w:tr>
      <w:tr>
        <w:tc>
          <w:tcPr>
            <w:tcW w:type="dxa" w:w="3600"/>
          </w:tcPr>
          <w:p>
            <w:r>
              <w:t>Duration Exponent (d)</w:t>
            </w:r>
          </w:p>
        </w:tc>
        <w:tc>
          <w:tcPr>
            <w:tcW w:type="dxa" w:w="2160"/>
          </w:tcPr>
          <w:p>
            <w:r>
              <w:t>0.38</w:t>
            </w:r>
          </w:p>
        </w:tc>
        <w:tc>
          <w:tcPr>
            <w:tcW w:type="dxa" w:w="3600"/>
          </w:tcPr>
          <w:p>
            <w:r>
              <w:t>COCOMO Organic constant</w:t>
            </w:r>
          </w:p>
        </w:tc>
      </w:tr>
    </w:tbl>
    <w:p/>
    <w:p>
      <w:pPr>
        <w:pStyle w:val="Heading3"/>
      </w:pPr>
      <w:r>
        <w:t>7.5.3  Calculations</w:t>
      </w:r>
    </w:p>
    <w:p>
      <w:pPr/>
      <w:r>
        <w:t>Step 1 — Development Effort (PM):</w:t>
      </w:r>
    </w:p>
    <w:p>
      <w:pPr/>
      <w:r>
        <w:t xml:space="preserve">    PM  =  a × (KLOC)^b  =  2.4 × (11.35)^1.05  ≈  30.5 Person-Months</w:t>
      </w:r>
    </w:p>
    <w:p>
      <w:pPr/>
      <w:r>
        <w:t>Step 2 — Estimated Project Duration (TDEV):</w:t>
      </w:r>
    </w:p>
    <w:p>
      <w:pPr/>
      <w:r>
        <w:t xml:space="preserve">    TDEV  =  c × (PM)^d  =  2.5 × (30.5)^0.38  ≈  9.2 Months</w:t>
      </w:r>
    </w:p>
    <w:p>
      <w:pPr/>
      <w:r>
        <w:t>Step 3 — Average Team Size:</w:t>
      </w:r>
    </w:p>
    <w:p>
      <w:pPr/>
      <w:r>
        <w:t xml:space="preserve">    Team Size  =  PM / TDEV  =  30.5 / 9.2  ≈  3.3  ≈  3–4 Persons</w:t>
      </w:r>
    </w:p>
    <w:p>
      <w:pPr>
        <w:pStyle w:val="Heading3"/>
      </w:pPr>
      <w:r>
        <w:t>7.5.4  Results Summary</w:t>
      </w:r>
    </w:p>
    <w:tbl>
      <w:tblPr>
        <w:tblStyle w:val="TableGrid"/>
        <w:tblW w:type="auto" w:w="0"/>
        <w:tblLook w:firstColumn="1" w:firstRow="1" w:lastColumn="0" w:lastRow="0" w:noHBand="0" w:noVBand="1" w:val="04A0"/>
      </w:tblPr>
      <w:tblGrid>
        <w:gridCol w:w="4320"/>
        <w:gridCol w:w="4320"/>
      </w:tblGrid>
      <w:tr>
        <w:tc>
          <w:tcPr>
            <w:tcW w:type="dxa" w:w="3600"/>
          </w:tcPr>
          <w:p>
            <w:r>
              <w:rPr>
                <w:b/>
              </w:rPr>
              <w:t>Metric</w:t>
            </w:r>
          </w:p>
        </w:tc>
        <w:tc>
          <w:tcPr>
            <w:tcW w:type="dxa" w:w="5760"/>
          </w:tcPr>
          <w:p>
            <w:r>
              <w:rPr>
                <w:b/>
              </w:rPr>
              <w:t>Estimated Value</w:t>
            </w:r>
          </w:p>
        </w:tc>
      </w:tr>
      <w:tr>
        <w:tc>
          <w:tcPr>
            <w:tcW w:type="dxa" w:w="3600"/>
          </w:tcPr>
          <w:p>
            <w:r>
              <w:t>Codebase Size</w:t>
            </w:r>
          </w:p>
        </w:tc>
        <w:tc>
          <w:tcPr>
            <w:tcW w:type="dxa" w:w="5760"/>
          </w:tcPr>
          <w:p>
            <w:r>
              <w:t>11.35 KLOC</w:t>
            </w:r>
          </w:p>
        </w:tc>
      </w:tr>
      <w:tr>
        <w:tc>
          <w:tcPr>
            <w:tcW w:type="dxa" w:w="3600"/>
          </w:tcPr>
          <w:p>
            <w:r>
              <w:t>Development Effort</w:t>
            </w:r>
          </w:p>
        </w:tc>
        <w:tc>
          <w:tcPr>
            <w:tcW w:type="dxa" w:w="5760"/>
          </w:tcPr>
          <w:p>
            <w:r>
              <w:t>30.5 Person-Months</w:t>
            </w:r>
          </w:p>
        </w:tc>
      </w:tr>
      <w:tr>
        <w:tc>
          <w:tcPr>
            <w:tcW w:type="dxa" w:w="3600"/>
          </w:tcPr>
          <w:p>
            <w:r>
              <w:t>Estimated Duration</w:t>
            </w:r>
          </w:p>
        </w:tc>
        <w:tc>
          <w:tcPr>
            <w:tcW w:type="dxa" w:w="5760"/>
          </w:tcPr>
          <w:p>
            <w:r>
              <w:t>9.2 Months</w:t>
            </w:r>
          </w:p>
        </w:tc>
      </w:tr>
      <w:tr>
        <w:tc>
          <w:tcPr>
            <w:tcW w:type="dxa" w:w="3600"/>
          </w:tcPr>
          <w:p>
            <w:r>
              <w:t>Recommended Team Size</w:t>
            </w:r>
          </w:p>
        </w:tc>
        <w:tc>
          <w:tcPr>
            <w:tcW w:type="dxa" w:w="5760"/>
          </w:tcPr>
          <w:p>
            <w:r>
              <w:t>3–4 Persons</w:t>
            </w:r>
          </w:p>
        </w:tc>
      </w:tr>
    </w:tbl>
    <w:p/>
    <w:p>
      <w:pPr/>
      <w:r>
        <w:t>The COCOMO estimate of 30.5 person-months over approximately 9.2 months with a team of 3–4 persons is consistent with the actual development trajectory of the Kuwait B2B Hub. The project was executed by a small group over a single academic semester, with development effort concentrated in the Components layer (33.5% of KLOC) and the buyer/brand-facing page routes (40.1% combined). The organic mode assumption is validated by the team's prior familiarity with TypeScript and React, and by the project's well-scoped, single-domain requirements. COCOMO is a calibrated estimation model and should be interpreted as a reasonable industry benchmark rather than a precise prediction.</w:t>
      </w:r>
    </w:p>
    <w:p>
      <w:pPr>
        <w:pStyle w:val="Heading2"/>
      </w:pPr>
      <w:r>
        <w:t>7.6  Risk Assessment Matrix (RAM)</w:t>
      </w:r>
    </w:p>
    <w:p>
      <w:pPr>
        <w:pStyle w:val="Heading3"/>
      </w:pPr>
      <w:r>
        <w:t>7.6.1  Methodology</w:t>
      </w:r>
    </w:p>
    <w:p>
      <w:pPr/>
      <w:r>
        <w:t>Risk assessment for the Kuwait B2B Hub was conducted using a quantitative Likelihood × Impact exposure model consistent with ISO 31000:2018. Each risk was evaluated against two dimensions, producing an Exposure Score that determines the priority tier and mandates a corresponding response strategy. All risks are grounded in direct evidence from the codebase, architecture, and deployment environment.</w:t>
      </w:r>
    </w:p>
    <w:p>
      <w:pPr>
        <w:pStyle w:val="Heading3"/>
      </w:pPr>
      <w:r>
        <w:t>7.6.2  Scoring Rubrics</w:t>
      </w:r>
    </w:p>
    <w:p>
      <w:pPr/>
      <w:r>
        <w:t>Likelihood Scale:</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Score</w:t>
            </w:r>
          </w:p>
        </w:tc>
        <w:tc>
          <w:tcPr>
            <w:tcW w:type="dxa" w:w="1872"/>
          </w:tcPr>
          <w:p>
            <w:r>
              <w:rPr>
                <w:b/>
              </w:rPr>
              <w:t>Label</w:t>
            </w:r>
          </w:p>
        </w:tc>
        <w:tc>
          <w:tcPr>
            <w:tcW w:type="dxa" w:w="6480"/>
          </w:tcPr>
          <w:p>
            <w:r>
              <w:rPr>
                <w:b/>
              </w:rPr>
              <w:t>Indicative Probability</w:t>
            </w:r>
          </w:p>
        </w:tc>
      </w:tr>
      <w:tr>
        <w:tc>
          <w:tcPr>
            <w:tcW w:type="dxa" w:w="1008"/>
          </w:tcPr>
          <w:p>
            <w:r>
              <w:t>1</w:t>
            </w:r>
          </w:p>
        </w:tc>
        <w:tc>
          <w:tcPr>
            <w:tcW w:type="dxa" w:w="1872"/>
          </w:tcPr>
          <w:p>
            <w:r>
              <w:t>Rare</w:t>
            </w:r>
          </w:p>
        </w:tc>
        <w:tc>
          <w:tcPr>
            <w:tcW w:type="dxa" w:w="6480"/>
          </w:tcPr>
          <w:p>
            <w:r>
              <w:t>&lt; 10%</w:t>
            </w:r>
          </w:p>
        </w:tc>
      </w:tr>
      <w:tr>
        <w:tc>
          <w:tcPr>
            <w:tcW w:type="dxa" w:w="1008"/>
          </w:tcPr>
          <w:p>
            <w:r>
              <w:t>2</w:t>
            </w:r>
          </w:p>
        </w:tc>
        <w:tc>
          <w:tcPr>
            <w:tcW w:type="dxa" w:w="1872"/>
          </w:tcPr>
          <w:p>
            <w:r>
              <w:t>Unlikely</w:t>
            </w:r>
          </w:p>
        </w:tc>
        <w:tc>
          <w:tcPr>
            <w:tcW w:type="dxa" w:w="6480"/>
          </w:tcPr>
          <w:p>
            <w:r>
              <w:t>10 – 30%</w:t>
            </w:r>
          </w:p>
        </w:tc>
      </w:tr>
      <w:tr>
        <w:tc>
          <w:tcPr>
            <w:tcW w:type="dxa" w:w="1008"/>
          </w:tcPr>
          <w:p>
            <w:r>
              <w:t>3</w:t>
            </w:r>
          </w:p>
        </w:tc>
        <w:tc>
          <w:tcPr>
            <w:tcW w:type="dxa" w:w="1872"/>
          </w:tcPr>
          <w:p>
            <w:r>
              <w:t>Possible</w:t>
            </w:r>
          </w:p>
        </w:tc>
        <w:tc>
          <w:tcPr>
            <w:tcW w:type="dxa" w:w="6480"/>
          </w:tcPr>
          <w:p>
            <w:r>
              <w:t>30 – 50%</w:t>
            </w:r>
          </w:p>
        </w:tc>
      </w:tr>
      <w:tr>
        <w:tc>
          <w:tcPr>
            <w:tcW w:type="dxa" w:w="1008"/>
          </w:tcPr>
          <w:p>
            <w:r>
              <w:t>4</w:t>
            </w:r>
          </w:p>
        </w:tc>
        <w:tc>
          <w:tcPr>
            <w:tcW w:type="dxa" w:w="1872"/>
          </w:tcPr>
          <w:p>
            <w:r>
              <w:t>Likely</w:t>
            </w:r>
          </w:p>
        </w:tc>
        <w:tc>
          <w:tcPr>
            <w:tcW w:type="dxa" w:w="6480"/>
          </w:tcPr>
          <w:p>
            <w:r>
              <w:t>50 – 70%</w:t>
            </w:r>
          </w:p>
        </w:tc>
      </w:tr>
      <w:tr>
        <w:tc>
          <w:tcPr>
            <w:tcW w:type="dxa" w:w="1008"/>
          </w:tcPr>
          <w:p>
            <w:r>
              <w:t>5</w:t>
            </w:r>
          </w:p>
        </w:tc>
        <w:tc>
          <w:tcPr>
            <w:tcW w:type="dxa" w:w="1872"/>
          </w:tcPr>
          <w:p>
            <w:r>
              <w:t>Almost Certain</w:t>
            </w:r>
          </w:p>
        </w:tc>
        <w:tc>
          <w:tcPr>
            <w:tcW w:type="dxa" w:w="6480"/>
          </w:tcPr>
          <w:p>
            <w:r>
              <w:t xml:space="preserve">  &gt; 70%</w:t>
            </w:r>
          </w:p>
        </w:tc>
      </w:tr>
    </w:tbl>
    <w:p/>
    <w:p>
      <w:pPr/>
      <w:r>
        <w:t>Impact Scale:</w:t>
      </w:r>
    </w:p>
    <w:tbl>
      <w:tblPr>
        <w:tblStyle w:val="TableGrid"/>
        <w:tblW w:type="auto" w:w="0"/>
        <w:tblLook w:firstColumn="1" w:firstRow="1" w:lastColumn="0" w:lastRow="0" w:noHBand="0" w:noVBand="1" w:val="04A0"/>
      </w:tblPr>
      <w:tblGrid>
        <w:gridCol w:w="2880"/>
        <w:gridCol w:w="2880"/>
        <w:gridCol w:w="2880"/>
      </w:tblGrid>
      <w:tr>
        <w:tc>
          <w:tcPr>
            <w:tcW w:type="dxa" w:w="1008"/>
          </w:tcPr>
          <w:p>
            <w:r>
              <w:rPr>
                <w:b/>
              </w:rPr>
              <w:t>Score</w:t>
            </w:r>
          </w:p>
        </w:tc>
        <w:tc>
          <w:tcPr>
            <w:tcW w:type="dxa" w:w="1872"/>
          </w:tcPr>
          <w:p>
            <w:r>
              <w:rPr>
                <w:b/>
              </w:rPr>
              <w:t>Label</w:t>
            </w:r>
          </w:p>
        </w:tc>
        <w:tc>
          <w:tcPr>
            <w:tcW w:type="dxa" w:w="6480"/>
          </w:tcPr>
          <w:p>
            <w:r>
              <w:rPr>
                <w:b/>
              </w:rPr>
              <w:t>Example Consequence</w:t>
            </w:r>
          </w:p>
        </w:tc>
      </w:tr>
      <w:tr>
        <w:tc>
          <w:tcPr>
            <w:tcW w:type="dxa" w:w="1008"/>
          </w:tcPr>
          <w:p>
            <w:r>
              <w:t>1</w:t>
            </w:r>
          </w:p>
        </w:tc>
        <w:tc>
          <w:tcPr>
            <w:tcW w:type="dxa" w:w="1872"/>
          </w:tcPr>
          <w:p>
            <w:r>
              <w:t>Negligible</w:t>
            </w:r>
          </w:p>
        </w:tc>
        <w:tc>
          <w:tcPr>
            <w:tcW w:type="dxa" w:w="6480"/>
          </w:tcPr>
          <w:p>
            <w:r>
              <w:t>Minor UI inconsistency</w:t>
            </w:r>
          </w:p>
        </w:tc>
      </w:tr>
      <w:tr>
        <w:tc>
          <w:tcPr>
            <w:tcW w:type="dxa" w:w="1008"/>
          </w:tcPr>
          <w:p>
            <w:r>
              <w:t>2</w:t>
            </w:r>
          </w:p>
        </w:tc>
        <w:tc>
          <w:tcPr>
            <w:tcW w:type="dxa" w:w="1872"/>
          </w:tcPr>
          <w:p>
            <w:r>
              <w:t>Minor</w:t>
            </w:r>
          </w:p>
        </w:tc>
        <w:tc>
          <w:tcPr>
            <w:tcW w:type="dxa" w:w="6480"/>
          </w:tcPr>
          <w:p>
            <w:r>
              <w:t>Temporary feature unavailability</w:t>
            </w:r>
          </w:p>
        </w:tc>
      </w:tr>
      <w:tr>
        <w:tc>
          <w:tcPr>
            <w:tcW w:type="dxa" w:w="1008"/>
          </w:tcPr>
          <w:p>
            <w:r>
              <w:t>3</w:t>
            </w:r>
          </w:p>
        </w:tc>
        <w:tc>
          <w:tcPr>
            <w:tcW w:type="dxa" w:w="1872"/>
          </w:tcPr>
          <w:p>
            <w:r>
              <w:t>Moderate</w:t>
            </w:r>
          </w:p>
        </w:tc>
        <w:tc>
          <w:tcPr>
            <w:tcW w:type="dxa" w:w="6480"/>
          </w:tcPr>
          <w:p>
            <w:r>
              <w:t>Feature regression requiring manual recovery</w:t>
            </w:r>
          </w:p>
        </w:tc>
      </w:tr>
      <w:tr>
        <w:tc>
          <w:tcPr>
            <w:tcW w:type="dxa" w:w="1008"/>
          </w:tcPr>
          <w:p>
            <w:r>
              <w:t>4</w:t>
            </w:r>
          </w:p>
        </w:tc>
        <w:tc>
          <w:tcPr>
            <w:tcW w:type="dxa" w:w="1872"/>
          </w:tcPr>
          <w:p>
            <w:r>
              <w:t>Major</w:t>
            </w:r>
          </w:p>
        </w:tc>
        <w:tc>
          <w:tcPr>
            <w:tcW w:type="dxa" w:w="6480"/>
          </w:tcPr>
          <w:p>
            <w:r>
              <w:t>Data inaccessibility; reputational harm</w:t>
            </w:r>
          </w:p>
        </w:tc>
      </w:tr>
      <w:tr>
        <w:tc>
          <w:tcPr>
            <w:tcW w:type="dxa" w:w="1008"/>
          </w:tcPr>
          <w:p>
            <w:r>
              <w:t>5</w:t>
            </w:r>
          </w:p>
        </w:tc>
        <w:tc>
          <w:tcPr>
            <w:tcW w:type="dxa" w:w="1872"/>
          </w:tcPr>
          <w:p>
            <w:r>
              <w:t>Critical</w:t>
            </w:r>
          </w:p>
        </w:tc>
        <w:tc>
          <w:tcPr>
            <w:tcW w:type="dxa" w:w="6480"/>
          </w:tcPr>
          <w:p>
            <w:r>
              <w:t>Full outage; credential breach; regulatory penalty</w:t>
            </w:r>
          </w:p>
        </w:tc>
      </w:tr>
    </w:tbl>
    <w:p/>
    <w:p>
      <w:pPr/>
      <w:r>
        <w:t>Exposure Level (Likelihood × Impact):</w:t>
      </w:r>
    </w:p>
    <w:tbl>
      <w:tblPr>
        <w:tblStyle w:val="TableGrid"/>
        <w:tblW w:type="auto" w:w="0"/>
        <w:tblLook w:firstColumn="1" w:firstRow="1" w:lastColumn="0" w:lastRow="0" w:noHBand="0" w:noVBand="1" w:val="04A0"/>
      </w:tblPr>
      <w:tblGrid>
        <w:gridCol w:w="2880"/>
        <w:gridCol w:w="2880"/>
        <w:gridCol w:w="2880"/>
      </w:tblGrid>
      <w:tr>
        <w:tc>
          <w:tcPr>
            <w:tcW w:type="dxa" w:w="1728"/>
          </w:tcPr>
          <w:p>
            <w:r>
              <w:rPr>
                <w:b/>
              </w:rPr>
              <w:t>Exposure</w:t>
            </w:r>
          </w:p>
        </w:tc>
        <w:tc>
          <w:tcPr>
            <w:tcW w:type="dxa" w:w="1728"/>
          </w:tcPr>
          <w:p>
            <w:r>
              <w:rPr>
                <w:b/>
              </w:rPr>
              <w:t>Level</w:t>
            </w:r>
          </w:p>
        </w:tc>
        <w:tc>
          <w:tcPr>
            <w:tcW w:type="dxa" w:w="5904"/>
          </w:tcPr>
          <w:p>
            <w:r>
              <w:rPr>
                <w:b/>
              </w:rPr>
              <w:t>Required Response</w:t>
            </w:r>
          </w:p>
        </w:tc>
      </w:tr>
      <w:tr>
        <w:tc>
          <w:tcPr>
            <w:tcW w:type="dxa" w:w="1728"/>
          </w:tcPr>
          <w:p>
            <w:r>
              <w:t>15 – 25</w:t>
            </w:r>
          </w:p>
        </w:tc>
        <w:tc>
          <w:tcPr>
            <w:tcW w:type="dxa" w:w="1728"/>
          </w:tcPr>
          <w:p>
            <w:r>
              <w:t>CRITICAL</w:t>
            </w:r>
          </w:p>
        </w:tc>
        <w:tc>
          <w:tcPr>
            <w:tcW w:type="dxa" w:w="5904"/>
          </w:tcPr>
          <w:p>
            <w:r>
              <w:t>Immediate — must resolve before production launch</w:t>
            </w:r>
          </w:p>
        </w:tc>
      </w:tr>
      <w:tr>
        <w:tc>
          <w:tcPr>
            <w:tcW w:type="dxa" w:w="1728"/>
          </w:tcPr>
          <w:p>
            <w:r>
              <w:t>10 – 14</w:t>
            </w:r>
          </w:p>
        </w:tc>
        <w:tc>
          <w:tcPr>
            <w:tcW w:type="dxa" w:w="1728"/>
          </w:tcPr>
          <w:p>
            <w:r>
              <w:t>HIGH</w:t>
            </w:r>
          </w:p>
        </w:tc>
        <w:tc>
          <w:tcPr>
            <w:tcW w:type="dxa" w:w="5904"/>
          </w:tcPr>
          <w:p>
            <w:r>
              <w:t>Remediation within one sprint</w:t>
            </w:r>
          </w:p>
        </w:tc>
      </w:tr>
      <w:tr>
        <w:tc>
          <w:tcPr>
            <w:tcW w:type="dxa" w:w="1728"/>
          </w:tcPr>
          <w:p>
            <w:r>
              <w:t>5 – 9</w:t>
            </w:r>
          </w:p>
        </w:tc>
        <w:tc>
          <w:tcPr>
            <w:tcW w:type="dxa" w:w="1728"/>
          </w:tcPr>
          <w:p>
            <w:r>
              <w:t>MEDIUM</w:t>
            </w:r>
          </w:p>
        </w:tc>
        <w:tc>
          <w:tcPr>
            <w:tcW w:type="dxa" w:w="5904"/>
          </w:tcPr>
          <w:p>
            <w:r>
              <w:t>Planned mitigation within current release cycle</w:t>
            </w:r>
          </w:p>
        </w:tc>
      </w:tr>
      <w:tr>
        <w:tc>
          <w:tcPr>
            <w:tcW w:type="dxa" w:w="1728"/>
          </w:tcPr>
          <w:p>
            <w:r>
              <w:t>1 – 4</w:t>
            </w:r>
          </w:p>
        </w:tc>
        <w:tc>
          <w:tcPr>
            <w:tcW w:type="dxa" w:w="1728"/>
          </w:tcPr>
          <w:p>
            <w:r>
              <w:t>LOW</w:t>
            </w:r>
          </w:p>
        </w:tc>
        <w:tc>
          <w:tcPr>
            <w:tcW w:type="dxa" w:w="5904"/>
          </w:tcPr>
          <w:p>
            <w:r>
              <w:t>Monitor and review quarterly</w:t>
            </w:r>
          </w:p>
        </w:tc>
      </w:tr>
    </w:tbl>
    <w:p/>
    <w:p>
      <w:pPr>
        <w:pStyle w:val="Heading3"/>
      </w:pPr>
      <w:r>
        <w:t>7.6.3  Risk Assessment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20"/>
          </w:tcPr>
          <w:p>
            <w:r>
              <w:rPr>
                <w:b/>
              </w:rPr>
              <w:t>ID</w:t>
            </w:r>
          </w:p>
        </w:tc>
        <w:tc>
          <w:tcPr>
            <w:tcW w:type="dxa" w:w="3168"/>
          </w:tcPr>
          <w:p>
            <w:r>
              <w:rPr>
                <w:b/>
              </w:rPr>
              <w:t>Risk</w:t>
            </w:r>
          </w:p>
        </w:tc>
        <w:tc>
          <w:tcPr>
            <w:tcW w:type="dxa" w:w="720"/>
          </w:tcPr>
          <w:p>
            <w:r>
              <w:rPr>
                <w:b/>
              </w:rPr>
              <w:t>Cat.</w:t>
            </w:r>
          </w:p>
        </w:tc>
        <w:tc>
          <w:tcPr>
            <w:tcW w:type="dxa" w:w="432"/>
          </w:tcPr>
          <w:p>
            <w:r>
              <w:rPr>
                <w:b/>
              </w:rPr>
              <w:t>L</w:t>
            </w:r>
          </w:p>
        </w:tc>
        <w:tc>
          <w:tcPr>
            <w:tcW w:type="dxa" w:w="432"/>
          </w:tcPr>
          <w:p>
            <w:r>
              <w:rPr>
                <w:b/>
              </w:rPr>
              <w:t>I</w:t>
            </w:r>
          </w:p>
        </w:tc>
        <w:tc>
          <w:tcPr>
            <w:tcW w:type="dxa" w:w="720"/>
          </w:tcPr>
          <w:p>
            <w:r>
              <w:rPr>
                <w:b/>
              </w:rPr>
              <w:t>Exp.</w:t>
            </w:r>
          </w:p>
        </w:tc>
        <w:tc>
          <w:tcPr>
            <w:tcW w:type="dxa" w:w="1008"/>
          </w:tcPr>
          <w:p>
            <w:r>
              <w:rPr>
                <w:b/>
              </w:rPr>
              <w:t>Level</w:t>
            </w:r>
          </w:p>
        </w:tc>
        <w:tc>
          <w:tcPr>
            <w:tcW w:type="dxa" w:w="2736"/>
          </w:tcPr>
          <w:p>
            <w:r>
              <w:rPr>
                <w:b/>
              </w:rPr>
              <w:t>Mitigation Strategy</w:t>
            </w:r>
          </w:p>
        </w:tc>
        <w:tc>
          <w:tcPr>
            <w:tcW w:type="dxa" w:w="1152"/>
          </w:tcPr>
          <w:p>
            <w:r>
              <w:rPr>
                <w:b/>
              </w:rPr>
              <w:t>Owner</w:t>
            </w:r>
          </w:p>
        </w:tc>
      </w:tr>
      <w:tr>
        <w:tc>
          <w:tcPr>
            <w:tcW w:type="dxa" w:w="720"/>
          </w:tcPr>
          <w:p>
            <w:r>
              <w:t>R-01</w:t>
            </w:r>
          </w:p>
        </w:tc>
        <w:tc>
          <w:tcPr>
            <w:tcW w:type="dxa" w:w="3168"/>
          </w:tcPr>
          <w:p>
            <w:r>
              <w:t>Concurrent Write Data Corruption — readDB() → modify → writeDB() provides zero transaction isolation. Two buyers ordering last stock unit will both pass stock check before either write completes, causing overselling and data corruption.</w:t>
            </w:r>
          </w:p>
        </w:tc>
        <w:tc>
          <w:tcPr>
            <w:tcW w:type="dxa" w:w="720"/>
          </w:tcPr>
          <w:p>
            <w:r>
              <w:t>Technical</w:t>
            </w:r>
          </w:p>
        </w:tc>
        <w:tc>
          <w:tcPr>
            <w:tcW w:type="dxa" w:w="432"/>
          </w:tcPr>
          <w:p>
            <w:r>
              <w:t>5</w:t>
            </w:r>
          </w:p>
        </w:tc>
        <w:tc>
          <w:tcPr>
            <w:tcW w:type="dxa" w:w="432"/>
          </w:tcPr>
          <w:p>
            <w:r>
              <w:t>5</w:t>
            </w:r>
          </w:p>
        </w:tc>
        <w:tc>
          <w:tcPr>
            <w:tcW w:type="dxa" w:w="720"/>
          </w:tcPr>
          <w:p>
            <w:r>
              <w:t>25</w:t>
            </w:r>
          </w:p>
        </w:tc>
        <w:tc>
          <w:tcPr>
            <w:tcW w:type="dxa" w:w="1008"/>
          </w:tcPr>
          <w:p>
            <w:r>
              <w:t>CRITICAL</w:t>
            </w:r>
          </w:p>
        </w:tc>
        <w:tc>
          <w:tcPr>
            <w:tcW w:type="dxa" w:w="2736"/>
          </w:tcPr>
          <w:p>
            <w:r>
              <w:t>Execute PostgreSQL migration (SC-01) as the first post-submission action. Interim: introduce in-memory mutex lock around writeDB(). Add integration tests simulating concurrent writes.</w:t>
            </w:r>
          </w:p>
        </w:tc>
        <w:tc>
          <w:tcPr>
            <w:tcW w:type="dxa" w:w="1152"/>
          </w:tcPr>
          <w:p>
            <w:r>
              <w:t>Tech Lead</w:t>
            </w:r>
          </w:p>
        </w:tc>
      </w:tr>
      <w:tr>
        <w:tc>
          <w:tcPr>
            <w:tcW w:type="dxa" w:w="720"/>
          </w:tcPr>
          <w:p>
            <w:r>
              <w:t>R-02</w:t>
            </w:r>
          </w:p>
        </w:tc>
        <w:tc>
          <w:tcPr>
            <w:tcW w:type="dxa" w:w="3168"/>
          </w:tcPr>
          <w:p>
            <w:r>
              <w:t>Plain-Text Password Storage — Passwords stored without hashing in db.json (evidenced in register/route.ts line 23; compared plain-text in login/route.ts line 9). Any read access to the database file exposes all credentials.</w:t>
            </w:r>
          </w:p>
        </w:tc>
        <w:tc>
          <w:tcPr>
            <w:tcW w:type="dxa" w:w="720"/>
          </w:tcPr>
          <w:p>
            <w:r>
              <w:t>Security</w:t>
            </w:r>
          </w:p>
        </w:tc>
        <w:tc>
          <w:tcPr>
            <w:tcW w:type="dxa" w:w="432"/>
          </w:tcPr>
          <w:p>
            <w:r>
              <w:t>4</w:t>
            </w:r>
          </w:p>
        </w:tc>
        <w:tc>
          <w:tcPr>
            <w:tcW w:type="dxa" w:w="432"/>
          </w:tcPr>
          <w:p>
            <w:r>
              <w:t>5</w:t>
            </w:r>
          </w:p>
        </w:tc>
        <w:tc>
          <w:tcPr>
            <w:tcW w:type="dxa" w:w="720"/>
          </w:tcPr>
          <w:p>
            <w:r>
              <w:t>20</w:t>
            </w:r>
          </w:p>
        </w:tc>
        <w:tc>
          <w:tcPr>
            <w:tcW w:type="dxa" w:w="1008"/>
          </w:tcPr>
          <w:p>
            <w:r>
              <w:t>CRITICAL</w:t>
            </w:r>
          </w:p>
        </w:tc>
        <w:tc>
          <w:tcPr>
            <w:tcW w:type="dxa" w:w="2736"/>
          </w:tcPr>
          <w:p>
            <w:r>
              <w:t>Replace with argon2id or bcrypt (cost factor ≥ 12) before any public deployment. Audit .gitignore to confirm db.json and .env.local are excluded from version control.</w:t>
            </w:r>
          </w:p>
        </w:tc>
        <w:tc>
          <w:tcPr>
            <w:tcW w:type="dxa" w:w="1152"/>
          </w:tcPr>
          <w:p>
            <w:r>
              <w:t>Tech Lead</w:t>
            </w:r>
          </w:p>
        </w:tc>
      </w:tr>
      <w:tr>
        <w:tc>
          <w:tcPr>
            <w:tcW w:type="dxa" w:w="720"/>
          </w:tcPr>
          <w:p>
            <w:r>
              <w:t>R-03</w:t>
            </w:r>
          </w:p>
        </w:tc>
        <w:tc>
          <w:tcPr>
            <w:tcW w:type="dxa" w:w="3168"/>
          </w:tcPr>
          <w:p>
            <w:r>
              <w:t>Silent Regression from Zero Test Coverage — 0% automated coverage across 11.35 KLOC means every feature addition or dependency update risks undetected breakage. Trust Engine, RBAC guards, and order logic gate financial transactions but have never been executed in a reproducible test environment.</w:t>
            </w:r>
          </w:p>
        </w:tc>
        <w:tc>
          <w:tcPr>
            <w:tcW w:type="dxa" w:w="720"/>
          </w:tcPr>
          <w:p>
            <w:r>
              <w:t>Quality</w:t>
            </w:r>
          </w:p>
        </w:tc>
        <w:tc>
          <w:tcPr>
            <w:tcW w:type="dxa" w:w="432"/>
          </w:tcPr>
          <w:p>
            <w:r>
              <w:t>5</w:t>
            </w:r>
          </w:p>
        </w:tc>
        <w:tc>
          <w:tcPr>
            <w:tcW w:type="dxa" w:w="432"/>
          </w:tcPr>
          <w:p>
            <w:r>
              <w:t>3</w:t>
            </w:r>
          </w:p>
        </w:tc>
        <w:tc>
          <w:tcPr>
            <w:tcW w:type="dxa" w:w="720"/>
          </w:tcPr>
          <w:p>
            <w:r>
              <w:t>15</w:t>
            </w:r>
          </w:p>
        </w:tc>
        <w:tc>
          <w:tcPr>
            <w:tcW w:type="dxa" w:w="1008"/>
          </w:tcPr>
          <w:p>
            <w:r>
              <w:t>CRITICAL</w:t>
            </w:r>
          </w:p>
        </w:tc>
        <w:tc>
          <w:tcPr>
            <w:tcW w:type="dxa" w:w="2736"/>
          </w:tcPr>
          <w:p>
            <w:r>
              <w:t>Introduce Vitest + React Testing Library (SC-02) immediately. Set CI gate of ≥ 60% line coverage before any new feature branch can merge. Prioritise getCurrentUser(), POST /api/orders, and bulk pricing resolution.</w:t>
            </w:r>
          </w:p>
        </w:tc>
        <w:tc>
          <w:tcPr>
            <w:tcW w:type="dxa" w:w="1152"/>
          </w:tcPr>
          <w:p>
            <w:r>
              <w:t>Tech Lead</w:t>
            </w:r>
          </w:p>
        </w:tc>
      </w:tr>
      <w:tr>
        <w:tc>
          <w:tcPr>
            <w:tcW w:type="dxa" w:w="720"/>
          </w:tcPr>
          <w:p>
            <w:r>
              <w:t>R-04</w:t>
            </w:r>
          </w:p>
        </w:tc>
        <w:tc>
          <w:tcPr>
            <w:tcW w:type="dxa" w:w="3168"/>
          </w:tcPr>
          <w:p>
            <w:r>
              <w:t>Security Vulnerability Re-Exposure — CR-005 demonstrates a history of unsanitised output. Additional injection vectors (CSRF, insecure direct object reference on /api/orders/[id], missing rate limiting on /api/auth/login) remain unaudited.</w:t>
            </w:r>
          </w:p>
        </w:tc>
        <w:tc>
          <w:tcPr>
            <w:tcW w:type="dxa" w:w="720"/>
          </w:tcPr>
          <w:p>
            <w:r>
              <w:t>Security</w:t>
            </w:r>
          </w:p>
        </w:tc>
        <w:tc>
          <w:tcPr>
            <w:tcW w:type="dxa" w:w="432"/>
          </w:tcPr>
          <w:p>
            <w:r>
              <w:t>3</w:t>
            </w:r>
          </w:p>
        </w:tc>
        <w:tc>
          <w:tcPr>
            <w:tcW w:type="dxa" w:w="432"/>
          </w:tcPr>
          <w:p>
            <w:r>
              <w:t>4</w:t>
            </w:r>
          </w:p>
        </w:tc>
        <w:tc>
          <w:tcPr>
            <w:tcW w:type="dxa" w:w="720"/>
          </w:tcPr>
          <w:p>
            <w:r>
              <w:t>12</w:t>
            </w:r>
          </w:p>
        </w:tc>
        <w:tc>
          <w:tcPr>
            <w:tcW w:type="dxa" w:w="1008"/>
          </w:tcPr>
          <w:p>
            <w:r>
              <w:t>HIGH</w:t>
            </w:r>
          </w:p>
        </w:tc>
        <w:tc>
          <w:tcPr>
            <w:tcW w:type="dxa" w:w="2736"/>
          </w:tcPr>
          <w:p>
            <w:r>
              <w:t>Commission OWASP Top 10 audit before public launch. Integrate npm audit and Snyk into CI. Add rate limiting to authentication endpoints via Vercel Edge Middleware.</w:t>
            </w:r>
          </w:p>
        </w:tc>
        <w:tc>
          <w:tcPr>
            <w:tcW w:type="dxa" w:w="1152"/>
          </w:tcPr>
          <w:p>
            <w:r>
              <w:t>Member B</w:t>
            </w:r>
          </w:p>
        </w:tc>
      </w:tr>
      <w:tr>
        <w:tc>
          <w:tcPr>
            <w:tcW w:type="dxa" w:w="720"/>
          </w:tcPr>
          <w:p>
            <w:r>
              <w:t>R-05</w:t>
            </w:r>
          </w:p>
        </w:tc>
        <w:tc>
          <w:tcPr>
            <w:tcW w:type="dxa" w:w="3168"/>
          </w:tcPr>
          <w:p>
            <w:r>
              <w:t>PostgreSQL Migration Delay — The JSON → PostgreSQL migration is a prerequisite for production, yet requires schema design, data migration scripting, ORM integration, and full regression testing. Underestimating this effort risks delaying commercial launch.</w:t>
            </w:r>
          </w:p>
        </w:tc>
        <w:tc>
          <w:tcPr>
            <w:tcW w:type="dxa" w:w="720"/>
          </w:tcPr>
          <w:p>
            <w:r>
              <w:t>Schedule</w:t>
            </w:r>
          </w:p>
        </w:tc>
        <w:tc>
          <w:tcPr>
            <w:tcW w:type="dxa" w:w="432"/>
          </w:tcPr>
          <w:p>
            <w:r>
              <w:t>3</w:t>
            </w:r>
          </w:p>
        </w:tc>
        <w:tc>
          <w:tcPr>
            <w:tcW w:type="dxa" w:w="432"/>
          </w:tcPr>
          <w:p>
            <w:r>
              <w:t>4</w:t>
            </w:r>
          </w:p>
        </w:tc>
        <w:tc>
          <w:tcPr>
            <w:tcW w:type="dxa" w:w="720"/>
          </w:tcPr>
          <w:p>
            <w:r>
              <w:t>12</w:t>
            </w:r>
          </w:p>
        </w:tc>
        <w:tc>
          <w:tcPr>
            <w:tcW w:type="dxa" w:w="1008"/>
          </w:tcPr>
          <w:p>
            <w:r>
              <w:t>HIGH</w:t>
            </w:r>
          </w:p>
        </w:tc>
        <w:tc>
          <w:tcPr>
            <w:tcW w:type="dxa" w:w="2736"/>
          </w:tcPr>
          <w:p>
            <w:r>
              <w:t>Phased migration plan: define Supabase table schemas → write one-time migration script → run both systems in parallel with write shadowing → cut over with tested rollback path. Assign dedicated sprint capacity.</w:t>
            </w:r>
          </w:p>
        </w:tc>
        <w:tc>
          <w:tcPr>
            <w:tcW w:type="dxa" w:w="1152"/>
          </w:tcPr>
          <w:p>
            <w:r>
              <w:t>Member C</w:t>
            </w:r>
          </w:p>
        </w:tc>
      </w:tr>
      <w:tr>
        <w:tc>
          <w:tcPr>
            <w:tcW w:type="dxa" w:w="720"/>
          </w:tcPr>
          <w:p>
            <w:r>
              <w:t>R-06</w:t>
            </w:r>
          </w:p>
        </w:tc>
        <w:tc>
          <w:tcPr>
            <w:tcW w:type="dxa" w:w="3168"/>
          </w:tcPr>
          <w:p>
            <w:r>
              <w:t>Scope Creep — 13 anticipated changes represent a large backlog that, without strict controls, may cause partial implementations of multiple changes simultaneously, resulting in an unstable codebase and missed deadlines.</w:t>
            </w:r>
          </w:p>
        </w:tc>
        <w:tc>
          <w:tcPr>
            <w:tcW w:type="dxa" w:w="720"/>
          </w:tcPr>
          <w:p>
            <w:r>
              <w:t>Management</w:t>
            </w:r>
          </w:p>
        </w:tc>
        <w:tc>
          <w:tcPr>
            <w:tcW w:type="dxa" w:w="432"/>
          </w:tcPr>
          <w:p>
            <w:r>
              <w:t>4</w:t>
            </w:r>
          </w:p>
        </w:tc>
        <w:tc>
          <w:tcPr>
            <w:tcW w:type="dxa" w:w="432"/>
          </w:tcPr>
          <w:p>
            <w:r>
              <w:t>3</w:t>
            </w:r>
          </w:p>
        </w:tc>
        <w:tc>
          <w:tcPr>
            <w:tcW w:type="dxa" w:w="720"/>
          </w:tcPr>
          <w:p>
            <w:r>
              <w:t>12</w:t>
            </w:r>
          </w:p>
        </w:tc>
        <w:tc>
          <w:tcPr>
            <w:tcW w:type="dxa" w:w="1008"/>
          </w:tcPr>
          <w:p>
            <w:r>
              <w:t>HIGH</w:t>
            </w:r>
          </w:p>
        </w:tc>
        <w:tc>
          <w:tcPr>
            <w:tcW w:type="dxa" w:w="2736"/>
          </w:tcPr>
          <w:p>
            <w:r>
              <w:t>Enforce a formal Change Control Board (CCB) review for all new scope requests. Maintain a MoSCoW-classified product backlog. Freeze scope at sprint planning.</w:t>
            </w:r>
          </w:p>
        </w:tc>
        <w:tc>
          <w:tcPr>
            <w:tcW w:type="dxa" w:w="1152"/>
          </w:tcPr>
          <w:p>
            <w:r>
              <w:t>Team Lead</w:t>
            </w:r>
          </w:p>
        </w:tc>
      </w:tr>
      <w:tr>
        <w:tc>
          <w:tcPr>
            <w:tcW w:type="dxa" w:w="720"/>
          </w:tcPr>
          <w:p>
            <w:r>
              <w:t>R-07</w:t>
            </w:r>
          </w:p>
        </w:tc>
        <w:tc>
          <w:tcPr>
            <w:tcW w:type="dxa" w:w="3168"/>
          </w:tcPr>
          <w:p>
            <w:r>
              <w:t>Kuwait Data Privacy Non-Compliance — Platform collects name, email, company, whatsapp_number, and order history. Kuwait PDPL (Law No. 20 of 2014) and CITRA requirements for consent, retention, and breach notification are not addressed.</w:t>
            </w:r>
          </w:p>
        </w:tc>
        <w:tc>
          <w:tcPr>
            <w:tcW w:type="dxa" w:w="720"/>
          </w:tcPr>
          <w:p>
            <w:r>
              <w:t>Legal</w:t>
            </w:r>
          </w:p>
        </w:tc>
        <w:tc>
          <w:tcPr>
            <w:tcW w:type="dxa" w:w="432"/>
          </w:tcPr>
          <w:p>
            <w:r>
              <w:t>3</w:t>
            </w:r>
          </w:p>
        </w:tc>
        <w:tc>
          <w:tcPr>
            <w:tcW w:type="dxa" w:w="432"/>
          </w:tcPr>
          <w:p>
            <w:r>
              <w:t>4</w:t>
            </w:r>
          </w:p>
        </w:tc>
        <w:tc>
          <w:tcPr>
            <w:tcW w:type="dxa" w:w="720"/>
          </w:tcPr>
          <w:p>
            <w:r>
              <w:t>12</w:t>
            </w:r>
          </w:p>
        </w:tc>
        <w:tc>
          <w:tcPr>
            <w:tcW w:type="dxa" w:w="1008"/>
          </w:tcPr>
          <w:p>
            <w:r>
              <w:t>HIGH</w:t>
            </w:r>
          </w:p>
        </w:tc>
        <w:tc>
          <w:tcPr>
            <w:tcW w:type="dxa" w:w="2736"/>
          </w:tcPr>
          <w:p>
            <w:r>
              <w:t>Engage Kuwait-based legal adviser. Implement cookie consent banner, Privacy Policy page, documented data retention policy, and breach notification procedure. Configure Supabase data residency to a GCC region.</w:t>
            </w:r>
          </w:p>
        </w:tc>
        <w:tc>
          <w:tcPr>
            <w:tcW w:type="dxa" w:w="1152"/>
          </w:tcPr>
          <w:p>
            <w:r>
              <w:t>Member D</w:t>
            </w:r>
          </w:p>
        </w:tc>
      </w:tr>
      <w:tr>
        <w:tc>
          <w:tcPr>
            <w:tcW w:type="dxa" w:w="720"/>
          </w:tcPr>
          <w:p>
            <w:r>
              <w:t>R-08</w:t>
            </w:r>
          </w:p>
        </w:tc>
        <w:tc>
          <w:tcPr>
            <w:tcW w:type="dxa" w:w="3168"/>
          </w:tcPr>
          <w:p>
            <w:r>
              <w:t>Third-Party Vendor Dependency — 100% of authentication and production hosting are delegated to Supabase and Vercel. Pricing changes, discontinuation, or outages translate directly to system unavailability.</w:t>
            </w:r>
          </w:p>
        </w:tc>
        <w:tc>
          <w:tcPr>
            <w:tcW w:type="dxa" w:w="720"/>
          </w:tcPr>
          <w:p>
            <w:r>
              <w:t>Technical</w:t>
            </w:r>
          </w:p>
        </w:tc>
        <w:tc>
          <w:tcPr>
            <w:tcW w:type="dxa" w:w="432"/>
          </w:tcPr>
          <w:p>
            <w:r>
              <w:t>2</w:t>
            </w:r>
          </w:p>
        </w:tc>
        <w:tc>
          <w:tcPr>
            <w:tcW w:type="dxa" w:w="432"/>
          </w:tcPr>
          <w:p>
            <w:r>
              <w:t>5</w:t>
            </w:r>
          </w:p>
        </w:tc>
        <w:tc>
          <w:tcPr>
            <w:tcW w:type="dxa" w:w="720"/>
          </w:tcPr>
          <w:p>
            <w:r>
              <w:t>10</w:t>
            </w:r>
          </w:p>
        </w:tc>
        <w:tc>
          <w:tcPr>
            <w:tcW w:type="dxa" w:w="1008"/>
          </w:tcPr>
          <w:p>
            <w:r>
              <w:t>HIGH</w:t>
            </w:r>
          </w:p>
        </w:tc>
        <w:tc>
          <w:tcPr>
            <w:tcW w:type="dxa" w:w="2736"/>
          </w:tcPr>
          <w:p>
            <w:r>
              <w:t>Implement daily automated database exports from Supabase. Design the Supabase client factory behind an interface abstraction to allow provider substitution. Define RTO &lt; 4 hours for any single-provider outage.</w:t>
            </w:r>
          </w:p>
        </w:tc>
        <w:tc>
          <w:tcPr>
            <w:tcW w:type="dxa" w:w="1152"/>
          </w:tcPr>
          <w:p>
            <w:r>
              <w:t>Member C</w:t>
            </w:r>
          </w:p>
        </w:tc>
      </w:tr>
      <w:tr>
        <w:tc>
          <w:tcPr>
            <w:tcW w:type="dxa" w:w="720"/>
          </w:tcPr>
          <w:p>
            <w:r>
              <w:t>R-09</w:t>
            </w:r>
          </w:p>
        </w:tc>
        <w:tc>
          <w:tcPr>
            <w:tcW w:type="dxa" w:w="3168"/>
          </w:tcPr>
          <w:p>
            <w:r>
              <w:t>Performance Degradation Under Load — Synchronous fs.readFileSync() and fs.writeFileSync() in src/lib/db.ts block the Node.js event loop on every database operation, causing request queuing and potential Vercel function timeouts (10-second default).</w:t>
            </w:r>
          </w:p>
        </w:tc>
        <w:tc>
          <w:tcPr>
            <w:tcW w:type="dxa" w:w="720"/>
          </w:tcPr>
          <w:p>
            <w:r>
              <w:t>Technical</w:t>
            </w:r>
          </w:p>
        </w:tc>
        <w:tc>
          <w:tcPr>
            <w:tcW w:type="dxa" w:w="432"/>
          </w:tcPr>
          <w:p>
            <w:r>
              <w:t>4</w:t>
            </w:r>
          </w:p>
        </w:tc>
        <w:tc>
          <w:tcPr>
            <w:tcW w:type="dxa" w:w="432"/>
          </w:tcPr>
          <w:p>
            <w:r>
              <w:t>3</w:t>
            </w:r>
          </w:p>
        </w:tc>
        <w:tc>
          <w:tcPr>
            <w:tcW w:type="dxa" w:w="720"/>
          </w:tcPr>
          <w:p>
            <w:r>
              <w:t>12</w:t>
            </w:r>
          </w:p>
        </w:tc>
        <w:tc>
          <w:tcPr>
            <w:tcW w:type="dxa" w:w="1008"/>
          </w:tcPr>
          <w:p>
            <w:r>
              <w:t>HIGH</w:t>
            </w:r>
          </w:p>
        </w:tc>
        <w:tc>
          <w:tcPr>
            <w:tcW w:type="dxa" w:w="2736"/>
          </w:tcPr>
          <w:p>
            <w:r>
              <w:t>Resolved by SC-01 (PostgreSQL). Interim: convert readDB() / writeDB() to async fs.promises. Conduct k6 load test before launch (target: 50 concurrent users, P95 &lt; 300 ms).</w:t>
            </w:r>
          </w:p>
        </w:tc>
        <w:tc>
          <w:tcPr>
            <w:tcW w:type="dxa" w:w="1152"/>
          </w:tcPr>
          <w:p>
            <w:r>
              <w:t>Tech Lead</w:t>
            </w:r>
          </w:p>
        </w:tc>
      </w:tr>
      <w:tr>
        <w:tc>
          <w:tcPr>
            <w:tcW w:type="dxa" w:w="720"/>
          </w:tcPr>
          <w:p>
            <w:r>
              <w:t>R-10</w:t>
            </w:r>
          </w:p>
        </w:tc>
        <w:tc>
          <w:tcPr>
            <w:tcW w:type="dxa" w:w="3168"/>
          </w:tcPr>
          <w:p>
            <w:r>
              <w:t>Key Personnel Dependency — Trust Engine, RBAC, and Supabase integration were built by specific team members with limited cross-training. Departure of one member risks leaving critical subsystems undocumented.</w:t>
            </w:r>
          </w:p>
        </w:tc>
        <w:tc>
          <w:tcPr>
            <w:tcW w:type="dxa" w:w="720"/>
          </w:tcPr>
          <w:p>
            <w:r>
              <w:t>Resource</w:t>
            </w:r>
          </w:p>
        </w:tc>
        <w:tc>
          <w:tcPr>
            <w:tcW w:type="dxa" w:w="432"/>
          </w:tcPr>
          <w:p>
            <w:r>
              <w:t>2</w:t>
            </w:r>
          </w:p>
        </w:tc>
        <w:tc>
          <w:tcPr>
            <w:tcW w:type="dxa" w:w="432"/>
          </w:tcPr>
          <w:p>
            <w:r>
              <w:t>4</w:t>
            </w:r>
          </w:p>
        </w:tc>
        <w:tc>
          <w:tcPr>
            <w:tcW w:type="dxa" w:w="720"/>
          </w:tcPr>
          <w:p>
            <w:r>
              <w:t>8</w:t>
            </w:r>
          </w:p>
        </w:tc>
        <w:tc>
          <w:tcPr>
            <w:tcW w:type="dxa" w:w="1008"/>
          </w:tcPr>
          <w:p>
            <w:r>
              <w:t>MEDIUM</w:t>
            </w:r>
          </w:p>
        </w:tc>
        <w:tc>
          <w:tcPr>
            <w:tcW w:type="dxa" w:w="2736"/>
          </w:tcPr>
          <w:p>
            <w:r>
              <w:t>Mandate pair programming for critical subsystems. Require all merges to include updated design decision comments. Conduct knowledge-transfer sessions before semester end. Maintain Architecture Decision Records (ADRs).</w:t>
            </w:r>
          </w:p>
        </w:tc>
        <w:tc>
          <w:tcPr>
            <w:tcW w:type="dxa" w:w="1152"/>
          </w:tcPr>
          <w:p>
            <w:r>
              <w:t>Team Lead</w:t>
            </w:r>
          </w:p>
        </w:tc>
      </w:tr>
      <w:tr>
        <w:tc>
          <w:tcPr>
            <w:tcW w:type="dxa" w:w="720"/>
          </w:tcPr>
          <w:p>
            <w:r>
              <w:t>R-11</w:t>
            </w:r>
          </w:p>
        </w:tc>
        <w:tc>
          <w:tcPr>
            <w:tcW w:type="dxa" w:w="3168"/>
          </w:tcPr>
          <w:p>
            <w:r>
              <w:t>KNET Payment Compliance Failure — Kuwait's KNET mandates PCI-DSS compliance, a certified integration partner, and Central Bank of Kuwait approval. Implementing payment without satisfying these requirements is a criminal offence under Kuwait Commercial Law.</w:t>
            </w:r>
          </w:p>
        </w:tc>
        <w:tc>
          <w:tcPr>
            <w:tcW w:type="dxa" w:w="720"/>
          </w:tcPr>
          <w:p>
            <w:r>
              <w:t>Legal</w:t>
            </w:r>
          </w:p>
        </w:tc>
        <w:tc>
          <w:tcPr>
            <w:tcW w:type="dxa" w:w="432"/>
          </w:tcPr>
          <w:p>
            <w:r>
              <w:t>2</w:t>
            </w:r>
          </w:p>
        </w:tc>
        <w:tc>
          <w:tcPr>
            <w:tcW w:type="dxa" w:w="432"/>
          </w:tcPr>
          <w:p>
            <w:r>
              <w:t>5</w:t>
            </w:r>
          </w:p>
        </w:tc>
        <w:tc>
          <w:tcPr>
            <w:tcW w:type="dxa" w:w="720"/>
          </w:tcPr>
          <w:p>
            <w:r>
              <w:t>10</w:t>
            </w:r>
          </w:p>
        </w:tc>
        <w:tc>
          <w:tcPr>
            <w:tcW w:type="dxa" w:w="1008"/>
          </w:tcPr>
          <w:p>
            <w:r>
              <w:t>HIGH</w:t>
            </w:r>
          </w:p>
        </w:tc>
        <w:tc>
          <w:tcPr>
            <w:tcW w:type="dxa" w:w="2736"/>
          </w:tcPr>
          <w:p>
            <w:r>
              <w:t>Engage a KNET-certified payment gateway aggregator (MyFatoorah, Tap Payments) that provides a pre-certified integration layer. The platform must never touch raw card data. Obtain legal sign-off before enabling live transactions.</w:t>
            </w:r>
          </w:p>
        </w:tc>
        <w:tc>
          <w:tcPr>
            <w:tcW w:type="dxa" w:w="1152"/>
          </w:tcPr>
          <w:p>
            <w:r>
              <w:t>Member D</w:t>
            </w:r>
          </w:p>
        </w:tc>
      </w:tr>
      <w:tr>
        <w:tc>
          <w:tcPr>
            <w:tcW w:type="dxa" w:w="720"/>
          </w:tcPr>
          <w:p>
            <w:r>
              <w:t>R-12</w:t>
            </w:r>
          </w:p>
        </w:tc>
        <w:tc>
          <w:tcPr>
            <w:tcW w:type="dxa" w:w="3168"/>
          </w:tcPr>
          <w:p>
            <w:r>
              <w:t>Arabic RTL Localisation Regression — Updates to shared layout components made by developers working in LTR contexts risk breaking RTL alignment, bi-directional icon mirroring, or right-anchored navigation for Arabic users.</w:t>
            </w:r>
          </w:p>
        </w:tc>
        <w:tc>
          <w:tcPr>
            <w:tcW w:type="dxa" w:w="720"/>
          </w:tcPr>
          <w:p>
            <w:r>
              <w:t>Quality</w:t>
            </w:r>
          </w:p>
        </w:tc>
        <w:tc>
          <w:tcPr>
            <w:tcW w:type="dxa" w:w="432"/>
          </w:tcPr>
          <w:p>
            <w:r>
              <w:t>3</w:t>
            </w:r>
          </w:p>
        </w:tc>
        <w:tc>
          <w:tcPr>
            <w:tcW w:type="dxa" w:w="432"/>
          </w:tcPr>
          <w:p>
            <w:r>
              <w:t>2</w:t>
            </w:r>
          </w:p>
        </w:tc>
        <w:tc>
          <w:tcPr>
            <w:tcW w:type="dxa" w:w="720"/>
          </w:tcPr>
          <w:p>
            <w:r>
              <w:t>6</w:t>
            </w:r>
          </w:p>
        </w:tc>
        <w:tc>
          <w:tcPr>
            <w:tcW w:type="dxa" w:w="1008"/>
          </w:tcPr>
          <w:p>
            <w:r>
              <w:t>MEDIUM</w:t>
            </w:r>
          </w:p>
        </w:tc>
        <w:tc>
          <w:tcPr>
            <w:tcW w:type="dxa" w:w="2736"/>
          </w:tcPr>
          <w:p>
            <w:r>
              <w:t>Add Playwright visual regression tests capturing screenshots in both ar and en locale on every CI run. Require a native Arabic speaker to perform a UI review checklist before each release.</w:t>
            </w:r>
          </w:p>
        </w:tc>
        <w:tc>
          <w:tcPr>
            <w:tcW w:type="dxa" w:w="1152"/>
          </w:tcPr>
          <w:p>
            <w:r>
              <w:t>Member B</w:t>
            </w:r>
          </w:p>
        </w:tc>
      </w:tr>
    </w:tbl>
    <w:p/>
    <w:p>
      <w:pPr/>
      <w:r>
        <w:t>(L = Likelihood · I = Impact · Exposure = L × I)</w:t>
      </w:r>
    </w:p>
    <w:p>
      <w:pPr>
        <w:pStyle w:val="Heading3"/>
      </w:pPr>
      <w:r>
        <w:t>7.6.4  Risk Heat Map</w:t>
      </w:r>
    </w:p>
    <w:p>
      <w:pPr/>
      <w:r>
        <w:t>The heat map below positions each risk by Likelihood (vertical axis) and Impact (horizontal axis). Risks in the top-right quadrant are Critical.</w:t>
      </w:r>
    </w:p>
    <w:p>
      <w:pPr>
        <w:spacing w:before="0" w:after="0"/>
      </w:pPr>
      <w:r>
        <w:rPr>
          <w:rFonts w:ascii="Courier New" w:hAnsi="Courier New"/>
          <w:sz w:val="16"/>
        </w:rPr>
        <w:t xml:space="preserve">         │  IMPACT →</w:t>
      </w:r>
    </w:p>
    <w:p>
      <w:pPr>
        <w:spacing w:before="0" w:after="0"/>
      </w:pPr>
      <w:r>
        <w:rPr>
          <w:rFonts w:ascii="Courier New" w:hAnsi="Courier New"/>
          <w:sz w:val="16"/>
        </w:rPr>
        <w:t xml:space="preserve">         │  1-Negligible  2-Minor   3-Moderate  4-Major    5-Critical</w:t>
      </w:r>
    </w:p>
    <w:p>
      <w:pPr>
        <w:spacing w:before="0" w:after="0"/>
      </w:pPr>
      <w:r>
        <w:rPr>
          <w:rFonts w:ascii="Courier New" w:hAnsi="Courier New"/>
          <w:sz w:val="16"/>
        </w:rPr>
        <w:t>─────────┼──────────────────────────────────────────────────────────────</w:t>
      </w:r>
    </w:p>
    <w:p>
      <w:pPr>
        <w:spacing w:before="0" w:after="0"/>
      </w:pPr>
      <w:r>
        <w:rPr>
          <w:rFonts w:ascii="Courier New" w:hAnsi="Courier New"/>
          <w:sz w:val="16"/>
        </w:rPr>
        <w:t>5-Almost │                          R-03                    R-01</w:t>
      </w:r>
    </w:p>
    <w:p>
      <w:pPr>
        <w:spacing w:before="0" w:after="0"/>
      </w:pPr>
      <w:r>
        <w:rPr>
          <w:rFonts w:ascii="Courier New" w:hAnsi="Courier New"/>
          <w:sz w:val="16"/>
        </w:rPr>
        <w:t xml:space="preserve"> Certain │</w:t>
      </w:r>
    </w:p>
    <w:p>
      <w:pPr>
        <w:spacing w:before="0" w:after="0"/>
      </w:pPr>
      <w:r>
        <w:rPr>
          <w:rFonts w:ascii="Courier New" w:hAnsi="Courier New"/>
          <w:sz w:val="16"/>
        </w:rPr>
        <w:t>─────────┼──────────────────────────────────────────────────────────────</w:t>
      </w:r>
    </w:p>
    <w:p>
      <w:pPr>
        <w:spacing w:before="0" w:after="0"/>
      </w:pPr>
      <w:r>
        <w:rPr>
          <w:rFonts w:ascii="Courier New" w:hAnsi="Courier New"/>
          <w:sz w:val="16"/>
        </w:rPr>
        <w:t>4-Likely │                          R-06, R-09              R-02</w:t>
      </w:r>
    </w:p>
    <w:p>
      <w:pPr>
        <w:spacing w:before="0" w:after="0"/>
      </w:pPr>
      <w:r>
        <w:rPr>
          <w:rFonts w:ascii="Courier New" w:hAnsi="Courier New"/>
          <w:sz w:val="16"/>
        </w:rPr>
        <w:t>─────────┼──────────────────────────────────────────────────────────────</w:t>
      </w:r>
    </w:p>
    <w:p>
      <w:pPr>
        <w:spacing w:before="0" w:after="0"/>
      </w:pPr>
      <w:r>
        <w:rPr>
          <w:rFonts w:ascii="Courier New" w:hAnsi="Courier New"/>
          <w:sz w:val="16"/>
        </w:rPr>
        <w:t>3-Possi- │              R-12                    R-04,</w:t>
      </w:r>
    </w:p>
    <w:p>
      <w:pPr>
        <w:spacing w:before="0" w:after="0"/>
      </w:pPr>
      <w:r>
        <w:rPr>
          <w:rFonts w:ascii="Courier New" w:hAnsi="Courier New"/>
          <w:sz w:val="16"/>
        </w:rPr>
        <w:t xml:space="preserve"> ble     │                                      R-05, R-07</w:t>
      </w:r>
    </w:p>
    <w:p>
      <w:pPr>
        <w:spacing w:before="0" w:after="0"/>
      </w:pPr>
      <w:r>
        <w:rPr>
          <w:rFonts w:ascii="Courier New" w:hAnsi="Courier New"/>
          <w:sz w:val="16"/>
        </w:rPr>
        <w:t>─────────┼──────────────────────────────────────────────────────────────</w:t>
      </w:r>
    </w:p>
    <w:p>
      <w:pPr>
        <w:spacing w:before="0" w:after="0"/>
      </w:pPr>
      <w:r>
        <w:rPr>
          <w:rFonts w:ascii="Courier New" w:hAnsi="Courier New"/>
          <w:sz w:val="16"/>
        </w:rPr>
        <w:t>2-Unlike-│                                      R-10        R-08, R-11</w:t>
      </w:r>
    </w:p>
    <w:p>
      <w:pPr>
        <w:spacing w:before="0" w:after="0"/>
      </w:pPr>
      <w:r>
        <w:rPr>
          <w:rFonts w:ascii="Courier New" w:hAnsi="Courier New"/>
          <w:sz w:val="16"/>
        </w:rPr>
        <w:t xml:space="preserve"> ly      │</w:t>
      </w:r>
    </w:p>
    <w:p>
      <w:pPr>
        <w:spacing w:before="0" w:after="0"/>
      </w:pPr>
      <w:r>
        <w:rPr>
          <w:rFonts w:ascii="Courier New" w:hAnsi="Courier New"/>
          <w:sz w:val="16"/>
        </w:rPr>
        <w:t>─────────┼──────────────────────────────────────────────────────────────</w:t>
      </w:r>
    </w:p>
    <w:p>
      <w:pPr>
        <w:spacing w:before="0" w:after="0"/>
      </w:pPr>
      <w:r>
        <w:rPr>
          <w:rFonts w:ascii="Courier New" w:hAnsi="Courier New"/>
          <w:sz w:val="16"/>
        </w:rPr>
        <w:t>1-Rare   │</w:t>
      </w:r>
    </w:p>
    <w:p>
      <w:pPr>
        <w:spacing w:before="0" w:after="0"/>
      </w:pPr>
      <w:r>
        <w:rPr>
          <w:rFonts w:ascii="Courier New" w:hAnsi="Courier New"/>
          <w:sz w:val="16"/>
        </w:rPr>
        <w:t>─────────┴──────────────────────────────────────────────────────────────</w:t>
      </w:r>
    </w:p>
    <w:p/>
    <w:p>
      <w:pPr/>
      <w:r>
        <w:t>Risks R-01, R-02, and R-03 in the top-right quadrant are Critical and demand resolution before any public-facing deployment. All three are infrastructural — data integrity, password security, and test coverage — not feature gaps.</w:t>
      </w:r>
    </w:p>
    <w:p>
      <w:pPr>
        <w:pStyle w:val="Heading3"/>
      </w:pPr>
      <w:r>
        <w:t>7.6.5  Critical Risk Narratives</w:t>
      </w:r>
    </w:p>
    <w:p>
      <w:r>
        <w:rPr>
          <w:b/>
        </w:rPr>
        <w:t xml:space="preserve">R-01 — Concurrent Write Data Corruption (Exposure: 25): </w:t>
      </w:r>
      <w:r>
        <w:t>This is the maximum possible exposure score. The root cause is architectural: readDB() → modify → writeDB() is not atomic. On Vercel's serverless platform, multiple function instances execute concurrently. Two API calls can both read the same snapshot, both validate successfully, and both write back — with the second write silently overwriting the first. In stock management terms, a product showing one unit could be sold to two buyers simultaneously. This is a data integrity failure with direct contractual and commercial consequences. It cannot be accepted in production under any circumstances.</w:t>
      </w:r>
    </w:p>
    <w:p>
      <w:r>
        <w:rPr>
          <w:b/>
        </w:rPr>
        <w:t xml:space="preserve">R-02 — Plain-Text Password Storage (Exposure: 20): </w:t>
      </w:r>
      <w:r>
        <w:t>User passwords are stored without cryptographic hashing in the prototype. This was discovered through direct code inspection of register/route.ts (line 23) and confirmed in login/route.ts (line 9). Although db.json is not publicly accessible in the deployed configuration, this is a Critical vulnerability because: (a) a misconfigured deployment or accidental Git commit could expose it; (b) any server-side path traversal would yield all credentials immediately; (c) Kuwaiti users commonly reuse passwords across services. This must be resolved with argon2id or bcrypt before any real user credentials are collected — including in a closed beta.</w:t>
      </w:r>
    </w:p>
    <w:p>
      <w:r>
        <w:rPr>
          <w:b/>
        </w:rPr>
        <w:t xml:space="preserve">R-03 — Silent Regression from Zero Test Coverage (Exposure: 15): </w:t>
      </w:r>
      <w:r>
        <w:t>The absence of any automated test suite means the codebase has no formal specification of correct behaviour. Every change to a shared utility — such as getCurrentUser(), called by all 25 API routes — can introduce a silent regression that only manifests in production. With 11.35 KLOC of production code and no regression safety net, the cost of defect detection is borne entirely by end users. Introducing Vitest is the highest-return investment available after the database migration and password hardening.</w:t>
      </w:r>
    </w:p>
    <w:p>
      <w:pPr>
        <w:pStyle w:val="Heading3"/>
      </w:pPr>
      <w:r>
        <w:t>7.6.6  Residual Risk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r>
              <w:rPr>
                <w:b/>
              </w:rPr>
              <w:t>ID</w:t>
            </w:r>
          </w:p>
        </w:tc>
        <w:tc>
          <w:tcPr>
            <w:tcW w:type="dxa" w:w="3024"/>
          </w:tcPr>
          <w:p>
            <w:r>
              <w:rPr>
                <w:b/>
              </w:rPr>
              <w:t>Risk</w:t>
            </w:r>
          </w:p>
        </w:tc>
        <w:tc>
          <w:tcPr>
            <w:tcW w:type="dxa" w:w="1872"/>
          </w:tcPr>
          <w:p>
            <w:r>
              <w:rPr>
                <w:b/>
              </w:rPr>
              <w:t>Pre-Mitigation</w:t>
            </w:r>
          </w:p>
        </w:tc>
        <w:tc>
          <w:tcPr>
            <w:tcW w:type="dxa" w:w="2736"/>
          </w:tcPr>
          <w:p>
            <w:r>
              <w:rPr>
                <w:b/>
              </w:rPr>
              <w:t>Mitigation Applied</w:t>
            </w:r>
          </w:p>
        </w:tc>
        <w:tc>
          <w:tcPr>
            <w:tcW w:type="dxa" w:w="1008"/>
          </w:tcPr>
          <w:p>
            <w:r>
              <w:rPr>
                <w:b/>
              </w:rPr>
              <w:t>Residual</w:t>
            </w:r>
          </w:p>
        </w:tc>
        <w:tc>
          <w:tcPr>
            <w:tcW w:type="dxa" w:w="1152"/>
          </w:tcPr>
          <w:p>
            <w:r>
              <w:rPr>
                <w:b/>
              </w:rPr>
              <w:t>Level</w:t>
            </w:r>
          </w:p>
        </w:tc>
      </w:tr>
      <w:tr>
        <w:tc>
          <w:tcPr>
            <w:tcW w:type="dxa" w:w="720"/>
          </w:tcPr>
          <w:p>
            <w:r>
              <w:t>R-01</w:t>
            </w:r>
          </w:p>
        </w:tc>
        <w:tc>
          <w:tcPr>
            <w:tcW w:type="dxa" w:w="3024"/>
          </w:tcPr>
          <w:p>
            <w:r>
              <w:t>Concurrent Write Data Corruption</w:t>
            </w:r>
          </w:p>
        </w:tc>
        <w:tc>
          <w:tcPr>
            <w:tcW w:type="dxa" w:w="1872"/>
          </w:tcPr>
          <w:p>
            <w:r>
              <w:t>25 — CRITICAL</w:t>
            </w:r>
          </w:p>
        </w:tc>
        <w:tc>
          <w:tcPr>
            <w:tcW w:type="dxa" w:w="2736"/>
          </w:tcPr>
          <w:p>
            <w:r>
              <w:t>PostgreSQL ACID transactions</w:t>
            </w:r>
          </w:p>
        </w:tc>
        <w:tc>
          <w:tcPr>
            <w:tcW w:type="dxa" w:w="1008"/>
          </w:tcPr>
          <w:p>
            <w:r>
              <w:t>2</w:t>
            </w:r>
          </w:p>
        </w:tc>
        <w:tc>
          <w:tcPr>
            <w:tcW w:type="dxa" w:w="1152"/>
          </w:tcPr>
          <w:p>
            <w:r>
              <w:t>LOW</w:t>
            </w:r>
          </w:p>
        </w:tc>
      </w:tr>
      <w:tr>
        <w:tc>
          <w:tcPr>
            <w:tcW w:type="dxa" w:w="720"/>
          </w:tcPr>
          <w:p>
            <w:r>
              <w:t>R-02</w:t>
            </w:r>
          </w:p>
        </w:tc>
        <w:tc>
          <w:tcPr>
            <w:tcW w:type="dxa" w:w="3024"/>
          </w:tcPr>
          <w:p>
            <w:r>
              <w:t>Plain-Text Password Storage</w:t>
            </w:r>
          </w:p>
        </w:tc>
        <w:tc>
          <w:tcPr>
            <w:tcW w:type="dxa" w:w="1872"/>
          </w:tcPr>
          <w:p>
            <w:r>
              <w:t>20 — CRITICAL</w:t>
            </w:r>
          </w:p>
        </w:tc>
        <w:tc>
          <w:tcPr>
            <w:tcW w:type="dxa" w:w="2736"/>
          </w:tcPr>
          <w:p>
            <w:r>
              <w:t>argon2id hashing + audit</w:t>
            </w:r>
          </w:p>
        </w:tc>
        <w:tc>
          <w:tcPr>
            <w:tcW w:type="dxa" w:w="1008"/>
          </w:tcPr>
          <w:p>
            <w:r>
              <w:t>3</w:t>
            </w:r>
          </w:p>
        </w:tc>
        <w:tc>
          <w:tcPr>
            <w:tcW w:type="dxa" w:w="1152"/>
          </w:tcPr>
          <w:p>
            <w:r>
              <w:t>LOW</w:t>
            </w:r>
          </w:p>
        </w:tc>
      </w:tr>
      <w:tr>
        <w:tc>
          <w:tcPr>
            <w:tcW w:type="dxa" w:w="720"/>
          </w:tcPr>
          <w:p>
            <w:r>
              <w:t>R-03</w:t>
            </w:r>
          </w:p>
        </w:tc>
        <w:tc>
          <w:tcPr>
            <w:tcW w:type="dxa" w:w="3024"/>
          </w:tcPr>
          <w:p>
            <w:r>
              <w:t>Zero Test Coverage</w:t>
            </w:r>
          </w:p>
        </w:tc>
        <w:tc>
          <w:tcPr>
            <w:tcW w:type="dxa" w:w="1872"/>
          </w:tcPr>
          <w:p>
            <w:r>
              <w:t>15 — CRITICAL</w:t>
            </w:r>
          </w:p>
        </w:tc>
        <w:tc>
          <w:tcPr>
            <w:tcW w:type="dxa" w:w="2736"/>
          </w:tcPr>
          <w:p>
            <w:r>
              <w:t>Vitest + CI coverage gate</w:t>
            </w:r>
          </w:p>
        </w:tc>
        <w:tc>
          <w:tcPr>
            <w:tcW w:type="dxa" w:w="1008"/>
          </w:tcPr>
          <w:p>
            <w:r>
              <w:t>6</w:t>
            </w:r>
          </w:p>
        </w:tc>
        <w:tc>
          <w:tcPr>
            <w:tcW w:type="dxa" w:w="1152"/>
          </w:tcPr>
          <w:p>
            <w:r>
              <w:t>MEDIUM</w:t>
            </w:r>
          </w:p>
        </w:tc>
      </w:tr>
      <w:tr>
        <w:tc>
          <w:tcPr>
            <w:tcW w:type="dxa" w:w="720"/>
          </w:tcPr>
          <w:p>
            <w:r>
              <w:t>R-04</w:t>
            </w:r>
          </w:p>
        </w:tc>
        <w:tc>
          <w:tcPr>
            <w:tcW w:type="dxa" w:w="3024"/>
          </w:tcPr>
          <w:p>
            <w:r>
              <w:t>Security Re-Exposure</w:t>
            </w:r>
          </w:p>
        </w:tc>
        <w:tc>
          <w:tcPr>
            <w:tcW w:type="dxa" w:w="1872"/>
          </w:tcPr>
          <w:p>
            <w:r>
              <w:t>12 — HIGH</w:t>
            </w:r>
          </w:p>
        </w:tc>
        <w:tc>
          <w:tcPr>
            <w:tcW w:type="dxa" w:w="2736"/>
          </w:tcPr>
          <w:p>
            <w:r>
              <w:t>OWASP audit + Snyk CI</w:t>
            </w:r>
          </w:p>
        </w:tc>
        <w:tc>
          <w:tcPr>
            <w:tcW w:type="dxa" w:w="1008"/>
          </w:tcPr>
          <w:p>
            <w:r>
              <w:t>4</w:t>
            </w:r>
          </w:p>
        </w:tc>
        <w:tc>
          <w:tcPr>
            <w:tcW w:type="dxa" w:w="1152"/>
          </w:tcPr>
          <w:p>
            <w:r>
              <w:t>LOW</w:t>
            </w:r>
          </w:p>
        </w:tc>
      </w:tr>
      <w:tr>
        <w:tc>
          <w:tcPr>
            <w:tcW w:type="dxa" w:w="720"/>
          </w:tcPr>
          <w:p>
            <w:r>
              <w:t>R-05</w:t>
            </w:r>
          </w:p>
        </w:tc>
        <w:tc>
          <w:tcPr>
            <w:tcW w:type="dxa" w:w="3024"/>
          </w:tcPr>
          <w:p>
            <w:r>
              <w:t>Migration Delay</w:t>
            </w:r>
          </w:p>
        </w:tc>
        <w:tc>
          <w:tcPr>
            <w:tcW w:type="dxa" w:w="1872"/>
          </w:tcPr>
          <w:p>
            <w:r>
              <w:t>12 — HIGH</w:t>
            </w:r>
          </w:p>
        </w:tc>
        <w:tc>
          <w:tcPr>
            <w:tcW w:type="dxa" w:w="2736"/>
          </w:tcPr>
          <w:p>
            <w:r>
              <w:t>Phased plan with rollback</w:t>
            </w:r>
          </w:p>
        </w:tc>
        <w:tc>
          <w:tcPr>
            <w:tcW w:type="dxa" w:w="1008"/>
          </w:tcPr>
          <w:p>
            <w:r>
              <w:t>6</w:t>
            </w:r>
          </w:p>
        </w:tc>
        <w:tc>
          <w:tcPr>
            <w:tcW w:type="dxa" w:w="1152"/>
          </w:tcPr>
          <w:p>
            <w:r>
              <w:t>MEDIUM</w:t>
            </w:r>
          </w:p>
        </w:tc>
      </w:tr>
      <w:tr>
        <w:tc>
          <w:tcPr>
            <w:tcW w:type="dxa" w:w="720"/>
          </w:tcPr>
          <w:p>
            <w:r>
              <w:t>R-06</w:t>
            </w:r>
          </w:p>
        </w:tc>
        <w:tc>
          <w:tcPr>
            <w:tcW w:type="dxa" w:w="3024"/>
          </w:tcPr>
          <w:p>
            <w:r>
              <w:t>Scope Creep</w:t>
            </w:r>
          </w:p>
        </w:tc>
        <w:tc>
          <w:tcPr>
            <w:tcW w:type="dxa" w:w="1872"/>
          </w:tcPr>
          <w:p>
            <w:r>
              <w:t>12 — HIGH</w:t>
            </w:r>
          </w:p>
        </w:tc>
        <w:tc>
          <w:tcPr>
            <w:tcW w:type="dxa" w:w="2736"/>
          </w:tcPr>
          <w:p>
            <w:r>
              <w:t>CCB + MoSCoW backlog</w:t>
            </w:r>
          </w:p>
        </w:tc>
        <w:tc>
          <w:tcPr>
            <w:tcW w:type="dxa" w:w="1008"/>
          </w:tcPr>
          <w:p>
            <w:r>
              <w:t>6</w:t>
            </w:r>
          </w:p>
        </w:tc>
        <w:tc>
          <w:tcPr>
            <w:tcW w:type="dxa" w:w="1152"/>
          </w:tcPr>
          <w:p>
            <w:r>
              <w:t>MEDIUM</w:t>
            </w:r>
          </w:p>
        </w:tc>
      </w:tr>
      <w:tr>
        <w:tc>
          <w:tcPr>
            <w:tcW w:type="dxa" w:w="720"/>
          </w:tcPr>
          <w:p>
            <w:r>
              <w:t>R-07</w:t>
            </w:r>
          </w:p>
        </w:tc>
        <w:tc>
          <w:tcPr>
            <w:tcW w:type="dxa" w:w="3024"/>
          </w:tcPr>
          <w:p>
            <w:r>
              <w:t>Data Privacy Non-Compliance</w:t>
            </w:r>
          </w:p>
        </w:tc>
        <w:tc>
          <w:tcPr>
            <w:tcW w:type="dxa" w:w="1872"/>
          </w:tcPr>
          <w:p>
            <w:r>
              <w:t>12 — HIGH</w:t>
            </w:r>
          </w:p>
        </w:tc>
        <w:tc>
          <w:tcPr>
            <w:tcW w:type="dxa" w:w="2736"/>
          </w:tcPr>
          <w:p>
            <w:r>
              <w:t>Legal review + PDPL controls</w:t>
            </w:r>
          </w:p>
        </w:tc>
        <w:tc>
          <w:tcPr>
            <w:tcW w:type="dxa" w:w="1008"/>
          </w:tcPr>
          <w:p>
            <w:r>
              <w:t>4</w:t>
            </w:r>
          </w:p>
        </w:tc>
        <w:tc>
          <w:tcPr>
            <w:tcW w:type="dxa" w:w="1152"/>
          </w:tcPr>
          <w:p>
            <w:r>
              <w:t>LOW</w:t>
            </w:r>
          </w:p>
        </w:tc>
      </w:tr>
      <w:tr>
        <w:tc>
          <w:tcPr>
            <w:tcW w:type="dxa" w:w="720"/>
          </w:tcPr>
          <w:p>
            <w:r>
              <w:t>R-08</w:t>
            </w:r>
          </w:p>
        </w:tc>
        <w:tc>
          <w:tcPr>
            <w:tcW w:type="dxa" w:w="3024"/>
          </w:tcPr>
          <w:p>
            <w:r>
              <w:t>Vendor Dependency</w:t>
            </w:r>
          </w:p>
        </w:tc>
        <w:tc>
          <w:tcPr>
            <w:tcW w:type="dxa" w:w="1872"/>
          </w:tcPr>
          <w:p>
            <w:r>
              <w:t>10 — HIGH</w:t>
            </w:r>
          </w:p>
        </w:tc>
        <w:tc>
          <w:tcPr>
            <w:tcW w:type="dxa" w:w="2736"/>
          </w:tcPr>
          <w:p>
            <w:r>
              <w:t>Daily export + abstraction layer</w:t>
            </w:r>
          </w:p>
        </w:tc>
        <w:tc>
          <w:tcPr>
            <w:tcW w:type="dxa" w:w="1008"/>
          </w:tcPr>
          <w:p>
            <w:r>
              <w:t>5</w:t>
            </w:r>
          </w:p>
        </w:tc>
        <w:tc>
          <w:tcPr>
            <w:tcW w:type="dxa" w:w="1152"/>
          </w:tcPr>
          <w:p>
            <w:r>
              <w:t>MEDIUM</w:t>
            </w:r>
          </w:p>
        </w:tc>
      </w:tr>
      <w:tr>
        <w:tc>
          <w:tcPr>
            <w:tcW w:type="dxa" w:w="720"/>
          </w:tcPr>
          <w:p>
            <w:r>
              <w:t>R-09</w:t>
            </w:r>
          </w:p>
        </w:tc>
        <w:tc>
          <w:tcPr>
            <w:tcW w:type="dxa" w:w="3024"/>
          </w:tcPr>
          <w:p>
            <w:r>
              <w:t>Performance Under Load</w:t>
            </w:r>
          </w:p>
        </w:tc>
        <w:tc>
          <w:tcPr>
            <w:tcW w:type="dxa" w:w="1872"/>
          </w:tcPr>
          <w:p>
            <w:r>
              <w:t>12 — HIGH</w:t>
            </w:r>
          </w:p>
        </w:tc>
        <w:tc>
          <w:tcPr>
            <w:tcW w:type="dxa" w:w="2736"/>
          </w:tcPr>
          <w:p>
            <w:r>
              <w:t>PostgreSQL + async I/O</w:t>
            </w:r>
          </w:p>
        </w:tc>
        <w:tc>
          <w:tcPr>
            <w:tcW w:type="dxa" w:w="1008"/>
          </w:tcPr>
          <w:p>
            <w:r>
              <w:t>3</w:t>
            </w:r>
          </w:p>
        </w:tc>
        <w:tc>
          <w:tcPr>
            <w:tcW w:type="dxa" w:w="1152"/>
          </w:tcPr>
          <w:p>
            <w:r>
              <w:t>LOW</w:t>
            </w:r>
          </w:p>
        </w:tc>
      </w:tr>
      <w:tr>
        <w:tc>
          <w:tcPr>
            <w:tcW w:type="dxa" w:w="720"/>
          </w:tcPr>
          <w:p>
            <w:r>
              <w:t>R-10</w:t>
            </w:r>
          </w:p>
        </w:tc>
        <w:tc>
          <w:tcPr>
            <w:tcW w:type="dxa" w:w="3024"/>
          </w:tcPr>
          <w:p>
            <w:r>
              <w:t>Key Personnel Dependency</w:t>
            </w:r>
          </w:p>
        </w:tc>
        <w:tc>
          <w:tcPr>
            <w:tcW w:type="dxa" w:w="1872"/>
          </w:tcPr>
          <w:p>
            <w:r>
              <w:t>8 — MEDIUM</w:t>
            </w:r>
          </w:p>
        </w:tc>
        <w:tc>
          <w:tcPr>
            <w:tcW w:type="dxa" w:w="2736"/>
          </w:tcPr>
          <w:p>
            <w:r>
              <w:t>Pair programming + ADRs</w:t>
            </w:r>
          </w:p>
        </w:tc>
        <w:tc>
          <w:tcPr>
            <w:tcW w:type="dxa" w:w="1008"/>
          </w:tcPr>
          <w:p>
            <w:r>
              <w:t>4</w:t>
            </w:r>
          </w:p>
        </w:tc>
        <w:tc>
          <w:tcPr>
            <w:tcW w:type="dxa" w:w="1152"/>
          </w:tcPr>
          <w:p>
            <w:r>
              <w:t>LOW</w:t>
            </w:r>
          </w:p>
        </w:tc>
      </w:tr>
      <w:tr>
        <w:tc>
          <w:tcPr>
            <w:tcW w:type="dxa" w:w="720"/>
          </w:tcPr>
          <w:p>
            <w:r>
              <w:t>R-11</w:t>
            </w:r>
          </w:p>
        </w:tc>
        <w:tc>
          <w:tcPr>
            <w:tcW w:type="dxa" w:w="3024"/>
          </w:tcPr>
          <w:p>
            <w:r>
              <w:t>KNET Compliance Failure</w:t>
            </w:r>
          </w:p>
        </w:tc>
        <w:tc>
          <w:tcPr>
            <w:tcW w:type="dxa" w:w="1872"/>
          </w:tcPr>
          <w:p>
            <w:r>
              <w:t>10 — HIGH</w:t>
            </w:r>
          </w:p>
        </w:tc>
        <w:tc>
          <w:tcPr>
            <w:tcW w:type="dxa" w:w="2736"/>
          </w:tcPr>
          <w:p>
            <w:r>
              <w:t>Certified gateway aggregator</w:t>
            </w:r>
          </w:p>
        </w:tc>
        <w:tc>
          <w:tcPr>
            <w:tcW w:type="dxa" w:w="1008"/>
          </w:tcPr>
          <w:p>
            <w:r>
              <w:t>4</w:t>
            </w:r>
          </w:p>
        </w:tc>
        <w:tc>
          <w:tcPr>
            <w:tcW w:type="dxa" w:w="1152"/>
          </w:tcPr>
          <w:p>
            <w:r>
              <w:t>LOW</w:t>
            </w:r>
          </w:p>
        </w:tc>
      </w:tr>
      <w:tr>
        <w:tc>
          <w:tcPr>
            <w:tcW w:type="dxa" w:w="720"/>
          </w:tcPr>
          <w:p>
            <w:r>
              <w:t>R-12</w:t>
            </w:r>
          </w:p>
        </w:tc>
        <w:tc>
          <w:tcPr>
            <w:tcW w:type="dxa" w:w="3024"/>
          </w:tcPr>
          <w:p>
            <w:r>
              <w:t>Arabic RTL Regression</w:t>
            </w:r>
          </w:p>
        </w:tc>
        <w:tc>
          <w:tcPr>
            <w:tcW w:type="dxa" w:w="1872"/>
          </w:tcPr>
          <w:p>
            <w:r>
              <w:t>6 — MEDIUM</w:t>
            </w:r>
          </w:p>
        </w:tc>
        <w:tc>
          <w:tcPr>
            <w:tcW w:type="dxa" w:w="2736"/>
          </w:tcPr>
          <w:p>
            <w:r>
              <w:t>Playwright visual regression + Arabic QA</w:t>
            </w:r>
          </w:p>
        </w:tc>
        <w:tc>
          <w:tcPr>
            <w:tcW w:type="dxa" w:w="1008"/>
          </w:tcPr>
          <w:p>
            <w:r>
              <w:t>2</w:t>
            </w:r>
          </w:p>
        </w:tc>
        <w:tc>
          <w:tcPr>
            <w:tcW w:type="dxa" w:w="1152"/>
          </w:tcPr>
          <w:p>
            <w:r>
              <w:t>LOW</w:t>
            </w:r>
          </w:p>
        </w:tc>
      </w:tr>
    </w:tbl>
    <w:p/>
    <w:p>
      <w:pPr/>
      <w:r>
        <w:t>Overall Residual Assessment: Following full implementation of all mitigations, no risk remains Critical or High. Three risks settle at Medium (R-03, R-05, R-06) reflecting inherent complexity that cannot be fully eliminated. The remaining nine risks reduce to Low, indicating the Kuwait B2B Hub presents an acceptable risk profile for commercial deployment once the three Critical items are resolved. R-02 is a zero-tolerance item: plain-text password storage must be resolved before any real user credentials are collected — even in a closed beta. This is non-negotiable under Kuwait's Personal Data Protection Law.</w:t>
      </w:r>
    </w:p>
    <w:p>
      <w:pPr>
        <w:pStyle w:val="Heading2"/>
      </w:pPr>
      <w:r>
        <w:t>7.7  Root-Cause Analysis — Fishbone Diagram</w:t>
      </w:r>
    </w:p>
    <w:p>
      <w:pPr/>
      <w:r>
        <w:t>The Ishikawa (fishbone) diagram below performs a root-cause analysis for the project's most significant quality deficit: the complete absence of automated test coverage (Risk R-03). The diagram identifies contributing causes across six standard categories: People, Process, Technology, Environment, Materials, and Management.</w:t>
      </w:r>
    </w:p>
    <w:tbl>
      <w:tblPr>
        <w:tblStyle w:val="TableGrid"/>
        <w:tblW w:type="auto" w:w="0"/>
        <w:tblLook w:firstColumn="1" w:firstRow="1" w:lastColumn="0" w:lastRow="0" w:noHBand="0" w:noVBand="1" w:val="04A0"/>
      </w:tblPr>
      <w:tblGrid>
        <w:gridCol w:w="2880"/>
        <w:gridCol w:w="2880"/>
        <w:gridCol w:w="2880"/>
      </w:tblGrid>
      <w:tr>
        <w:tc>
          <w:tcPr>
            <w:tcW w:type="dxa" w:w="1584"/>
          </w:tcPr>
          <w:p>
            <w:r>
              <w:rPr>
                <w:b/>
              </w:rPr>
              <w:t>Category</w:t>
            </w:r>
          </w:p>
        </w:tc>
        <w:tc>
          <w:tcPr>
            <w:tcW w:type="dxa" w:w="2880"/>
          </w:tcPr>
          <w:p>
            <w:r>
              <w:rPr>
                <w:b/>
              </w:rPr>
              <w:t>Contributing Cause</w:t>
            </w:r>
          </w:p>
        </w:tc>
        <w:tc>
          <w:tcPr>
            <w:tcW w:type="dxa" w:w="4896"/>
          </w:tcPr>
          <w:p>
            <w:r>
              <w:rPr>
                <w:b/>
              </w:rPr>
              <w:t>Detail</w:t>
            </w:r>
          </w:p>
        </w:tc>
      </w:tr>
      <w:tr>
        <w:tc>
          <w:tcPr>
            <w:tcW w:type="dxa" w:w="1584"/>
          </w:tcPr>
          <w:p>
            <w:r>
              <w:t>People</w:t>
            </w:r>
          </w:p>
        </w:tc>
        <w:tc>
          <w:tcPr>
            <w:tcW w:type="dxa" w:w="2880"/>
          </w:tcPr>
          <w:p>
            <w:r>
              <w:t>Skill gap in test-driven development</w:t>
            </w:r>
          </w:p>
        </w:tc>
        <w:tc>
          <w:tcPr>
            <w:tcW w:type="dxa" w:w="4896"/>
          </w:tcPr>
          <w:p>
            <w:r>
              <w:t>Team members were proficient in TypeScript and React but lacked prior experience writing Vitest or Jest tests for Next.js App Router patterns.</w:t>
            </w:r>
          </w:p>
        </w:tc>
      </w:tr>
      <w:tr>
        <w:tc>
          <w:tcPr>
            <w:tcW w:type="dxa" w:w="1584"/>
          </w:tcPr>
          <w:p>
            <w:r>
              <w:t>People</w:t>
            </w:r>
          </w:p>
        </w:tc>
        <w:tc>
          <w:tcPr>
            <w:tcW w:type="dxa" w:w="2880"/>
          </w:tcPr>
          <w:p>
            <w:r>
              <w:t>Role concentration on feature delivery</w:t>
            </w:r>
          </w:p>
        </w:tc>
        <w:tc>
          <w:tcPr>
            <w:tcW w:type="dxa" w:w="4896"/>
          </w:tcPr>
          <w:p>
            <w:r>
              <w:t>All four members were assigned to feature subsystems; no dedicated QA role was established, leaving testing as a collective deferred responsibility.</w:t>
            </w:r>
          </w:p>
        </w:tc>
      </w:tr>
      <w:tr>
        <w:tc>
          <w:tcPr>
            <w:tcW w:type="dxa" w:w="1584"/>
          </w:tcPr>
          <w:p>
            <w:r>
              <w:t>Process</w:t>
            </w:r>
          </w:p>
        </w:tc>
        <w:tc>
          <w:tcPr>
            <w:tcW w:type="dxa" w:w="2880"/>
          </w:tcPr>
          <w:p>
            <w:r>
              <w:t>Test infrastructure not included in Sprint 1 Definition of Done</w:t>
            </w:r>
          </w:p>
        </w:tc>
        <w:tc>
          <w:tcPr>
            <w:tcW w:type="dxa" w:w="4896"/>
          </w:tcPr>
          <w:p>
            <w:r>
              <w:t>The project's Definition of Done for Sprint 1 included working authentication but did not mandate a passing test suite, setting a precedent that persisted.</w:t>
            </w:r>
          </w:p>
        </w:tc>
      </w:tr>
      <w:tr>
        <w:tc>
          <w:tcPr>
            <w:tcW w:type="dxa" w:w="1584"/>
          </w:tcPr>
          <w:p>
            <w:r>
              <w:t>Process</w:t>
            </w:r>
          </w:p>
        </w:tc>
        <w:tc>
          <w:tcPr>
            <w:tcW w:type="dxa" w:w="2880"/>
          </w:tcPr>
          <w:p>
            <w:r>
              <w:t>Agile sprint pressure prioritised visible deliverables</w:t>
            </w:r>
          </w:p>
        </w:tc>
        <w:tc>
          <w:tcPr>
            <w:tcW w:type="dxa" w:w="4896"/>
          </w:tcPr>
          <w:p>
            <w:r>
              <w:t>Sprint reviews demonstrated working features to the supervisor; test suites produced no visible sprint output, reducing their perceived sprint priority.</w:t>
            </w:r>
          </w:p>
        </w:tc>
      </w:tr>
      <w:tr>
        <w:tc>
          <w:tcPr>
            <w:tcW w:type="dxa" w:w="1584"/>
          </w:tcPr>
          <w:p>
            <w:r>
              <w:t>Technology</w:t>
            </w:r>
          </w:p>
        </w:tc>
        <w:tc>
          <w:tcPr>
            <w:tcW w:type="dxa" w:w="2880"/>
          </w:tcPr>
          <w:p>
            <w:r>
              <w:t>Next.js App Router test setup complexity</w:t>
            </w:r>
          </w:p>
        </w:tc>
        <w:tc>
          <w:tcPr>
            <w:tcW w:type="dxa" w:w="4896"/>
          </w:tcPr>
          <w:p>
            <w:r>
              <w:t>Testing Next.js Server Components and API Route Handlers with Vitest requires non-trivial configuration (mocking cookies(), headers(), Request/Response). This overhead discouraged early adoption.</w:t>
            </w:r>
          </w:p>
        </w:tc>
      </w:tr>
      <w:tr>
        <w:tc>
          <w:tcPr>
            <w:tcW w:type="dxa" w:w="1584"/>
          </w:tcPr>
          <w:p>
            <w:r>
              <w:t>Technology</w:t>
            </w:r>
          </w:p>
        </w:tc>
        <w:tc>
          <w:tcPr>
            <w:tcW w:type="dxa" w:w="2880"/>
          </w:tcPr>
          <w:p>
            <w:r>
              <w:t>JSON database made integration testing non-deterministic</w:t>
            </w:r>
          </w:p>
        </w:tc>
        <w:tc>
          <w:tcPr>
            <w:tcW w:type="dxa" w:w="4896"/>
          </w:tcPr>
          <w:p>
            <w:r>
              <w:t>Without a proper test database fixture, integration tests would mutate the shared db.json file, making test isolation difficult to guarantee.</w:t>
            </w:r>
          </w:p>
        </w:tc>
      </w:tr>
      <w:tr>
        <w:tc>
          <w:tcPr>
            <w:tcW w:type="dxa" w:w="1584"/>
          </w:tcPr>
          <w:p>
            <w:r>
              <w:t>Environment</w:t>
            </w:r>
          </w:p>
        </w:tc>
        <w:tc>
          <w:tcPr>
            <w:tcW w:type="dxa" w:w="2880"/>
          </w:tcPr>
          <w:p>
            <w:r>
              <w:t>Single shared db.json prevents parallel test execution</w:t>
            </w:r>
          </w:p>
        </w:tc>
        <w:tc>
          <w:tcPr>
            <w:tcW w:type="dxa" w:w="4896"/>
          </w:tcPr>
          <w:p>
            <w:r>
              <w:t>Concurrent test runs on the same flat-file database would produce race conditions, making a test suite actively harmful without PostgreSQL isolation.</w:t>
            </w:r>
          </w:p>
        </w:tc>
      </w:tr>
      <w:tr>
        <w:tc>
          <w:tcPr>
            <w:tcW w:type="dxa" w:w="1584"/>
          </w:tcPr>
          <w:p>
            <w:r>
              <w:t>Management</w:t>
            </w:r>
          </w:p>
        </w:tc>
        <w:tc>
          <w:tcPr>
            <w:tcW w:type="dxa" w:w="2880"/>
          </w:tcPr>
          <w:p>
            <w:r>
              <w:t>No CI/CD pipeline enforcing test gate</w:t>
            </w:r>
          </w:p>
        </w:tc>
        <w:tc>
          <w:tcPr>
            <w:tcW w:type="dxa" w:w="4896"/>
          </w:tcPr>
          <w:p>
            <w:r>
              <w:t>Without a GitHub Actions or Vercel CI configuration requiring tests to pass before merge, there was no automated enforcement mechanism.</w:t>
            </w:r>
          </w:p>
        </w:tc>
      </w:tr>
      <w:tr>
        <w:tc>
          <w:tcPr>
            <w:tcW w:type="dxa" w:w="1584"/>
          </w:tcPr>
          <w:p>
            <w:r>
              <w:t>Management</w:t>
            </w:r>
          </w:p>
        </w:tc>
        <w:tc>
          <w:tcPr>
            <w:tcW w:type="dxa" w:w="2880"/>
          </w:tcPr>
          <w:p>
            <w:r>
              <w:t>Academic timeline prioritised report over test coverage</w:t>
            </w:r>
          </w:p>
        </w:tc>
        <w:tc>
          <w:tcPr>
            <w:tcW w:type="dxa" w:w="4896"/>
          </w:tcPr>
          <w:p>
            <w:r>
              <w:t>The course assessment criteria weighted the final report and presentation above test suite evidence, rationally redirecting effort away from testing.</w:t>
            </w:r>
          </w:p>
        </w:tc>
      </w:tr>
    </w:tbl>
    <w:p/>
    <w:p/>
    <w:p>
      <w:pPr>
        <w:jc w:val="center"/>
      </w:pPr>
      <w:r>
        <w:rPr>
          <w:b/>
          <w:color w:val="888888"/>
          <w:sz w:val="22"/>
        </w:rPr>
        <w:t>[ FIGURE 11 — Fishbone (Ishikawa) Diagram — Root Causes of Zero Test Coverage ]</w:t>
      </w:r>
    </w:p>
    <w:p>
      <w:pPr>
        <w:jc w:val="center"/>
      </w:pPr>
      <w:r>
        <w:rPr>
          <w:i/>
          <w:color w:val="AAAAAA"/>
          <w:sz w:val="18"/>
        </w:rPr>
        <w:t>(Insert diagram / image here)</w:t>
      </w:r>
    </w:p>
    <w:p/>
    <w:p>
      <w:pPr/>
      <w:r>
        <w:t>Recommended corrective action: Implement Vitest as the first Sprint 8 action (SC-02). Configure a GitHub Actions workflow that runs tests on every pull request and blocks merge if coverage falls below 60%. Prioritise the five highest-risk units: getCurrentUser(), POST /api/orders, bulk pricing resolution, the Trust Engine computation, and all admin RBAC guards.</w:t>
      </w:r>
    </w:p>
    <w:p>
      <w:pPr>
        <w:pStyle w:val="Heading1"/>
      </w:pPr>
      <w:r>
        <w:t>CHAPTER VIII — CONCLUSIONS</w:t>
      </w:r>
    </w:p>
    <w:p>
      <w:pPr/>
      <w:r>
        <w:t>This chapter synthesises the key lessons learned during the development of the Kuwait B2B Hub through three analytical lenses: Robert Martin’s seven design smells as applied to the codebase, a SWOT analysis of the platform’s strategic position, and seven concrete recommendations for future work.</w:t>
      </w:r>
    </w:p>
    <w:p>
      <w:pPr>
        <w:pStyle w:val="Heading2"/>
      </w:pPr>
      <w:r>
        <w:t>8.1  Seven Design Smells</w:t>
      </w:r>
    </w:p>
    <w:p>
      <w:pPr/>
      <w:r>
        <w:t>Robert C. Martin’s seven design smells (Agile Software Development, 2002) provide a principled vocabulary for diagnosing structural weaknesses in object-oriented systems. Each smell is examined below against evidence drawn directly from the Kuwait B2B Hub codebase, together with the resolution taken or planned.</w:t>
      </w:r>
    </w:p>
    <w:p>
      <w:pPr>
        <w:pStyle w:val="Heading3"/>
      </w:pPr>
      <w:r>
        <w:t>Smell 1 — Rigidity</w:t>
      </w:r>
    </w:p>
    <w:p>
      <w:pPr/>
      <w:r>
        <w:t>Problem Statement: Rigidity describes a design so tightly interwoven that a change to one module forces a cascade of modifications throughout the system. In the Kuwait B2B Hub, the most prominent instance of rigidity manifests in the readDB() / writeDB() data access pattern shared across all 25 API route handlers. Every handler in src/app/api/ imports these two functions from src/lib/db.ts and calls them directly, creating a fan-out dependency that spans the entire backend. Any structural change to the Database interface — for example, renaming the orders collection or adding a mandatory non-nullable field to the User interface — requires simultaneous edits across every route file.</w:t>
      </w:r>
    </w:p>
    <w:p>
      <w:pPr/>
      <w:r>
        <w:t>Concrete Example: The Product interface in db.ts was extended with the bulk_pricing_tiers: BulkPricingTier[] field in CR-006. This required modifications to the POST /api/orders handler (unit price resolution logic), the POST /api/products handler (insert path), the PATCH /api/products/[id] handler (update path), and the UI form in the product creation page — four separate files changed for one data model extension.</w:t>
      </w:r>
    </w:p>
    <w:p>
      <w:pPr/>
      <w:r>
        <w:t>Resolution: The team mitigated rigidity by encapsulating all storage operations behind the three utility functions (readDB(), writeDB(), generateId()), ensuring that the underlying storage implementation can be replaced without altering route-level business logic. The PostgreSQL migration planned for Year 1 (SC-01) will complete this abstraction by introducing a repository layer that isolates SQL query syntax from the application domain entirely, reducing the blast radius of future schema changes to a single module.</w:t>
      </w:r>
    </w:p>
    <w:p>
      <w:pPr>
        <w:pStyle w:val="Heading3"/>
      </w:pPr>
      <w:r>
        <w:t>Smell 2 — Fragility</w:t>
      </w:r>
    </w:p>
    <w:p>
      <w:pPr/>
      <w:r>
        <w:t>Problem Statement: A fragile system breaks in unexpected places when a change is made elsewhere. Fragility typically indicates hidden coupling between modules that share state through implicit channels rather than explicit interfaces. The Kuwait B2B Hub exhibits fragility at the boundary between the authentication system and the real-time notification infrastructure.</w:t>
      </w:r>
    </w:p>
    <w:p>
      <w:pPr/>
      <w:r>
        <w:t>Concrete Example: The RealtimeProvider.tsx component subscribes to Supabase Realtime channels using the user session established by getCurrentUser(). If getCurrentUser() returns null during session expiry or a brief Supabase Auth service interruption, the subscription attempt silently fails and the client receives no error feedback. The notification bell becomes unresponsive without any visible error state, and the failure manifests several component layers removed from the authentication guard that caused it. This is a textbook fragility: a change to the authentication system (session expiry behaviour) breaks the notification system without any compile-time or runtime warning.</w:t>
      </w:r>
    </w:p>
    <w:p>
      <w:pPr/>
      <w:r>
        <w:t>Resolution: The team addressed this fragility by adding explicit null guards in useRealtimeNotifications.ts and configuring the Zustand notification store to degrade gracefully to an empty unread count rather than propagating an uncaught exception. Long-term, the introduction of a formal circuit-breaker pattern around all Supabase Realtime subscriptions, combined with visible UI indicators for connection status, will eliminate the silent failure mode.</w:t>
      </w:r>
    </w:p>
    <w:p>
      <w:pPr>
        <w:pStyle w:val="Heading3"/>
      </w:pPr>
      <w:r>
        <w:t>Smell 3 — Immobility</w:t>
      </w:r>
    </w:p>
    <w:p>
      <w:pPr/>
      <w:r>
        <w:t>Problem Statement: A design is immobile when useful components cannot be extracted and reused in other contexts because they are too entangled with the surrounding code. Immobility is particularly costly when it affects high-value domain logic that would benefit multiple consumers.</w:t>
      </w:r>
    </w:p>
    <w:p>
      <w:pPr/>
      <w:r>
        <w:t>Concrete Example: The Trust Engine — the subsystem that calculates response_rate, completion_rate, avg_fulfillment_days, and assigns GCC-calibrated badges for BrandTrust and BuyerTrust — represents the platform’s most distinctive domain logic and core competitive differentiation. However, the scoring calculations were developed inline with the admin dashboard pages rather than isolated in a dedicated service module. This coupling prevents the Trust Engine from being independently unit-tested, reused in a future mobile API, or exposed as a standalone analytics endpoint without first disentangling it from the presentation layer.</w:t>
      </w:r>
    </w:p>
    <w:p>
      <w:pPr/>
      <w:r>
        <w:t>Resolution: The contrast with src/lib/currencies.ts is instructive: the currency configuration module is a pure, context-free data module that is successfully consumed by the CurrencySelector component, the exchange-rate API handler, and all price formatting utilities with zero coupling. The planned resolution is to extract the Trust Engine scoring functions into a dedicated src/lib/trustEngine.ts service module, exposing pure functions with typed inputs and outputs that can be tested in isolation and consumed by any future consumer without modification.</w:t>
      </w:r>
    </w:p>
    <w:p>
      <w:pPr>
        <w:pStyle w:val="Heading3"/>
      </w:pPr>
      <w:r>
        <w:t>Smell 4 — Viscosity</w:t>
      </w:r>
    </w:p>
    <w:p>
      <w:pPr/>
      <w:r>
        <w:t>Problem Statement: Viscosity occurs when preserving the designed architectural intent requires more effort than taking a shortcut, tempting developers to introduce hacks that gradually degrade the design. Viscosity has two forms: design viscosity (the right approach is harder than the wrong one) and environment viscosity (the development environment is slow and discourages discipline).</w:t>
      </w:r>
    </w:p>
    <w:p>
      <w:pPr/>
      <w:r>
        <w:t>Concrete Example: During CR-003 (Arabic RTL support, version 3.2.0.0 to 3.3.0.0), the team encountered severe design viscosity in the internationalisation layer. Adding a localised string to a component the correct way — by adding a key to both messages/en.json and messages/ar.json and using the useTranslations() hook with the next-intl API — required navigating and editing four separate files per string addition. The easier path was to hard-code English strings directly in the component JSX, which earlier sprints had normalised. This viscosity caused an estimated 40% of string literals across 24 components to bypass the translation system, necessitating the large-scale migration effort in CR-003.</w:t>
      </w:r>
    </w:p>
    <w:p>
      <w:pPr/>
      <w:r>
        <w:t>Resolution: CR-003 addressed the immediate debt by completing the full migration to next-intl across all 24 affected components. Three Python audit scripts (find_missing_keys.py, audit_translations.py, find_all_missing_keys.py) were introduced to detect translation drift during future development, reducing the environment friction of maintaining bilingual parity. A pre-commit linting rule prohibiting bare string literals in JSX is recommended as the permanent viscosity barrier.</w:t>
      </w:r>
    </w:p>
    <w:p>
      <w:pPr>
        <w:pStyle w:val="Heading3"/>
      </w:pPr>
      <w:r>
        <w:t>Smell 5 — Needless Complexity</w:t>
      </w:r>
    </w:p>
    <w:p>
      <w:pPr/>
      <w:r>
        <w:t>Problem Statement: Needless complexity arises when infrastructure or abstractions are introduced speculatively before there is a concrete requirement, increasing cognitive load without delivering immediate value. The canonical cause is over-engineering driven by anticipation of requirements that may never materialise.</w:t>
      </w:r>
    </w:p>
    <w:p>
      <w:pPr/>
      <w:r>
        <w:t>Concrete Example: The CURRENCIES registry in src/lib/currencies.ts defines six GCC currencies — KWD, SAR, AED, QAR, BHD, and OMR — each with a full CurrencyConfig interface encompassing vatRate, ISO 4217 code, decimal precision, locale string, phone prefix, date format, and emoji flag. At the time of submission, the prototype processes all orders exclusively in Kuwaiti Dinar. Live exchange rate integration, multi-currency invoicing, and GCC market routing are all planned enhancements not present in the submitted build.</w:t>
      </w:r>
    </w:p>
    <w:p>
      <w:pPr/>
      <w:r>
        <w:t>Resolution: The team’s position — supported by the GCC expansion roadmap in Section 6.3 (SC-07) — is that this represents intentional forward-looking architecture rather than speculative complexity. The CURRENCIES registry is purely declarative with zero runtime cost when GCC currencies are inactive. Building multi-currency configuration into the data layer from the outset avoids the far larger refactoring effort that would be required at expansion time. This design decision is classified as a managed architectural trade-off: the complexity is real but the justification is documented and the future activation path is clear.</w:t>
      </w:r>
    </w:p>
    <w:p>
      <w:pPr>
        <w:pStyle w:val="Heading3"/>
      </w:pPr>
      <w:r>
        <w:t>Smell 6 — Needless Repetition</w:t>
      </w:r>
    </w:p>
    <w:p>
      <w:pPr/>
      <w:r>
        <w:t>Problem Statement: Needless repetition occurs when structurally identical code appears in multiple locations because the team has not applied a suitable abstraction. Unlike simple copy-paste duplication, the most insidious form of this smell involves patterns that are conceptually identical but expressed slightly differently in each location, making them invisible to naive text search.</w:t>
      </w:r>
    </w:p>
    <w:p>
      <w:pPr/>
      <w:r>
        <w:t>Concrete Example: The RBAC authentication guard sequence opens every API route handler in the codebase. The pattern — await getCurrentUser() followed by a null check returning HTTP 401 Unauthorized — appears verbatim in all 25 route files. Role checks such as verifying user.role === 'admin' or user.role === 'buyer' appear in further variants throughout the same files. While the getCurrentUser() call itself is a correct application of the DRY principle, the null-check guard construction and the role-assertion pattern are duplicated across all 25 handlers, representing an abstraction opportunity that was not taken.</w:t>
      </w:r>
    </w:p>
    <w:p>
      <w:pPr/>
      <w:r>
        <w:t>Resolution: A higher-order function wrapper — for example, withAuth(handler, requiredRole) that returns a wrapped handler pre-armed with the guard logic — or a Next.js Middleware extension would eliminate this repetition while making the access control policy more declarative and centrally enforceable. A single change to the wrapper function would propagate to all 25 routes simultaneously, dramatically reducing the surface area for security-relevant modifications. This refactoring is targeted for the Year 1 API layer hardening sprint.</w:t>
      </w:r>
    </w:p>
    <w:p>
      <w:pPr>
        <w:pStyle w:val="Heading3"/>
      </w:pPr>
      <w:r>
        <w:t>Smell 7 — Opacity</w:t>
      </w:r>
    </w:p>
    <w:p>
      <w:pPr/>
      <w:r>
        <w:t>Problem Statement: Opacity describes code or design structures whose intent and constraints are unclear to a reader who was not involved in their original creation. Opacity is particularly dangerous when it conceals non-obvious invariants or preconditions that, if violated, produce subtle and hard-to-reproduce failures.</w:t>
      </w:r>
    </w:p>
    <w:p>
      <w:pPr/>
      <w:r>
        <w:t>Concrete Example: The JSON prototype database architecture is the most opaque construct in the codebase. The readDB() → db.entity.push(item) → writeDB(db) cycle in every API route handler does not self-document the fact that it provides no ACID guarantees, no concurrent write protection, and no rollback capability. A developer onboarding to the project and adding a new feature is unlikely to recognise that two simultaneous calls to readDB() will read the same snapshot, and that the second writeDB() will silently overwrite the first — the root cause of R-01, the highest-exposure risk in the Risk Assessment Matrix (Exposure Score: 25).</w:t>
      </w:r>
    </w:p>
    <w:p>
      <w:pPr/>
      <w:r>
        <w:t>Resolution: Two actions address this opacity. First, the TypeScript interfaces in src/lib/db.ts make all entity shapes fully explicit and statically checked, ensuring data structure intent is always visible. Second, a prominent warning comment added directly to the readDB() and writeDB() function signatures — documenting the concurrency limitation, the overwite risk, and the planned PostgreSQL migration path — would serve as a zero-cost safety net for any developer who reads the file. Long-term, the PostgreSQL migration (SC-01) eliminates the opacity by replacing the implicit concurrency model with ACID-compliant transactions whose guarantees are formally specified and universally understood.</w:t>
      </w:r>
    </w:p>
    <w:p>
      <w:pPr>
        <w:pStyle w:val="Heading2"/>
      </w:pPr>
      <w:r>
        <w:t>8.2  SWOT Analysis</w:t>
      </w:r>
    </w:p>
    <w:p>
      <w:pPr/>
      <w:r>
        <w:t>The following SWOT analysis evaluates the Kuwait B2B Hub’s strategic position as a prototype-stage platform at the time of final submission. Each quadrant contains four items grounded in evidence from the technical and domain analysis conducted throughout this report.</w:t>
      </w:r>
    </w:p>
    <w:tbl>
      <w:tblPr>
        <w:tblStyle w:val="TableGrid"/>
        <w:tblW w:type="auto" w:w="0"/>
        <w:tblLook w:firstColumn="1" w:firstRow="1" w:lastColumn="0" w:lastRow="0" w:noHBand="0" w:noVBand="1" w:val="04A0"/>
      </w:tblPr>
      <w:tblGrid>
        <w:gridCol w:w="2880"/>
        <w:gridCol w:w="2880"/>
        <w:gridCol w:w="2880"/>
      </w:tblGrid>
      <w:tr>
        <w:tc>
          <w:tcPr>
            <w:tcW w:type="dxa" w:w="1296"/>
          </w:tcPr>
          <w:p>
            <w:r>
              <w:rPr>
                <w:b/>
              </w:rPr>
              <w:t>Quadrant</w:t>
            </w:r>
          </w:p>
        </w:tc>
        <w:tc>
          <w:tcPr>
            <w:tcW w:type="dxa" w:w="2880"/>
          </w:tcPr>
          <w:p>
            <w:r>
              <w:rPr>
                <w:b/>
              </w:rPr>
              <w:t>Item</w:t>
            </w:r>
          </w:p>
        </w:tc>
        <w:tc>
          <w:tcPr>
            <w:tcW w:type="dxa" w:w="5184"/>
          </w:tcPr>
          <w:p>
            <w:r>
              <w:rPr>
                <w:b/>
              </w:rPr>
              <w:t>Evidence / Justification</w:t>
            </w:r>
          </w:p>
        </w:tc>
      </w:tr>
      <w:tr>
        <w:tc>
          <w:tcPr>
            <w:tcW w:type="dxa" w:w="1296"/>
          </w:tcPr>
          <w:p>
            <w:r>
              <w:t>STRENGTH</w:t>
            </w:r>
          </w:p>
        </w:tc>
        <w:tc>
          <w:tcPr>
            <w:tcW w:type="dxa" w:w="2880"/>
          </w:tcPr>
          <w:p>
            <w:r>
              <w:t>TypeScript strict-mode codebase (93 files)</w:t>
            </w:r>
          </w:p>
        </w:tc>
        <w:tc>
          <w:tcPr>
            <w:tcW w:type="dxa" w:w="5184"/>
          </w:tcPr>
          <w:p>
            <w:r>
              <w:t>Compile-time type safety eliminates entire classes of runtime errors. All 10 data entity interfaces are formally typed in db.ts, enforced across API routes, components, and hooks.</w:t>
            </w:r>
          </w:p>
        </w:tc>
      </w:tr>
      <w:tr>
        <w:tc>
          <w:tcPr>
            <w:tcW w:type="dxa" w:w="1296"/>
          </w:tcPr>
          <w:p>
            <w:r>
              <w:t>STRENGTH</w:t>
            </w:r>
          </w:p>
        </w:tc>
        <w:tc>
          <w:tcPr>
            <w:tcW w:type="dxa" w:w="2880"/>
          </w:tcPr>
          <w:p>
            <w:r>
              <w:t>Bilingual Arabic / English with full RTL layout</w:t>
            </w:r>
          </w:p>
        </w:tc>
        <w:tc>
          <w:tcPr>
            <w:tcW w:type="dxa" w:w="5184"/>
          </w:tcPr>
          <w:p>
            <w:r>
              <w:t>next-intl v4.9 with complete messages/ar.json and messages/en.json. RTL layout switching is server-rendered, ensuring first-load correctness for Arabic users.</w:t>
            </w:r>
          </w:p>
        </w:tc>
      </w:tr>
      <w:tr>
        <w:tc>
          <w:tcPr>
            <w:tcW w:type="dxa" w:w="1296"/>
          </w:tcPr>
          <w:p>
            <w:r>
              <w:t>STRENGTH</w:t>
            </w:r>
          </w:p>
        </w:tc>
        <w:tc>
          <w:tcPr>
            <w:tcW w:type="dxa" w:w="2880"/>
          </w:tcPr>
          <w:p>
            <w:r>
              <w:t>Differentiated Trust Engine unique to Kuwait/GCC</w:t>
            </w:r>
          </w:p>
        </w:tc>
        <w:tc>
          <w:tcPr>
            <w:tcW w:type="dxa" w:w="5184"/>
          </w:tcPr>
          <w:p>
            <w:r>
              <w:t>BrandTrust and BuyerTrust scoring (response_rate, completion_rate, avg_fulfillment_days, GCC-calibrated badges) is custom-built domain IP with no direct equivalent in existing GCC B2B platforms.</w:t>
            </w:r>
          </w:p>
        </w:tc>
      </w:tr>
      <w:tr>
        <w:tc>
          <w:tcPr>
            <w:tcW w:type="dxa" w:w="1296"/>
          </w:tcPr>
          <w:p>
            <w:r>
              <w:t>STRENGTH</w:t>
            </w:r>
          </w:p>
        </w:tc>
        <w:tc>
          <w:tcPr>
            <w:tcW w:type="dxa" w:w="2880"/>
          </w:tcPr>
          <w:p>
            <w:r>
              <w:t>Clean RBAC model enforced at every API boundary</w:t>
            </w:r>
          </w:p>
        </w:tc>
        <w:tc>
          <w:tcPr>
            <w:tcW w:type="dxa" w:w="5184"/>
          </w:tcPr>
          <w:p>
            <w:r>
              <w:t>Three-tier role model (admin, brand_owner, buyer) enforced via getCurrentUser() guard in all 25 API route handlers. Role-specific data filtering prevents cross-tenant data leakage.</w:t>
            </w:r>
          </w:p>
        </w:tc>
      </w:tr>
      <w:tr>
        <w:tc>
          <w:tcPr>
            <w:tcW w:type="dxa" w:w="1296"/>
          </w:tcPr>
          <w:p>
            <w:r>
              <w:t>WEAKNESS</w:t>
            </w:r>
          </w:p>
        </w:tc>
        <w:tc>
          <w:tcPr>
            <w:tcW w:type="dxa" w:w="2880"/>
          </w:tcPr>
          <w:p>
            <w:r>
              <w:t>JSON flat-file database with no transaction isolation</w:t>
            </w:r>
          </w:p>
        </w:tc>
        <w:tc>
          <w:tcPr>
            <w:tcW w:type="dxa" w:w="5184"/>
          </w:tcPr>
          <w:p>
            <w:r>
              <w:t>R-01: Concurrent writes can corrupt stock counts and financial records. readDB()/writeDB() cycle is not atomic. Production deployment is not viable without the PostgreSQL migration (SC-01).</w:t>
            </w:r>
          </w:p>
        </w:tc>
      </w:tr>
      <w:tr>
        <w:tc>
          <w:tcPr>
            <w:tcW w:type="dxa" w:w="1296"/>
          </w:tcPr>
          <w:p>
            <w:r>
              <w:t>WEAKNESS</w:t>
            </w:r>
          </w:p>
        </w:tc>
        <w:tc>
          <w:tcPr>
            <w:tcW w:type="dxa" w:w="2880"/>
          </w:tcPr>
          <w:p>
            <w:r>
              <w:t>Zero automated test coverage across 11.35 KLOC</w:t>
            </w:r>
          </w:p>
        </w:tc>
        <w:tc>
          <w:tcPr>
            <w:tcW w:type="dxa" w:w="5184"/>
          </w:tcPr>
          <w:p>
            <w:r>
              <w:t>R-03: No test runner, no test files, no coverage gate. Every deployment is a manual regression risk. The Trust Engine and RBAC guards have never been tested programmatically.</w:t>
            </w:r>
          </w:p>
        </w:tc>
      </w:tr>
      <w:tr>
        <w:tc>
          <w:tcPr>
            <w:tcW w:type="dxa" w:w="1296"/>
          </w:tcPr>
          <w:p>
            <w:r>
              <w:t>WEAKNESS</w:t>
            </w:r>
          </w:p>
        </w:tc>
        <w:tc>
          <w:tcPr>
            <w:tcW w:type="dxa" w:w="2880"/>
          </w:tcPr>
          <w:p>
            <w:r>
              <w:t>Plain-text password storage in prototype db.json</w:t>
            </w:r>
          </w:p>
        </w:tc>
        <w:tc>
          <w:tcPr>
            <w:tcW w:type="dxa" w:w="5184"/>
          </w:tcPr>
          <w:p>
            <w:r>
              <w:t>R-02: Passwords stored without cryptographic hashing. Any read access to db.json exposes all user credentials. Must be resolved before any real user credentials are collected.</w:t>
            </w:r>
          </w:p>
        </w:tc>
      </w:tr>
      <w:tr>
        <w:tc>
          <w:tcPr>
            <w:tcW w:type="dxa" w:w="1296"/>
          </w:tcPr>
          <w:p>
            <w:r>
              <w:t>WEAKNESS</w:t>
            </w:r>
          </w:p>
        </w:tc>
        <w:tc>
          <w:tcPr>
            <w:tcW w:type="dxa" w:w="2880"/>
          </w:tcPr>
          <w:p>
            <w:r>
              <w:t>No in-platform payment processing</w:t>
            </w:r>
          </w:p>
        </w:tc>
        <w:tc>
          <w:tcPr>
            <w:tcW w:type="dxa" w:w="5184"/>
          </w:tcPr>
          <w:p>
            <w:r>
              <w:t>Orders are confirmed bilaterally via WhatsApp. The platform generates zero financial transactions and cannot produce accounting-compliant records. Commercial viability depends on SC-03.</w:t>
            </w:r>
          </w:p>
        </w:tc>
      </w:tr>
      <w:tr>
        <w:tc>
          <w:tcPr>
            <w:tcW w:type="dxa" w:w="1296"/>
          </w:tcPr>
          <w:p>
            <w:r>
              <w:t>OPPORTUNITY</w:t>
            </w:r>
          </w:p>
        </w:tc>
        <w:tc>
          <w:tcPr>
            <w:tcW w:type="dxa" w:w="2880"/>
          </w:tcPr>
          <w:p>
            <w:r>
              <w:t>GCC regional expansion to 5 additional markets</w:t>
            </w:r>
          </w:p>
        </w:tc>
        <w:tc>
          <w:tcPr>
            <w:tcW w:type="dxa" w:w="5184"/>
          </w:tcPr>
          <w:p>
            <w:r>
              <w:t>SC-07: currencies.ts already defines KWD, SAR, AED, QAR, BHD, OMR with full VAT rates and locale strings. The latent multi-currency architecture requires activation, not rebuilding.</w:t>
            </w:r>
          </w:p>
        </w:tc>
      </w:tr>
      <w:tr>
        <w:tc>
          <w:tcPr>
            <w:tcW w:type="dxa" w:w="1296"/>
          </w:tcPr>
          <w:p>
            <w:r>
              <w:t>OPPORTUNITY</w:t>
            </w:r>
          </w:p>
        </w:tc>
        <w:tc>
          <w:tcPr>
            <w:tcW w:type="dxa" w:w="2880"/>
          </w:tcPr>
          <w:p>
            <w:r>
              <w:t>KNET payment integration to unlock in-platform GMV</w:t>
            </w:r>
          </w:p>
        </w:tc>
        <w:tc>
          <w:tcPr>
            <w:tcW w:type="dxa" w:w="5184"/>
          </w:tcPr>
          <w:p>
            <w:r>
              <w:t>SC-03: Kuwait’s national payment network, supplemented by PayTabs/Stripe for GCC cross-border. Converts the platform from a discovery tool to a revenue-generating commerce platform.</w:t>
            </w:r>
          </w:p>
        </w:tc>
      </w:tr>
      <w:tr>
        <w:tc>
          <w:tcPr>
            <w:tcW w:type="dxa" w:w="1296"/>
          </w:tcPr>
          <w:p>
            <w:r>
              <w:t>OPPORTUNITY</w:t>
            </w:r>
          </w:p>
        </w:tc>
        <w:tc>
          <w:tcPr>
            <w:tcW w:type="dxa" w:w="2880"/>
          </w:tcPr>
          <w:p>
            <w:r>
              <w:t>Mobile PWA conversion targeting 78% mobile-first users</w:t>
            </w:r>
          </w:p>
        </w:tc>
        <w:tc>
          <w:tcPr>
            <w:tcW w:type="dxa" w:w="5184"/>
          </w:tcPr>
          <w:p>
            <w:r>
              <w:t>SC-04: CITRA Kuwait (2024) reports 78% of internet access via mobile. BottomNav.tsx and MobileTopBar.tsx indicate mobile intent; push notification delivery and offline resilience complete the transition.</w:t>
            </w:r>
          </w:p>
        </w:tc>
      </w:tr>
      <w:tr>
        <w:tc>
          <w:tcPr>
            <w:tcW w:type="dxa" w:w="1296"/>
          </w:tcPr>
          <w:p>
            <w:r>
              <w:t>OPPORTUNITY</w:t>
            </w:r>
          </w:p>
        </w:tc>
        <w:tc>
          <w:tcPr>
            <w:tcW w:type="dxa" w:w="2880"/>
          </w:tcPr>
          <w:p>
            <w:r>
              <w:t>AI-powered product recommendations to increase AOV</w:t>
            </w:r>
          </w:p>
        </w:tc>
        <w:tc>
          <w:tcPr>
            <w:tcW w:type="dxa" w:w="5184"/>
          </w:tcPr>
          <w:p>
            <w:r>
              <w:t>SC-05: Collaborative filtering or AWS Personalize integration. B2B buyers in GCC cite supplier product discovery as the primary purchasing friction. Recommendations directly increase average order value.</w:t>
            </w:r>
          </w:p>
        </w:tc>
      </w:tr>
      <w:tr>
        <w:tc>
          <w:tcPr>
            <w:tcW w:type="dxa" w:w="1296"/>
          </w:tcPr>
          <w:p>
            <w:r>
              <w:t>THREAT</w:t>
            </w:r>
          </w:p>
        </w:tc>
        <w:tc>
          <w:tcPr>
            <w:tcW w:type="dxa" w:w="2880"/>
          </w:tcPr>
          <w:p>
            <w:r>
              <w:t>Established GCC competitors with larger user bases</w:t>
            </w:r>
          </w:p>
        </w:tc>
        <w:tc>
          <w:tcPr>
            <w:tcW w:type="dxa" w:w="5184"/>
          </w:tcPr>
          <w:p>
            <w:r>
              <w:t>Tradeling (UAE, est. 2019) reported ~$200M GMV by year 4. Sary (KSA) has secured $75M+ in funding. Both have multi-year head starts and established brand relationships in the region.</w:t>
            </w:r>
          </w:p>
        </w:tc>
      </w:tr>
      <w:tr>
        <w:tc>
          <w:tcPr>
            <w:tcW w:type="dxa" w:w="1296"/>
          </w:tcPr>
          <w:p>
            <w:r>
              <w:t>THREAT</w:t>
            </w:r>
          </w:p>
        </w:tc>
        <w:tc>
          <w:tcPr>
            <w:tcW w:type="dxa" w:w="2880"/>
          </w:tcPr>
          <w:p>
            <w:r>
              <w:t>Kuwait Personal Data Protection Law (PDPL) compliance</w:t>
            </w:r>
          </w:p>
        </w:tc>
        <w:tc>
          <w:tcPr>
            <w:tcW w:type="dxa" w:w="5184"/>
          </w:tcPr>
          <w:p>
            <w:r>
              <w:t>R-07: Law No. 20 of 2014 mandates consent, data retention controls, and breach notification. The platform currently collects PII (name, email, company, WhatsApp) without a privacy policy or consent mechanism.</w:t>
            </w:r>
          </w:p>
        </w:tc>
      </w:tr>
      <w:tr>
        <w:tc>
          <w:tcPr>
            <w:tcW w:type="dxa" w:w="1296"/>
          </w:tcPr>
          <w:p>
            <w:r>
              <w:t>THREAT</w:t>
            </w:r>
          </w:p>
        </w:tc>
        <w:tc>
          <w:tcPr>
            <w:tcW w:type="dxa" w:w="2880"/>
          </w:tcPr>
          <w:p>
            <w:r>
              <w:t>Supabase and Vercel vendor lock-in (R-08)</w:t>
            </w:r>
          </w:p>
        </w:tc>
        <w:tc>
          <w:tcPr>
            <w:tcW w:type="dxa" w:w="5184"/>
          </w:tcPr>
          <w:p>
            <w:r>
              <w:t>100% of authentication and production hosting are delegated to two external providers. Pricing changes, service discontinuation, or sustained outages translate directly to system unavailability.</w:t>
            </w:r>
          </w:p>
        </w:tc>
      </w:tr>
      <w:tr>
        <w:tc>
          <w:tcPr>
            <w:tcW w:type="dxa" w:w="1296"/>
          </w:tcPr>
          <w:p>
            <w:r>
              <w:t>THREAT</w:t>
            </w:r>
          </w:p>
        </w:tc>
        <w:tc>
          <w:tcPr>
            <w:tcW w:type="dxa" w:w="2880"/>
          </w:tcPr>
          <w:p>
            <w:r>
              <w:t>KNET payment compliance requirements</w:t>
            </w:r>
          </w:p>
        </w:tc>
        <w:tc>
          <w:tcPr>
            <w:tcW w:type="dxa" w:w="5184"/>
          </w:tcPr>
          <w:p>
            <w:r>
              <w:t>R-11: PCI-DSS certification, a certified integration partner, and Central Bank of Kuwait approval are legally required before processing live payments. Non-compliance constitutes a criminal offence under Kuwait Commercial Law.</w:t>
            </w:r>
          </w:p>
        </w:tc>
      </w:tr>
    </w:tbl>
    <w:p/>
    <w:p>
      <w:pPr>
        <w:pStyle w:val="Heading2"/>
      </w:pPr>
      <w:r>
        <w:t>8.3  Future Work and Recommendations</w:t>
      </w:r>
    </w:p>
    <w:p>
      <w:pPr/>
      <w:r>
        <w:t>The following seven future work items are recommended in priority order. Each item addresses a documented gap in the current system and is grounded in the risk register, system evolution analysis, and codebase evidence presented throughout this report.</w:t>
      </w:r>
    </w:p>
    <w:p>
      <w:pPr>
        <w:pStyle w:val="Heading3"/>
      </w:pPr>
      <w:r>
        <w:t>FW-01 — PostgreSQL Full Migration (SC-01, Critical)</w:t>
      </w:r>
    </w:p>
    <w:p>
      <w:pPr/>
      <w:r>
        <w:t>The replacement of src/data/db.json with Supabase-managed PostgreSQL is the single highest-priority action following submission. The current JSON store provides no transaction isolation, no concurrent write protection, and no rollback capability. Under concurrent load — which Vercel’s serverless execution model makes structurally inevitable — stock overselling is mathematically certain (R-01, Exposure: 25). The migration path is already partially scaffolded: the Supabase client factory in src/utils/supabase/server.ts is production-ready, and the ten TypeScript interfaces in src/lib/db.ts translate directly to PostgreSQL table schemas. A phased migration with write-shadowing is recommended: run both systems in parallel for two weeks, verifying consistency before cutting over with a tested rollback path.</w:t>
      </w:r>
    </w:p>
    <w:p>
      <w:pPr>
        <w:pStyle w:val="Heading3"/>
      </w:pPr>
      <w:r>
        <w:t>FW-02 — Automated Test Suite with Vitest (SC-02, Critical)</w:t>
      </w:r>
    </w:p>
    <w:p>
      <w:pPr/>
      <w:r>
        <w:t>Introducing Vitest with React Testing Library is the second critical action, and its cost grows with every month it is deferred. Lehman’s Second Law (Increasing Complexity) predicts that the 11.35 KLOC codebase will continue to grow, and each new feature added without corresponding tests increases the regression surface area. The highest-priority test targets are getCurrentUser() (called by all 25 routes), the POST /api/orders bulk pricing resolution logic (financial correctness), and the Trust Engine scoring functions (core platform differentiator). A CI pipeline gate of ≥60% line coverage should block merges below this threshold to prevent regression accumulation from the outset.</w:t>
      </w:r>
    </w:p>
    <w:p>
      <w:pPr>
        <w:pStyle w:val="Heading3"/>
      </w:pPr>
      <w:r>
        <w:t>FW-03 — KNET Payment Gateway Integration (SC-03, Critical)</w:t>
      </w:r>
    </w:p>
    <w:p>
      <w:pPr/>
      <w:r>
        <w:t>In-platform payment processing is a commercial imperative rather than a feature enhancement. A B2B marketplace that routes payment confirmation to WhatsApp is a discovery tool, not a commerce platform — it generates zero revenue, cannot produce accounting-compliant transaction records, and cannot enforce the financial accountability that buyers and brand owners require for high-value wholesale transactions. Integration should proceed through a KNET-certified gateway aggregator (MyFatoorah or Tap Payments) that provides a pre-certified integration layer, ensuring the platform never touches raw card data. The order status FSM should be extended with payment_pending and payment_confirmed states before implementation to maintain the formal state machine specification documented in Section 3.5.</w:t>
      </w:r>
    </w:p>
    <w:p>
      <w:pPr>
        <w:pStyle w:val="Heading3"/>
      </w:pPr>
      <w:r>
        <w:t>FW-04 — Mobile-First Progressive Web App (SC-04, High)</w:t>
      </w:r>
    </w:p>
    <w:p>
      <w:pPr/>
      <w:r>
        <w:t>CITRA Kuwait (2024) reports that over 78% of Kuwaiti internet users access services via mobile devices. The existing BottomNav.tsx and MobileTopBar.tsx components demonstrate that mobile was an explicit design intent from the outset, but the current build lacks the three capabilities that define a production-grade mobile experience: offline resilience via a service worker cache, native push notification delivery (bypassing the in-app polling model), and an installable app manifest. The PWA conversion is achievable within a single sprint using the next-pwa library and Vercel’s built-in service worker support, with no architectural changes to the existing Next.js 16 App Router structure.</w:t>
      </w:r>
    </w:p>
    <w:p>
      <w:pPr>
        <w:pStyle w:val="Heading3"/>
      </w:pPr>
      <w:r>
        <w:t>FW-05 — Arabic NLP Full-Text Search (SC-06, High)</w:t>
      </w:r>
    </w:p>
    <w:p>
      <w:pPr/>
      <w:r>
        <w:t>Product data in the current marketplace is predominantly entered in English by brand owners, creating a searchability wall for Arabic-first buyers who cannot locate products using Arabic keywords. The existing filter-based search provides no linguistic bridging. Replacing it with Arabic-aware full-text search — using PostgreSQL tsvector with an Arabic stemming dictionary, or Algolia with Arabic locale configuration — removes this barrier and directly expands the addressable buyer base. This recommendation is a prerequisite for the GCC regional expansion (FW-06) because Arabic-first markets (Saudi Arabia, Qatar, Bahrain) will have even lower tolerance for English-only search than the bilingual Kuwaiti market.</w:t>
      </w:r>
    </w:p>
    <w:p>
      <w:pPr>
        <w:pStyle w:val="Heading3"/>
      </w:pPr>
      <w:r>
        <w:t>FW-06 — GCC Regional Expansion (SC-07, High)</w:t>
      </w:r>
    </w:p>
    <w:p>
      <w:pPr/>
      <w:r>
        <w:t>The architectural groundwork for GCC expansion is already present in the codebase. The CURRENCIES registry in src/lib/currencies.ts fully specifies KWD, SAR, AED, QAR, BHD, and OMR with their respective VAT rates, ISO 4217 codes, locale strings, and phone prefixes. Activating this latent capability requires implementing country-level VAT calculation in the order flow, currency-native invoice generation, localised Know Your Customer (KYC) verification workflows aligned with each jurisdiction’s commercial registration requirements, and Saudi ZATCA e-invoicing compliance for the KSA market. This expansion directly addresses Lehman’s Sixth Law (Continuing Growth): without geographic expansion, the platform’s addressable market remains capped at Kuwait’s relatively small B2B ecosystem.</w:t>
      </w:r>
    </w:p>
    <w:p>
      <w:pPr>
        <w:pStyle w:val="Heading3"/>
      </w:pPr>
      <w:r>
        <w:t>FW-07 — AI-Powered Product Recommendation Engine (SC-05, High)</w:t>
      </w:r>
    </w:p>
    <w:p>
      <w:pPr/>
      <w:r>
        <w:t>B2B buyers in GCC markets consistently identify supplier product discovery as the primary friction in the wholesale purchasing workflow. A recommendation engine — implementing collaborative filtering based on order history and category affinity, or integrating AWS Personalize for managed model training — directly addresses this friction by surfacing relevant products that buyers would not otherwise encounter. The expected business outcome is a measurable increase in average order value and repeat purchase frequency, both of which are tracked by the existing BrandTrust and BuyerTrust metrics and therefore immediately visible in the platform’s own analytics. The recommendation engine should be implemented after the PostgreSQL migration (FW-01) to leverage proper relational query capabilities for co-purchase analysis.</w:t>
      </w:r>
    </w:p>
    <w:p>
      <w:r>
        <w:br w:type="page"/>
      </w:r>
    </w:p>
    <w:p>
      <w:pPr>
        <w:pStyle w:val="Heading1"/>
      </w:pPr>
      <w:r>
        <w:t>CHAPTER IX — APPENDICES</w:t>
      </w:r>
    </w:p>
    <w:p>
      <w:pPr>
        <w:pStyle w:val="Heading2"/>
      </w:pPr>
      <w:r>
        <w:t>Appendix A — System Diagram Placeholders</w:t>
      </w:r>
    </w:p>
    <w:p>
      <w:pPr/>
      <w:r>
        <w:t>The following ten figures are referenced throughout this report. Each diagram is to be inserted at the location indicated. All diagrams were produced during the design and implementation phases; final rendered versions are to be attached as image files in the submitted Word document.</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rPr>
              <w:t>Figure No.</w:t>
            </w:r>
          </w:p>
        </w:tc>
        <w:tc>
          <w:tcPr>
            <w:tcW w:type="dxa" w:w="3744"/>
          </w:tcPr>
          <w:p>
            <w:r>
              <w:rPr>
                <w:b/>
              </w:rPr>
              <w:t>Title</w:t>
            </w:r>
          </w:p>
        </w:tc>
        <w:tc>
          <w:tcPr>
            <w:tcW w:type="dxa" w:w="1440"/>
          </w:tcPr>
          <w:p>
            <w:r>
              <w:rPr>
                <w:b/>
              </w:rPr>
              <w:t>Referenced In</w:t>
            </w:r>
          </w:p>
        </w:tc>
        <w:tc>
          <w:tcPr>
            <w:tcW w:type="dxa" w:w="3024"/>
          </w:tcPr>
          <w:p>
            <w:r>
              <w:rPr>
                <w:b/>
              </w:rPr>
              <w:t>Status</w:t>
            </w:r>
          </w:p>
        </w:tc>
      </w:tr>
      <w:tr>
        <w:tc>
          <w:tcPr>
            <w:tcW w:type="dxa" w:w="1152"/>
          </w:tcPr>
          <w:p>
            <w:r>
              <w:t>Figure 1</w:t>
            </w:r>
          </w:p>
        </w:tc>
        <w:tc>
          <w:tcPr>
            <w:tcW w:type="dxa" w:w="3744"/>
          </w:tcPr>
          <w:p>
            <w:r>
              <w:t>Sequence Diagram — User Registration &amp; Login</w:t>
            </w:r>
          </w:p>
        </w:tc>
        <w:tc>
          <w:tcPr>
            <w:tcW w:type="dxa" w:w="1440"/>
          </w:tcPr>
          <w:p>
            <w:r>
              <w:t>§3.1.1</w:t>
            </w:r>
          </w:p>
        </w:tc>
        <w:tc>
          <w:tcPr>
            <w:tcW w:type="dxa" w:w="3024"/>
          </w:tcPr>
          <w:p>
            <w:r>
              <w:t>[INSERT IMAGE]</w:t>
            </w:r>
          </w:p>
        </w:tc>
      </w:tr>
      <w:tr>
        <w:tc>
          <w:tcPr>
            <w:tcW w:type="dxa" w:w="1152"/>
          </w:tcPr>
          <w:p>
            <w:r>
              <w:t>Figure 2</w:t>
            </w:r>
          </w:p>
        </w:tc>
        <w:tc>
          <w:tcPr>
            <w:tcW w:type="dxa" w:w="3744"/>
          </w:tcPr>
          <w:p>
            <w:r>
              <w:t>Sequence Diagram — Order Placement &amp; Review Lifecycle</w:t>
            </w:r>
          </w:p>
        </w:tc>
        <w:tc>
          <w:tcPr>
            <w:tcW w:type="dxa" w:w="1440"/>
          </w:tcPr>
          <w:p>
            <w:r>
              <w:t>§3.1.2</w:t>
            </w:r>
          </w:p>
        </w:tc>
        <w:tc>
          <w:tcPr>
            <w:tcW w:type="dxa" w:w="3024"/>
          </w:tcPr>
          <w:p>
            <w:r>
              <w:t>[INSERT IMAGE]</w:t>
            </w:r>
          </w:p>
        </w:tc>
      </w:tr>
      <w:tr>
        <w:tc>
          <w:tcPr>
            <w:tcW w:type="dxa" w:w="1152"/>
          </w:tcPr>
          <w:p>
            <w:r>
              <w:t>Figure 3</w:t>
            </w:r>
          </w:p>
        </w:tc>
        <w:tc>
          <w:tcPr>
            <w:tcW w:type="dxa" w:w="3744"/>
          </w:tcPr>
          <w:p>
            <w:r>
              <w:t>Sequence Diagram — Brand Verification</w:t>
            </w:r>
          </w:p>
        </w:tc>
        <w:tc>
          <w:tcPr>
            <w:tcW w:type="dxa" w:w="1440"/>
          </w:tcPr>
          <w:p>
            <w:r>
              <w:t>§3.1.3</w:t>
            </w:r>
          </w:p>
        </w:tc>
        <w:tc>
          <w:tcPr>
            <w:tcW w:type="dxa" w:w="3024"/>
          </w:tcPr>
          <w:p>
            <w:r>
              <w:t>[INSERT IMAGE]</w:t>
            </w:r>
          </w:p>
        </w:tc>
      </w:tr>
      <w:tr>
        <w:tc>
          <w:tcPr>
            <w:tcW w:type="dxa" w:w="1152"/>
          </w:tcPr>
          <w:p>
            <w:r>
              <w:t>Figure 4</w:t>
            </w:r>
          </w:p>
        </w:tc>
        <w:tc>
          <w:tcPr>
            <w:tcW w:type="dxa" w:w="3744"/>
          </w:tcPr>
          <w:p>
            <w:r>
              <w:t>DFD Level 0 — Context Diagram</w:t>
            </w:r>
          </w:p>
        </w:tc>
        <w:tc>
          <w:tcPr>
            <w:tcW w:type="dxa" w:w="1440"/>
          </w:tcPr>
          <w:p>
            <w:r>
              <w:t>§3.2.1</w:t>
            </w:r>
          </w:p>
        </w:tc>
        <w:tc>
          <w:tcPr>
            <w:tcW w:type="dxa" w:w="3024"/>
          </w:tcPr>
          <w:p>
            <w:r>
              <w:t>[INSERT IMAGE]</w:t>
            </w:r>
          </w:p>
        </w:tc>
      </w:tr>
      <w:tr>
        <w:tc>
          <w:tcPr>
            <w:tcW w:type="dxa" w:w="1152"/>
          </w:tcPr>
          <w:p>
            <w:r>
              <w:t>Figure 5</w:t>
            </w:r>
          </w:p>
        </w:tc>
        <w:tc>
          <w:tcPr>
            <w:tcW w:type="dxa" w:w="3744"/>
          </w:tcPr>
          <w:p>
            <w:r>
              <w:t>DFD Level 1 — Sub-Process Decomposition</w:t>
            </w:r>
          </w:p>
        </w:tc>
        <w:tc>
          <w:tcPr>
            <w:tcW w:type="dxa" w:w="1440"/>
          </w:tcPr>
          <w:p>
            <w:r>
              <w:t>§3.2.2</w:t>
            </w:r>
          </w:p>
        </w:tc>
        <w:tc>
          <w:tcPr>
            <w:tcW w:type="dxa" w:w="3024"/>
          </w:tcPr>
          <w:p>
            <w:r>
              <w:t>[INSERT IMAGE]</w:t>
            </w:r>
          </w:p>
        </w:tc>
      </w:tr>
      <w:tr>
        <w:tc>
          <w:tcPr>
            <w:tcW w:type="dxa" w:w="1152"/>
          </w:tcPr>
          <w:p>
            <w:r>
              <w:t>Figure 6</w:t>
            </w:r>
          </w:p>
        </w:tc>
        <w:tc>
          <w:tcPr>
            <w:tcW w:type="dxa" w:w="3744"/>
          </w:tcPr>
          <w:p>
            <w:r>
              <w:t>Activity Diagram — Order Placement</w:t>
            </w:r>
          </w:p>
        </w:tc>
        <w:tc>
          <w:tcPr>
            <w:tcW w:type="dxa" w:w="1440"/>
          </w:tcPr>
          <w:p>
            <w:r>
              <w:t>§3.4</w:t>
            </w:r>
          </w:p>
        </w:tc>
        <w:tc>
          <w:tcPr>
            <w:tcW w:type="dxa" w:w="3024"/>
          </w:tcPr>
          <w:p>
            <w:r>
              <w:t>[INSERT IMAGE]</w:t>
            </w:r>
          </w:p>
        </w:tc>
      </w:tr>
      <w:tr>
        <w:tc>
          <w:tcPr>
            <w:tcW w:type="dxa" w:w="1152"/>
          </w:tcPr>
          <w:p>
            <w:r>
              <w:t>Figure 7</w:t>
            </w:r>
          </w:p>
        </w:tc>
        <w:tc>
          <w:tcPr>
            <w:tcW w:type="dxa" w:w="3744"/>
          </w:tcPr>
          <w:p>
            <w:r>
              <w:t>Finite State Machine — Order Lifecycle</w:t>
            </w:r>
          </w:p>
        </w:tc>
        <w:tc>
          <w:tcPr>
            <w:tcW w:type="dxa" w:w="1440"/>
          </w:tcPr>
          <w:p>
            <w:r>
              <w:t>§3.5.1</w:t>
            </w:r>
          </w:p>
        </w:tc>
        <w:tc>
          <w:tcPr>
            <w:tcW w:type="dxa" w:w="3024"/>
          </w:tcPr>
          <w:p>
            <w:r>
              <w:t>[INSERT IMAGE]</w:t>
            </w:r>
          </w:p>
        </w:tc>
      </w:tr>
      <w:tr>
        <w:tc>
          <w:tcPr>
            <w:tcW w:type="dxa" w:w="1152"/>
          </w:tcPr>
          <w:p>
            <w:r>
              <w:t>Figure 8</w:t>
            </w:r>
          </w:p>
        </w:tc>
        <w:tc>
          <w:tcPr>
            <w:tcW w:type="dxa" w:w="3744"/>
          </w:tcPr>
          <w:p>
            <w:r>
              <w:t>Finite State Machine — Brand Verification</w:t>
            </w:r>
          </w:p>
        </w:tc>
        <w:tc>
          <w:tcPr>
            <w:tcW w:type="dxa" w:w="1440"/>
          </w:tcPr>
          <w:p>
            <w:r>
              <w:t>§3.5.2</w:t>
            </w:r>
          </w:p>
        </w:tc>
        <w:tc>
          <w:tcPr>
            <w:tcW w:type="dxa" w:w="3024"/>
          </w:tcPr>
          <w:p>
            <w:r>
              <w:t>[INSERT IMAGE]</w:t>
            </w:r>
          </w:p>
        </w:tc>
      </w:tr>
      <w:tr>
        <w:tc>
          <w:tcPr>
            <w:tcW w:type="dxa" w:w="1152"/>
          </w:tcPr>
          <w:p>
            <w:r>
              <w:t>Figure 9</w:t>
            </w:r>
          </w:p>
        </w:tc>
        <w:tc>
          <w:tcPr>
            <w:tcW w:type="dxa" w:w="3744"/>
          </w:tcPr>
          <w:p>
            <w:r>
              <w:t>Class Diagram — Core Entity Model (10 Entities)</w:t>
            </w:r>
          </w:p>
        </w:tc>
        <w:tc>
          <w:tcPr>
            <w:tcW w:type="dxa" w:w="1440"/>
          </w:tcPr>
          <w:p>
            <w:r>
              <w:t>§3.7</w:t>
            </w:r>
          </w:p>
        </w:tc>
        <w:tc>
          <w:tcPr>
            <w:tcW w:type="dxa" w:w="3024"/>
          </w:tcPr>
          <w:p>
            <w:r>
              <w:t>[INSERT IMAGE]</w:t>
            </w:r>
          </w:p>
        </w:tc>
      </w:tr>
      <w:tr>
        <w:tc>
          <w:tcPr>
            <w:tcW w:type="dxa" w:w="1152"/>
          </w:tcPr>
          <w:p>
            <w:r>
              <w:t>Figure 10</w:t>
            </w:r>
          </w:p>
        </w:tc>
        <w:tc>
          <w:tcPr>
            <w:tcW w:type="dxa" w:w="3744"/>
          </w:tcPr>
          <w:p>
            <w:r>
              <w:t>Physical Deployment Diagram — Vercel / Supabase Architecture</w:t>
            </w:r>
          </w:p>
        </w:tc>
        <w:tc>
          <w:tcPr>
            <w:tcW w:type="dxa" w:w="1440"/>
          </w:tcPr>
          <w:p>
            <w:r>
              <w:t>§4.6</w:t>
            </w:r>
          </w:p>
        </w:tc>
        <w:tc>
          <w:tcPr>
            <w:tcW w:type="dxa" w:w="3024"/>
          </w:tcPr>
          <w:p>
            <w:r>
              <w:t>[INSERT IMAGE]</w:t>
            </w:r>
          </w:p>
        </w:tc>
      </w:tr>
    </w:tbl>
    <w:p/>
    <w:p>
      <w:pPr/>
      <w:r>
        <w:t>Diagram source files and rendering notes are detailed below.</w:t>
      </w:r>
    </w:p>
    <w:p>
      <w:pPr>
        <w:pStyle w:val="ListBullet"/>
      </w:pPr>
      <w:r>
        <w:t>Figures 1–3 (Sequence Diagrams): Mermaid sequenceDiagram source available in Final_Report_Additions.md §Figures 5–7. Render via mermaid.live or VS Code Mermaid Preview extension.</w:t>
      </w:r>
    </w:p>
    <w:p>
      <w:pPr>
        <w:pStyle w:val="ListBullet"/>
      </w:pPr>
      <w:r>
        <w:t>Figure 4–5 (DFD): Produce using draw.io or Lucidchart. Context diagram shows the Kuwait B2B Hub system boundary with three external actors (Admin, Brand Owner, Business Buyer) and two external services (Supabase, Vercel CDN).</w:t>
      </w:r>
    </w:p>
    <w:p>
      <w:pPr>
        <w:pStyle w:val="ListBullet"/>
      </w:pPr>
      <w:r>
        <w:t>Figure 6 (Activity Diagram): Mermaid flowchart TD source available in Final_Report_Additions.md §Figure 9.</w:t>
      </w:r>
    </w:p>
    <w:p>
      <w:pPr>
        <w:pStyle w:val="ListBullet"/>
      </w:pPr>
      <w:r>
        <w:t>Figures 7–8 (FSMs): Render as state-transition diagrams with states and labelled transitions as specified in the FSM tables in §3.5.1 and §3.5.2.</w:t>
      </w:r>
    </w:p>
    <w:p>
      <w:pPr>
        <w:pStyle w:val="ListBullet"/>
      </w:pPr>
      <w:r>
        <w:t>Figure 9 (Class Diagram): Mermaid classDiagram source available in Final_Report_Additions.md §Figure 8. Ten entity classes with full relationship notation.</w:t>
      </w:r>
    </w:p>
    <w:p>
      <w:pPr>
        <w:pStyle w:val="ListBullet"/>
      </w:pPr>
      <w:r>
        <w:t>Figure 10 (Deployment Diagram): Render as UML deployment diagram showing Developer Machine → Git Repository → Vercel CI/CD → Vercel Edge Network → Supabase Cloud.</w:t>
      </w:r>
    </w:p>
    <w:p>
      <w:pPr>
        <w:pStyle w:val="Heading2"/>
      </w:pPr>
      <w:r>
        <w:t>Appendix B — Critical Source File Extracts</w:t>
      </w:r>
    </w:p>
    <w:p>
      <w:pPr/>
      <w:r>
        <w:t>The following extracts present the import declarations, interface definitions, and primary function signatures of the four most architecturally significant source files in the Kuwait B2B Hub codebase. All extracts were taken verbatim from the live repository with no modifications applied. Generated files, type declaration files (.d.ts), and node_modules were excluded consistent with the SLOC methodology described in §5.1.1.</w:t>
      </w:r>
    </w:p>
    <w:p>
      <w:pPr>
        <w:pStyle w:val="Heading3"/>
      </w:pPr>
      <w:r>
        <w:t>B.1 — src/lib/auth.ts</w:t>
      </w:r>
    </w:p>
    <w:p>
      <w:pPr/>
      <w:r>
        <w:t>Centralised authentication resolver. Wraps the Supabase session lookup and enriches the raw auth token with the full application-level User profile from the profiles table. All protected API routes call getCurrentUser() as their first guard before executing any business logic. This function is the single entry point for all authenticated operations and the enforcement point for the RBAC model.</w:t>
      </w:r>
    </w:p>
    <w:p>
      <w:r>
        <w:rPr>
          <w:rFonts w:ascii="Courier New" w:hAnsi="Courier New"/>
          <w:sz w:val="16"/>
        </w:rPr>
        <w:t>import { createClient } from '@/utils/supabase/server';</w:t>
        <w:br/>
        <w:t>import { User } from './db';</w:t>
        <w:br/>
        <w:br/>
        <w:t>export async function getCurrentUser(): Promise&lt;User | null&gt; {</w:t>
        <w:br/>
        <w:t xml:space="preserve">  const supabase = await createClient();</w:t>
        <w:br/>
        <w:t xml:space="preserve">  const { data: { user }, error } = await supabase.auth.getUser();</w:t>
        <w:br/>
        <w:br/>
        <w:t xml:space="preserve">  if (error || !user) return null;</w:t>
        <w:br/>
        <w:br/>
        <w:t xml:space="preserve">  const { data: profile } = await supabase</w:t>
        <w:br/>
        <w:t xml:space="preserve">    .from('profiles')</w:t>
        <w:br/>
        <w:t xml:space="preserve">    .select('*')</w:t>
        <w:br/>
        <w:t xml:space="preserve">    .eq('id', user.id)</w:t>
        <w:br/>
        <w:t xml:space="preserve">    .single();</w:t>
        <w:br/>
        <w:br/>
        <w:t xml:space="preserve">  if (!profile) return null;</w:t>
        <w:br/>
        <w:br/>
        <w:t xml:space="preserve">  return profile as User;</w:t>
        <w:br/>
        <w:t>}</w:t>
      </w:r>
    </w:p>
    <w:p>
      <w:pPr>
        <w:pStyle w:val="Heading3"/>
      </w:pPr>
      <w:r>
        <w:t>B.2 — src/app/api/orders/route.ts</w:t>
      </w:r>
    </w:p>
    <w:p>
      <w:pPr/>
      <w:r>
        <w:t>Next.js App Router API route handler for the /api/orders endpoint. Demonstrates the Role-Based Access Control (RBAC) pattern applied consistently across all protected endpoints: buyers see only their own orders, brand owners see only orders belonging to their brand, and administrators receive the unfiltered dataset. Unauthenticated requests are rejected with an HTTP 401 response before any database access occurs.</w:t>
      </w:r>
    </w:p>
    <w:p>
      <w:r>
        <w:rPr>
          <w:rFonts w:ascii="Courier New" w:hAnsi="Courier New"/>
          <w:sz w:val="16"/>
        </w:rPr>
        <w:t>import { NextRequest, NextResponse } from 'next/server';</w:t>
        <w:br/>
        <w:t>import { readDB, writeDB, generateId } from '@/lib/db';</w:t>
        <w:br/>
        <w:t>import { getCurrentUser } from '@/lib/auth';</w:t>
        <w:br/>
        <w:t>import { createNotification } from '@/lib/notifications';</w:t>
        <w:br/>
        <w:br/>
        <w:t>// GET /api/orders — role-filtered order list</w:t>
        <w:br/>
        <w:t>export async function GET() {</w:t>
        <w:br/>
        <w:t xml:space="preserve">  const user = await getCurrentUser();</w:t>
        <w:br/>
        <w:t xml:space="preserve">  if (!user) return NextResponse.json({ error: 'Unauthorized' }, { status: 401 });</w:t>
        <w:br/>
        <w:br/>
        <w:t xml:space="preserve">  const db = readDB();</w:t>
        <w:br/>
        <w:t xml:space="preserve">  let orders = db.orders;</w:t>
        <w:br/>
        <w:br/>
        <w:t xml:space="preserve">  if (user.role === 'buyer') {</w:t>
        <w:br/>
        <w:t xml:space="preserve">    orders = orders.filter(o =&gt; o.buyer_id === user.id);</w:t>
        <w:br/>
        <w:t xml:space="preserve">  } else if (user.role === 'brand_owner') {</w:t>
        <w:br/>
        <w:t xml:space="preserve">    const brand = db.brands.find(b =&gt; b.owner_id === user.id);</w:t>
        <w:br/>
        <w:t xml:space="preserve">    orders = brand ? orders.filter(o =&gt; o.brand_id === brand.id) : [];</w:t>
        <w:br/>
        <w:t xml:space="preserve">  }</w:t>
        <w:br/>
        <w:t xml:space="preserve">  // admin sees all</w:t>
      </w:r>
    </w:p>
    <w:p>
      <w:pPr>
        <w:pStyle w:val="Heading3"/>
      </w:pPr>
      <w:r>
        <w:t>B.3 — src/lib/currencies.ts</w:t>
      </w:r>
    </w:p>
    <w:p>
      <w:pPr/>
      <w:r>
        <w:t>Typed currency configuration module. The CurrencyConfig interface enforces a uniform schema for all supported Gulf Cooperation Council (GCC) currencies, including VAT rates, ISO 4217 codes, decimal precision, and locale strings. This interface serves as a single source of truth consumed by the CurrencySelector component, the live exchange-rate API handler, and all price formatting utilities throughout the application.</w:t>
      </w:r>
    </w:p>
    <w:p>
      <w:r>
        <w:rPr>
          <w:rFonts w:ascii="Courier New" w:hAnsi="Courier New"/>
          <w:sz w:val="16"/>
        </w:rPr>
        <w:t>// ─── Currency Configuration ─────────────────────────────────────────────────────────────────────────────</w:t>
        <w:br/>
        <w:br/>
        <w:t>export interface CurrencyConfig {</w:t>
        <w:br/>
        <w:t xml:space="preserve">  code: string;          // ISO 4217</w:t>
        <w:br/>
        <w:t xml:space="preserve">  symbol: string;        // Display symbol</w:t>
        <w:br/>
        <w:t xml:space="preserve">  name: string;          // Full name</w:t>
        <w:br/>
        <w:t xml:space="preserve">  decimals: number;      // Decimal places</w:t>
        <w:br/>
        <w:t xml:space="preserve">  country: string;       // Country name</w:t>
        <w:br/>
        <w:t xml:space="preserve">  flag: string;          // Emoji flag</w:t>
        <w:br/>
        <w:t xml:space="preserve">  locale: string;        // Intl locale</w:t>
        <w:br/>
        <w:t xml:space="preserve">  vatRate: number;       // VAT rate (0.0 – 1.0)</w:t>
        <w:br/>
        <w:t xml:space="preserve">  phonePrefix: string;   // International dialing code</w:t>
        <w:br/>
        <w:t xml:space="preserve">  dateFormat: string;    // Display hint</w:t>
        <w:br/>
        <w:t>}</w:t>
        <w:br/>
        <w:br/>
        <w:t>export const CURRENCIES: Record&lt;string, CurrencyConfig&gt; = {</w:t>
        <w:br/>
        <w:t xml:space="preserve">  KWD: {</w:t>
        <w:br/>
        <w:t xml:space="preserve">    code: 'KWD', symbol: 'KD',  name: 'Kuwaiti Dinar',  decimals: 3,</w:t>
        <w:br/>
        <w:t xml:space="preserve">    country: 'Kuwait',  flag: '🇰🇼', locale: 'en-KW',</w:t>
        <w:br/>
        <w:t xml:space="preserve">    vatRate: 0,  phonePrefix: '+965', dateFormat: 'DD/MM/YYYY',</w:t>
      </w:r>
    </w:p>
    <w:p>
      <w:pPr>
        <w:pStyle w:val="Heading3"/>
      </w:pPr>
      <w:r>
        <w:t>B.4 — src/utils/supabase/server.ts</w:t>
      </w:r>
    </w:p>
    <w:p>
      <w:pPr/>
      <w:r>
        <w:t>Server-side Supabase client factory using the @supabase/ssr package. Reads and writes session tokens exclusively through Next.js cookies(), ensuring authentication state is scoped to the server request context and never exposed to client-side JavaScript. This factory is imported by src/lib/auth.ts and all API route handlers that require an authenticated database connection, establishing it as the foundational security primitive of the entire backend layer.</w:t>
      </w:r>
    </w:p>
    <w:p>
      <w:r>
        <w:rPr>
          <w:rFonts w:ascii="Courier New" w:hAnsi="Courier New"/>
          <w:sz w:val="16"/>
        </w:rPr>
        <w:t>import { createServerClient } from '@supabase/ssr'</w:t>
        <w:br/>
        <w:t>import { cookies } from 'next/headers'</w:t>
        <w:br/>
        <w:br/>
        <w:t>export async function createClient() {</w:t>
        <w:br/>
        <w:t xml:space="preserve">  const cookieStore = await cookies()</w:t>
        <w:br/>
        <w:br/>
        <w:t xml:space="preserve">  return createServerClient(</w:t>
        <w:br/>
        <w:t xml:space="preserve">    process.env.NEXT_PUBLIC_SUPABASE_URL!,</w:t>
        <w:br/>
        <w:t xml:space="preserve">    process.env.NEXT_PUBLIC_SUPABASE_ANON_KEY!,</w:t>
        <w:br/>
        <w:t xml:space="preserve">    {</w:t>
        <w:br/>
        <w:t xml:space="preserve">      cookies: {</w:t>
        <w:br/>
        <w:t xml:space="preserve">        getAll() {</w:t>
        <w:br/>
        <w:t xml:space="preserve">          return cookieStore.getAll()</w:t>
        <w:br/>
        <w:t xml:space="preserve">        },</w:t>
        <w:br/>
        <w:t xml:space="preserve">        setAll(cookiesToSet) {</w:t>
        <w:br/>
        <w:t xml:space="preserve">          try {</w:t>
        <w:br/>
        <w:t xml:space="preserve">            cookiesToSet.forEach(({ name, value, options }) =&gt;</w:t>
        <w:br/>
        <w:t xml:space="preserve">              cookieStore.set(name, value, options)</w:t>
        <w:br/>
        <w:t xml:space="preserve">            )</w:t>
        <w:br/>
        <w:t xml:space="preserve">          } catch {</w:t>
        <w:br/>
        <w:t xml:space="preserve">            // Server Component context — cookie writes are ignored</w:t>
        <w:br/>
        <w:t xml:space="preserve">          }</w:t>
        <w:br/>
        <w:t xml:space="preserve">        },</w:t>
        <w:br/>
        <w:t xml:space="preserve">      },</w:t>
        <w:br/>
        <w:t xml:space="preserve">    }</w:t>
        <w:br/>
        <w:t xml:space="preserve">  )</w:t>
        <w:br/>
        <w:t>}</w:t>
      </w:r>
    </w:p>
    <w:p>
      <w:r>
        <w:br w:type="page"/>
      </w:r>
    </w:p>
    <w:p>
      <w:pPr>
        <w:pStyle w:val="Heading1"/>
      </w:pPr>
      <w:r>
        <w:t>CHAPTER X — REFERENCES</w:t>
      </w:r>
    </w:p>
    <w:p>
      <w:pPr/>
      <w:r>
        <w:t>All references are formatted in IEEE citation style.</w:t>
      </w:r>
    </w:p>
    <w:p/>
    <w:p>
      <w:pPr>
        <w:spacing w:before="60" w:after="60"/>
        <w:ind w:left="432" w:hanging="432"/>
      </w:pPr>
      <w:r>
        <w:rPr>
          <w:sz w:val="20"/>
        </w:rPr>
        <w:t>[01]  A. R. Rababaah, “Class Notes CSIS 330: Software Engineering,” American University of Kuwait, Spring 2026.</w:t>
      </w:r>
    </w:p>
    <w:p>
      <w:pPr>
        <w:spacing w:before="60" w:after="60"/>
        <w:ind w:left="432" w:hanging="432"/>
      </w:pPr>
      <w:r>
        <w:rPr>
          <w:sz w:val="20"/>
        </w:rPr>
        <w:t>[02]  I. Sommerville, Software Engineering, 10th ed. Harlow, UK: Pearson Education, 2016.</w:t>
      </w:r>
    </w:p>
    <w:p>
      <w:pPr>
        <w:spacing w:before="60" w:after="60"/>
        <w:ind w:left="432" w:hanging="432"/>
      </w:pPr>
      <w:r>
        <w:rPr>
          <w:sz w:val="20"/>
        </w:rPr>
        <w:t>[03]  R. C. Martin, Agile Software Development: Principles, Patterns, and Practices. Upper Saddle River, NJ: Prentice Hall, 2002.</w:t>
      </w:r>
    </w:p>
    <w:p>
      <w:pPr>
        <w:spacing w:before="60" w:after="60"/>
        <w:ind w:left="432" w:hanging="432"/>
      </w:pPr>
      <w:r>
        <w:rPr>
          <w:sz w:val="20"/>
        </w:rPr>
        <w:t>[04]  M. Fowler, Refactoring: Improving the Design of Existing Code. Reading, MA: Addison-Wesley, 1999.</w:t>
      </w:r>
    </w:p>
    <w:p>
      <w:pPr>
        <w:spacing w:before="60" w:after="60"/>
        <w:ind w:left="432" w:hanging="432"/>
      </w:pPr>
      <w:r>
        <w:rPr>
          <w:sz w:val="20"/>
        </w:rPr>
        <w:t>[05]  Vercel, Inc., “Next.js Documentation,” 2024. [Online]. Available: https://nextjs.org/docs</w:t>
      </w:r>
    </w:p>
    <w:p>
      <w:pPr>
        <w:spacing w:before="60" w:after="60"/>
        <w:ind w:left="432" w:hanging="432"/>
      </w:pPr>
      <w:r>
        <w:rPr>
          <w:sz w:val="20"/>
        </w:rPr>
        <w:t>[06]  Supabase, Inc., “Supabase Documentation,” 2024. [Online]. Available: https://supabase.com/docs</w:t>
      </w:r>
    </w:p>
    <w:p>
      <w:pPr>
        <w:spacing w:before="60" w:after="60"/>
        <w:ind w:left="432" w:hanging="432"/>
      </w:pPr>
      <w:r>
        <w:rPr>
          <w:sz w:val="20"/>
        </w:rPr>
        <w:t>[07]  B. W. Boehm, Software Engineering Economics. Englewood Cliffs, NJ: Prentice Hall, 1981.</w:t>
      </w:r>
    </w:p>
    <w:p>
      <w:pPr>
        <w:spacing w:before="60" w:after="60"/>
        <w:ind w:left="432" w:hanging="432"/>
      </w:pPr>
      <w:r>
        <w:rPr>
          <w:sz w:val="20"/>
        </w:rPr>
        <w:t>[08]  International Organization for Standardization, ISO 31000:2018 — Risk Management: Guidelines. Geneva, Switzerland: ISO, 2018.</w:t>
      </w:r>
    </w:p>
    <w:p>
      <w:pPr>
        <w:spacing w:before="60" w:after="60"/>
        <w:ind w:left="432" w:hanging="432"/>
      </w:pPr>
      <w:r>
        <w:rPr>
          <w:sz w:val="20"/>
        </w:rPr>
        <w:t>[09]  OWASP Foundation, “OWASP Top Ten — 2021,” 2021. [Online]. Available: https://owasp.org/www-project-top-ten/</w:t>
      </w:r>
    </w:p>
    <w:p>
      <w:pPr>
        <w:spacing w:before="60" w:after="60"/>
        <w:ind w:left="432" w:hanging="432"/>
      </w:pPr>
      <w:r>
        <w:rPr>
          <w:sz w:val="20"/>
        </w:rPr>
        <w:t>[10]  Communications and Information Technology Regulatory Authority (CITRA), “Kuwait Digital Economy Report 2024,” Kuwait City, Kuwait: CITRA, 2024.</w:t>
      </w:r>
    </w:p>
    <w:p>
      <w:pPr>
        <w:spacing w:before="60" w:after="60"/>
        <w:ind w:left="432" w:hanging="432"/>
      </w:pPr>
      <w:r>
        <w:rPr>
          <w:sz w:val="20"/>
        </w:rPr>
        <w:t>[11]  M. M. Lehman, “Programs, Life Cycles, and Laws of Software Evolution,” Proceedings of the IEEE, vol. 68, no. 9, pp. 1060–1076, Sep. 1980.</w:t>
      </w:r>
    </w:p>
    <w:p>
      <w:pPr>
        <w:spacing w:before="60" w:after="60"/>
        <w:ind w:left="432" w:hanging="432"/>
      </w:pPr>
      <w:r>
        <w:rPr>
          <w:sz w:val="20"/>
        </w:rPr>
        <w:t>[12]  Vercel, Inc., “Vercel Documentation,” 2024. [Online]. Available: https://vercel.com/docs</w:t>
      </w:r>
    </w:p>
    <w:p>
      <w:pPr>
        <w:spacing w:before="60" w:after="60"/>
        <w:ind w:left="432" w:hanging="432"/>
      </w:pPr>
      <w:r>
        <w:rPr>
          <w:sz w:val="20"/>
        </w:rPr>
        <w:t>[13]  Microsoft Corporation, “TypeScript Handbook,” 2024. [Online]. Available: https://www.typescriptlang.org/docs/handbook/</w:t>
      </w:r>
    </w:p>
    <w:p>
      <w:pPr>
        <w:spacing w:before="60" w:after="60"/>
        <w:ind w:left="432" w:hanging="432"/>
      </w:pPr>
      <w:r>
        <w:rPr>
          <w:sz w:val="20"/>
        </w:rPr>
        <w:t>[14]  R. S. Pressman and B. R. Maxim, Software Engineering: A Practitioner’s Approach, 8th ed. New York, NY: McGraw-Hill Education, 2014.</w:t>
      </w:r>
    </w:p>
    <w:p>
      <w:pPr>
        <w:spacing w:before="60" w:after="60"/>
        <w:ind w:left="432" w:hanging="432"/>
      </w:pPr>
      <w:r>
        <w:rPr>
          <w:sz w:val="20"/>
        </w:rPr>
        <w:t>[15]  World Wide Web Consortium (W3C), “Web Content Accessibility Guidelines (WCAG) 2.1,” 2018. [Online]. Available: https://www.w3.org/TR/WCAG21/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