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56BA02">
      <w:pPr>
        <w:pBdr>
          <w:top w:val="none" w:color="000000" w:sz="4" w:space="0"/>
          <w:left w:val="none" w:color="000000" w:sz="4" w:space="0"/>
          <w:bottom w:val="none" w:color="000000" w:sz="4" w:space="0"/>
          <w:right w:val="none" w:color="000000" w:sz="4" w:space="0"/>
        </w:pBdr>
        <w:spacing w:line="276" w:lineRule="auto"/>
        <w:ind w:right="600" w:firstLine="0" w:left="0"/>
        <w:jc w:val="center"/>
        <w:rPr>
          <w:rFonts w:ascii="Carlito" w:hAnsi="Carlito" w:cs="Carlito"/>
        </w:rPr>
      </w:pPr>
      <w:r>
        <w:rPr>
          <w:rFonts w:ascii="Carlito" w:hAnsi="Carlito" w:eastAsia="Carlito" w:cs="Carlito"/>
          <w:b/>
          <w:color w:val="000000"/>
          <w:sz w:val="24"/>
          <w:u w:val="none"/>
        </w:rPr>
        <w:t xml:space="preserve">Niche breadth as a driver of SDM performance: a comparison of MaxEnt, GLM and BRT using virtual species</w:t>
      </w:r>
      <w:r>
        <w:rPr>
          <w:rFonts w:ascii="Carlito" w:hAnsi="Carlito" w:cs="Carlito"/>
        </w:rPr>
      </w:r>
      <w:r>
        <w:rPr>
          <w:rFonts w:ascii="Carlito" w:hAnsi="Carlito" w:cs="Carlito"/>
        </w:rPr>
      </w:r>
    </w:p>
    <w:p w14:paraId="20079E7F">
      <w:pPr>
        <w:pBdr>
          <w:top w:val="none" w:color="000000" w:sz="4" w:space="0"/>
          <w:left w:val="none" w:color="000000" w:sz="4" w:space="0"/>
          <w:bottom w:val="none" w:color="000000" w:sz="4" w:space="0"/>
          <w:right w:val="none" w:color="000000" w:sz="4" w:space="0"/>
        </w:pBdr>
        <w:spacing w:after="240" w:line="276" w:lineRule="auto"/>
        <w:ind w:right="600" w:firstLine="0" w:left="0"/>
        <w:jc w:val="center"/>
        <w:rPr>
          <w:rFonts w:ascii="Carlito" w:hAnsi="Carlito" w:cs="Carlito"/>
          <w:bCs/>
          <w:i/>
        </w:rPr>
      </w:pPr>
      <w:r>
        <w:rPr>
          <w:rFonts w:ascii="Carlito" w:hAnsi="Carlito" w:eastAsia="Carlito" w:cs="Carlito"/>
          <w:i/>
          <w:iCs/>
          <w:color w:val="000000"/>
          <w:sz w:val="22"/>
          <w:u w:val="none"/>
        </w:rPr>
        <w:t xml:space="preserve">Do MaxEnt, GLM and BRT differ systematically in their predictive performance when modelling virtual species with narrow, intermediate and broad ecological niches, and which algorithm performs best for which niche breadth?</w:t>
      </w:r>
      <w:r>
        <w:rPr>
          <w:rFonts w:ascii="Carlito" w:hAnsi="Carlito" w:cs="Carlito"/>
          <w:bCs/>
          <w:i/>
        </w:rPr>
      </w:r>
      <w:r>
        <w:rPr>
          <w:rFonts w:ascii="Carlito" w:hAnsi="Carlito" w:cs="Carlito"/>
          <w:bCs/>
          <w:i/>
        </w:rPr>
      </w:r>
    </w:p>
    <w:p w14:paraId="14F39669">
      <w:pPr>
        <w:pBdr>
          <w:top w:val="none" w:color="000000" w:sz="4" w:space="0"/>
          <w:left w:val="none" w:color="000000" w:sz="4" w:space="0"/>
          <w:bottom w:val="none" w:color="000000" w:sz="4" w:space="0"/>
          <w:right w:val="none" w:color="000000" w:sz="4" w:space="0"/>
        </w:pBdr>
        <w:spacing w:after="160" w:before="0" w:line="276" w:lineRule="auto"/>
        <w:ind w:right="142" w:firstLine="0" w:left="0"/>
        <w:rPr>
          <w:rFonts w:ascii="Carlito" w:hAnsi="Carlito" w:cs="Carlito"/>
          <w:highlight w:val="none"/>
        </w:rPr>
      </w:pPr>
      <w:r>
        <w:rPr>
          <w:rFonts w:ascii="Carlito" w:hAnsi="Carlito" w:eastAsia="Carlito" w:cs="Carlito"/>
          <w:b/>
          <w:color w:val="000000"/>
          <w:sz w:val="24"/>
          <w:u w:val="none"/>
        </w:rPr>
      </w:r>
      <w:r>
        <w:rPr>
          <w:rFonts w:ascii="Carlito" w:hAnsi="Carlito" w:eastAsia="Carlito" w:cs="Carlito"/>
          <w:b/>
          <w:color w:val="000000"/>
          <w:sz w:val="24"/>
          <w:u w:val="none"/>
        </w:rPr>
        <w:t xml:space="preserve">Introduction</w:t>
      </w:r>
      <w:r>
        <w:rPr>
          <w:rFonts w:ascii="Carlito" w:hAnsi="Carlito" w:cs="Carlito"/>
          <w:highlight w:val="none"/>
        </w:rPr>
      </w:r>
      <w:r>
        <w:rPr>
          <w:rFonts w:ascii="Carlito" w:hAnsi="Carlito" w:cs="Carlito"/>
          <w:highlight w:val="none"/>
        </w:rPr>
      </w:r>
    </w:p>
    <w:p w14:paraId="4276EE5A">
      <w:pPr>
        <w:pBdr>
          <w:top w:val="none" w:color="000000" w:sz="4" w:space="0"/>
          <w:left w:val="none" w:color="000000" w:sz="4" w:space="0"/>
          <w:bottom w:val="none" w:color="000000" w:sz="4" w:space="0"/>
          <w:right w:val="none" w:color="000000" w:sz="4" w:space="0"/>
        </w:pBdr>
        <w:spacing w:line="276" w:lineRule="auto"/>
        <w:ind w:right="0" w:firstLine="0" w:left="0"/>
        <w:jc w:val="both"/>
        <w:rPr>
          <w:rFonts w:ascii="Carlito" w:hAnsi="Carlito" w:eastAsia="Carlito" w:cs="Carlito"/>
        </w:rPr>
      </w:pPr>
      <w:r>
        <w:rPr>
          <w:rFonts w:ascii="Carlito" w:hAnsi="Carlito" w:eastAsia="Carlito" w:cs="Carlito"/>
          <w:highlight w:val="none"/>
        </w:rPr>
      </w:r>
      <w:r>
        <w:rPr>
          <w:rFonts w:ascii="Carlito" w:hAnsi="Carlito" w:eastAsia="Carlito" w:cs="Carlito"/>
        </w:rPr>
        <w:t xml:space="preserve">The ecological niche concept is central to our understanding of species distributions, and species distribution models (SDMs) have become the primary tool for translating niche theory into spatial predictions of species occurrence (Elith &amp; Leathwick 2009).</w:t>
      </w:r>
      <w:r>
        <w:rPr>
          <w:rFonts w:ascii="Carlito" w:hAnsi="Carlito" w:eastAsia="Carlito" w:cs="Carlito"/>
        </w:rPr>
      </w:r>
      <w:r>
        <w:rPr>
          <w:rFonts w:ascii="Carlito" w:hAnsi="Carlito" w:eastAsia="Carlito" w:cs="Carlito"/>
        </w:rPr>
      </w:r>
    </w:p>
    <w:p w14:paraId="395D7011">
      <w:pPr>
        <w:pBdr>
          <w:top w:val="none" w:color="000000" w:sz="4" w:space="0"/>
          <w:left w:val="none" w:color="000000" w:sz="4" w:space="0"/>
          <w:bottom w:val="none" w:color="000000" w:sz="4" w:space="0"/>
          <w:right w:val="none" w:color="000000" w:sz="4" w:space="0"/>
        </w:pBdr>
        <w:spacing/>
        <w:ind w:right="0" w:firstLine="0" w:left="0"/>
        <w:jc w:val="both"/>
        <w:rPr>
          <w:rFonts w:ascii="Carlito" w:hAnsi="Carlito" w:eastAsia="Carlito" w:cs="Carlito"/>
          <w:highlight w:val="none"/>
        </w:rPr>
      </w:pPr>
      <w:r>
        <w:rPr>
          <w:rFonts w:ascii="Carlito" w:hAnsi="Carlito" w:eastAsia="Carlito" w:cs="Carlito"/>
        </w:rPr>
      </w:r>
      <w:r>
        <w:rPr>
          <w:rFonts w:ascii="Carlito" w:hAnsi="Carlito" w:eastAsia="Carlito" w:cs="Carlito"/>
        </w:rPr>
        <w:t xml:space="preserve">A species’ ecological niche can be divided into the fundamental niche and the realised niche </w:t>
      </w:r>
      <w:r>
        <w:rPr>
          <w:rFonts w:ascii="Carlito" w:hAnsi="Carlito" w:eastAsia="Carlito" w:cs="Carlito"/>
          <w:highlight w:val="none"/>
        </w:rPr>
        <w:t xml:space="preserve">(Ainsworth &amp; Drake 2020, p. 2). </w:t>
      </w:r>
      <w:r>
        <w:rPr>
          <w:rFonts w:ascii="Carlito" w:hAnsi="Carlito" w:eastAsia="Carlito" w:cs="Carlito"/>
        </w:rPr>
        <w:t xml:space="preserve">The fundamental niche encompasses the full range of environmental conditions and resources under which a species can survive, whereas the realised niche takes into account the influence of other biotic mechanisms, which generally </w:t>
      </w:r>
      <w:r>
        <w:rPr>
          <w:rFonts w:ascii="Carlito" w:hAnsi="Carlito" w:eastAsia="Carlito" w:cs="Carlito"/>
        </w:rPr>
        <w:t xml:space="preserve">reduce the size of the nic</w:t>
      </w:r>
      <w:r>
        <w:rPr>
          <w:rFonts w:ascii="Carlito" w:hAnsi="Carlito" w:eastAsia="Carlito" w:cs="Carlito"/>
        </w:rPr>
        <w:t xml:space="preserve">he, but sometimes also expand it </w:t>
      </w:r>
      <w:r>
        <w:rPr>
          <w:rFonts w:ascii="Carlito" w:hAnsi="Carlito" w:eastAsia="Carlito" w:cs="Carlito"/>
          <w:highlight w:val="none"/>
        </w:rPr>
        <w:t xml:space="preserve">(Ainsworth &amp; Drake 2020, p. 2). </w:t>
      </w:r>
      <w:r>
        <w:rPr>
          <w:rFonts w:ascii="Carlito" w:hAnsi="Carlito" w:eastAsia="Carlito" w:cs="Carlito"/>
        </w:rPr>
        <w:t xml:space="preserve">Species can be classified as habitat generalists or specialists depending on their ability to adapt to environmental variables </w:t>
      </w:r>
      <w:r>
        <w:rPr>
          <w:rFonts w:ascii="Carlito" w:hAnsi="Carlito" w:eastAsia="Carlito" w:cs="Carlito"/>
          <w:highlight w:val="none"/>
        </w:rPr>
        <w:t xml:space="preserve">(Ainsworth &amp; Drake 2020, p. 2f.; Connor et al. 2018, p. 1271)</w:t>
      </w:r>
      <w:r>
        <w:rPr>
          <w:rFonts w:ascii="Carlito" w:hAnsi="Carlito" w:eastAsia="Carlito" w:cs="Carlito"/>
        </w:rPr>
        <w:t xml:space="preserve">. </w:t>
      </w:r>
      <w:r>
        <w:rPr>
          <w:rFonts w:ascii="Carlito" w:hAnsi="Carlito" w:eastAsia="Carlito" w:cs="Carlito"/>
          <w:highlight w:val="none"/>
        </w:rPr>
      </w:r>
      <w:r>
        <w:rPr>
          <w:rFonts w:ascii="Carlito" w:hAnsi="Carlito" w:eastAsia="Carlito" w:cs="Carlito"/>
          <w:highlight w:val="none"/>
        </w:rPr>
      </w:r>
    </w:p>
    <w:p w14:paraId="44F5EF9B">
      <w:pPr>
        <w:pBdr>
          <w:top w:val="none" w:color="000000" w:sz="4" w:space="0"/>
          <w:left w:val="none" w:color="000000" w:sz="4" w:space="0"/>
          <w:bottom w:val="none" w:color="000000" w:sz="4" w:space="0"/>
          <w:right w:val="none" w:color="000000" w:sz="4" w:space="0"/>
        </w:pBdr>
        <w:spacing w:afterAutospacing="0"/>
        <w:ind w:right="0" w:firstLine="0" w:left="0"/>
        <w:jc w:val="both"/>
        <w:rPr>
          <w:rFonts w:ascii="Carlito" w:hAnsi="Carlito" w:cs="Carlito"/>
          <w:sz w:val="24"/>
          <w:szCs w:val="24"/>
        </w:rPr>
      </w:pPr>
      <w:r>
        <w:rPr>
          <w:rFonts w:ascii="Carlito" w:hAnsi="Carlito" w:eastAsia="Carlito" w:cs="Carlito"/>
          <w:highlight w:val="none"/>
        </w:rPr>
      </w:r>
      <w:r>
        <w:rPr>
          <w:rFonts w:ascii="Carlito" w:hAnsi="Carlito" w:eastAsia="Carlito" w:cs="Carlito"/>
        </w:rPr>
        <w:t xml:space="preserve">Since existing studies report contradictory findings on the relationship between niche breadth and SDM performance (</w:t>
      </w:r>
      <w:r>
        <w:rPr>
          <w:rFonts w:ascii="Carlito" w:hAnsi="Carlito" w:eastAsia="Carlito" w:cs="Carlito"/>
          <w:highlight w:val="none"/>
        </w:rPr>
        <w:t xml:space="preserve">Connor et al. 2018</w:t>
      </w:r>
      <w:r>
        <w:rPr>
          <w:rFonts w:ascii="Carlito" w:hAnsi="Carlito" w:eastAsia="Carlito" w:cs="Carlito"/>
        </w:rPr>
        <w:t xml:space="preserve">; </w:t>
      </w:r>
      <w:r>
        <w:rPr>
          <w:rFonts w:ascii="Carlito" w:hAnsi="Carlito" w:eastAsia="Carlito" w:cs="Carlito"/>
          <w:highlight w:val="none"/>
        </w:rPr>
        <w:t xml:space="preserve">Tessarolo</w:t>
      </w:r>
      <w:r>
        <w:rPr>
          <w:rFonts w:ascii="Carlito" w:hAnsi="Carlito" w:eastAsia="Carlito" w:cs="Carlito"/>
          <w:highlight w:val="none"/>
        </w:rPr>
        <w:t xml:space="preserve"> et al. 2021, p. 2)</w:t>
      </w:r>
      <w:r>
        <w:rPr>
          <w:rFonts w:ascii="Carlito" w:hAnsi="Carlito" w:eastAsia="Carlito" w:cs="Carlito"/>
        </w:rPr>
        <w:t xml:space="preserve">, a controlled comparison using virtual species</w:t>
      </w:r>
      <w:r>
        <w:rPr>
          <w:rFonts w:ascii="Carlito" w:hAnsi="Carlito" w:eastAsia="Carlito" w:cs="Carlito"/>
        </w:rPr>
        <w:t xml:space="preserve"> is needed to disentangle the effect of niche breadth from confounding factors inherent to real occurrence data. </w:t>
      </w:r>
      <w:r>
        <w:rPr>
          <w:rFonts w:ascii="Carlito" w:hAnsi="Carlito" w:eastAsia="Carlito" w:cs="Carlito"/>
        </w:rPr>
        <w:t xml:space="preserve">In order to investigate the influence of niche width as a determinant of model performance, we will use virtual species in this study, as these are species whose entire niche and range are known</w:t>
      </w:r>
      <w:r>
        <w:rPr>
          <w:rFonts w:ascii="Carlito" w:hAnsi="Carlito" w:eastAsia="Carlito" w:cs="Carlito"/>
          <w:highlight w:val="none"/>
        </w:rPr>
        <w:t xml:space="preserve"> (</w:t>
      </w:r>
      <w:r>
        <w:rPr>
          <w:rFonts w:ascii="Carlito" w:hAnsi="Carlito" w:eastAsia="Carlito" w:cs="Carlito"/>
          <w:highlight w:val="none"/>
        </w:rPr>
        <w:t xml:space="preserve">Saupe et al. 2012, p. 12</w:t>
      </w:r>
      <w:r>
        <w:rPr>
          <w:rFonts w:ascii="Carlito" w:hAnsi="Carlito" w:eastAsia="Carlito" w:cs="Carlito"/>
          <w:highlight w:val="none"/>
        </w:rPr>
        <w:t xml:space="preserve">). We will use three different algorithms </w:t>
      </w:r>
      <w:r>
        <w:rPr>
          <w:rFonts w:ascii="Carlito" w:hAnsi="Carlito" w:eastAsia="Carlito" w:cs="Carlito"/>
          <w:highlight w:val="none"/>
        </w:rPr>
        <w:t xml:space="preserve">(GLM, MaxEnt, BRT)</w:t>
      </w:r>
      <w:r>
        <w:rPr>
          <w:rFonts w:ascii="Carlito" w:hAnsi="Carlito" w:eastAsia="Carlito" w:cs="Carlito"/>
          <w:highlight w:val="none"/>
        </w:rPr>
        <w:t xml:space="preserve"> to model the distribution of these species in Germany.</w:t>
      </w:r>
      <w:r>
        <w:rPr>
          <w:rFonts w:ascii="Carlito" w:hAnsi="Carlito" w:eastAsia="Carlito" w:cs="Carlito"/>
          <w:highlight w:val="none"/>
        </w:rPr>
        <w:t xml:space="preserve"> </w:t>
      </w:r>
      <w:r>
        <w:rPr>
          <w:rFonts w:ascii="Carlito" w:hAnsi="Carlito" w:cs="Carlito"/>
          <w:sz w:val="24"/>
          <w:szCs w:val="24"/>
        </w:rPr>
      </w:r>
      <w:r>
        <w:rPr>
          <w:rFonts w:ascii="Carlito" w:hAnsi="Carlito" w:cs="Carlito"/>
          <w:sz w:val="24"/>
          <w:szCs w:val="24"/>
        </w:rPr>
      </w:r>
    </w:p>
    <w:p w14:paraId="5EF96330">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b/>
          <w:bCs/>
          <w:sz w:val="24"/>
          <w:szCs w:val="24"/>
          <w:highlight w:val="none"/>
        </w:rPr>
      </w:pPr>
      <w:r>
        <w:rPr>
          <w:rFonts w:ascii="Carlito" w:hAnsi="Carlito" w:eastAsia="Carlito" w:cs="Carlito"/>
          <w:b/>
          <w:color w:val="000000"/>
          <w:sz w:val="24"/>
          <w:u w:val="none"/>
        </w:rPr>
        <w:t xml:space="preserve">Data</w:t>
      </w:r>
      <w:r>
        <w:rPr>
          <w:rFonts w:ascii="Carlito" w:hAnsi="Carlito" w:cs="Carlito"/>
        </w:rPr>
        <w:t xml:space="preserve"> </w:t>
      </w:r>
      <w:r>
        <w:rPr>
          <w:rFonts w:ascii="Carlito" w:hAnsi="Carlito" w:cs="Carlito"/>
          <w:b/>
          <w:bCs/>
          <w:sz w:val="24"/>
          <w:szCs w:val="24"/>
        </w:rPr>
        <w:t xml:space="preserve">and Methods </w:t>
      </w:r>
      <w:r>
        <w:rPr>
          <w:rFonts w:ascii="Carlito" w:hAnsi="Carlito" w:cs="Carlito"/>
          <w:b/>
          <w:bCs/>
          <w:sz w:val="24"/>
          <w:szCs w:val="24"/>
          <w:highlight w:val="none"/>
        </w:rPr>
      </w:r>
      <w:r>
        <w:rPr>
          <w:rFonts w:ascii="Carlito" w:hAnsi="Carlito" w:cs="Carlito"/>
          <w:b/>
          <w:bCs/>
          <w:sz w:val="24"/>
          <w:szCs w:val="24"/>
          <w:highlight w:val="none"/>
        </w:rPr>
      </w:r>
    </w:p>
    <w:p w14:paraId="0C14989A">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Carlito" w:hAnsi="Carlito" w:eastAsia="Carlito" w:cs="Carlito"/>
        </w:rPr>
      </w:pPr>
      <w:r>
        <w:rPr>
          <w:rFonts w:ascii="Carlito" w:hAnsi="Carlito" w:eastAsia="Carlito" w:cs="Carlito"/>
          <w:color w:val="000000"/>
          <w:sz w:val="22"/>
          <w:highlight w:val="none"/>
          <w:u w:val="none"/>
        </w:rPr>
      </w:r>
      <w:r>
        <w:rPr>
          <w:rFonts w:ascii="Carlito" w:hAnsi="Carlito" w:eastAsia="Carlito" w:cs="Carlito"/>
        </w:rPr>
        <w:t xml:space="preserve">Three virtual species with contrasting niche breadths were generated based on bioclimatic variables from the WorldClim 2.1 dataset (Fick &amp; Hijmans 2017), available at a spatial resolution of 30 arc-seconds (~1 km) for Germany.</w:t>
      </w:r>
      <w:r>
        <w:rPr>
          <w:rFonts w:ascii="Carlito" w:hAnsi="Carlito" w:eastAsia="Carlito" w:cs="Carlito"/>
          <w:color w:val="000000"/>
          <w:sz w:val="22"/>
          <w:u w:val="none"/>
        </w:rPr>
        <w:t xml:space="preserve"> Annual mean temperature,</w:t>
      </w:r>
      <w:r>
        <w:rPr>
          <w:rFonts w:ascii="Carlito" w:hAnsi="Carlito" w:eastAsia="Carlito" w:cs="Carlito"/>
          <w:color w:val="000000"/>
          <w:sz w:val="22"/>
          <w:highlight w:val="none"/>
          <w:u w:val="none"/>
        </w:rPr>
        <w:t xml:space="preserve"> </w:t>
      </w:r>
      <w:r>
        <w:rPr>
          <w:rFonts w:ascii="Carlito" w:hAnsi="Carlito" w:eastAsia="Carlito" w:cs="Carlito"/>
          <w:color w:val="000000"/>
          <w:sz w:val="22"/>
          <w:highlight w:val="none"/>
          <w:u w:val="none"/>
        </w:rPr>
        <w:t xml:space="preserve">altitude,</w:t>
      </w:r>
      <w:r>
        <w:rPr>
          <w:rFonts w:ascii="Carlito" w:hAnsi="Carlito" w:eastAsia="Carlito" w:cs="Carlito"/>
          <w:color w:val="000000"/>
          <w:sz w:val="22"/>
          <w:highlight w:val="none"/>
          <w:u w:val="none"/>
        </w:rPr>
        <w:t xml:space="preserve"> </w:t>
      </w:r>
      <w:r>
        <w:rPr>
          <w:rFonts w:ascii="Carlito" w:hAnsi="Carlito" w:eastAsia="Carlito" w:cs="Carlito"/>
          <w:color w:val="000000"/>
          <w:sz w:val="22"/>
          <w:u w:val="none"/>
        </w:rPr>
        <w:t xml:space="preserve">seasona</w:t>
      </w:r>
      <w:r>
        <w:rPr>
          <w:rFonts w:ascii="Carlito" w:hAnsi="Carlito" w:eastAsia="Carlito" w:cs="Carlito"/>
          <w:color w:val="000000"/>
          <w:sz w:val="22"/>
          <w:u w:val="none"/>
        </w:rPr>
        <w:t xml:space="preserve">l precipitation and annual mean evapotranspiration are the environmental variables who have a direct influence on the ecology niche from species (Soultan &amp; Safi 2017, p. 3). </w:t>
      </w:r>
      <w:r>
        <w:rPr>
          <w:rFonts w:ascii="Carlito" w:hAnsi="Carlito" w:eastAsia="Carlito" w:cs="Carlito"/>
        </w:rPr>
        <w:t xml:space="preserve">A Principal Component Analysis (PCA) (</w:t>
      </w:r>
      <w:r>
        <w:rPr>
          <w:rFonts w:ascii="Carlito" w:hAnsi="Carlito" w:eastAsia="Carlito" w:cs="Carlito"/>
        </w:rPr>
        <w:t xml:space="preserve">Leroy et al., p. 600) was conducted on four bioclimatic variables (</w:t>
      </w:r>
      <w:r>
        <w:rPr>
          <w:rFonts w:ascii="Carlito" w:hAnsi="Carlito" w:eastAsia="Carlito" w:cs="Carlito"/>
          <w:highlight w:val="none"/>
        </w:rPr>
        <w:t xml:space="preserve">BIO1: </w:t>
      </w:r>
      <w:r>
        <w:rPr>
          <w:rFonts w:ascii="Carlito" w:hAnsi="Carlito" w:eastAsia="Carlito" w:cs="Carlito"/>
        </w:rPr>
        <w:t xml:space="preserve">Annual Mean Temperature; </w:t>
      </w:r>
      <w:r>
        <w:rPr>
          <w:rFonts w:ascii="Carlito" w:hAnsi="Carlito" w:eastAsia="Carlito" w:cs="Carlito"/>
          <w:highlight w:val="none"/>
        </w:rPr>
        <w:t xml:space="preserve">BIO4: </w:t>
      </w:r>
      <w:r>
        <w:rPr>
          <w:rFonts w:ascii="Carlito" w:hAnsi="Carlito" w:eastAsia="Carlito" w:cs="Carlito"/>
        </w:rPr>
        <w:t xml:space="preserve">Temperature Seasonality; </w:t>
      </w:r>
      <w:r>
        <w:rPr>
          <w:rFonts w:ascii="Carlito" w:hAnsi="Carlito" w:eastAsia="Carlito" w:cs="Carlito"/>
          <w:highlight w:val="none"/>
        </w:rPr>
        <w:t xml:space="preserve">BIO12:</w:t>
      </w:r>
      <w:r>
        <w:rPr>
          <w:rFonts w:ascii="Carlito" w:hAnsi="Carlito" w:eastAsia="Carlito" w:cs="Carlito"/>
          <w:highlight w:val="none"/>
        </w:rPr>
        <w:t xml:space="preserve"> </w:t>
      </w:r>
      <w:r>
        <w:rPr>
          <w:rFonts w:ascii="Carlito" w:hAnsi="Carlito" w:eastAsia="Carlito" w:cs="Carlito"/>
        </w:rPr>
        <w:t xml:space="preserve">Annual Precipitation; </w:t>
      </w:r>
      <w:r>
        <w:rPr>
          <w:rFonts w:ascii="Carlito" w:hAnsi="Carlito" w:eastAsia="Carlito" w:cs="Carlito"/>
          <w:highlight w:val="none"/>
        </w:rPr>
        <w:t xml:space="preserve">BIO15:</w:t>
      </w:r>
      <w:r>
        <w:rPr>
          <w:rFonts w:ascii="Carlito" w:hAnsi="Carlito" w:eastAsia="Carlito" w:cs="Carlito"/>
          <w:highlight w:val="none"/>
        </w:rPr>
        <w:t xml:space="preserve"> </w:t>
      </w:r>
      <w:r>
        <w:rPr>
          <w:rFonts w:ascii="Carlito" w:hAnsi="Carlito" w:eastAsia="Carlito" w:cs="Carlito"/>
        </w:rPr>
        <w:t xml:space="preserve">Precipitation Seasonality</w:t>
      </w:r>
      <w:r>
        <w:rPr>
          <w:rFonts w:ascii="Carlito" w:hAnsi="Carlito" w:eastAsia="Carlito" w:cs="Carlito"/>
        </w:rPr>
        <w:t xml:space="preserve">).  The first two principal components (PC1: 41.8 %, PC2: 40.2 %) together explained 82 % of the total environmental var</w:t>
      </w:r>
      <w:r>
        <w:rPr>
          <w:rFonts w:ascii="Carlito" w:hAnsi="Carlito" w:eastAsia="Carlito" w:cs="Carlito"/>
        </w:rPr>
        <w:t xml:space="preserve">iance across Germany and were used to define the ecological niche of each virtual species. </w:t>
      </w:r>
      <w:r>
        <w:rPr>
          <w:rFonts w:ascii="Carlito" w:hAnsi="Carlito" w:eastAsia="Carlito" w:cs="Carlito"/>
          <w:color w:val="000000"/>
          <w:sz w:val="22"/>
          <w:u w:val="none"/>
        </w:rPr>
        <w:t xml:space="preserve">With this variables the virtual species are generated using the R package </w:t>
      </w:r>
      <w:r>
        <w:rPr>
          <w:rFonts w:ascii="Carlito" w:hAnsi="Carlito" w:eastAsia="Carlito" w:cs="Carlito"/>
          <w:i/>
          <w:color w:val="000000"/>
          <w:sz w:val="22"/>
          <w:u w:val="none"/>
        </w:rPr>
        <w:t xml:space="preserve">virtualspecies </w:t>
      </w:r>
      <w:r>
        <w:rPr>
          <w:rFonts w:ascii="Carlito" w:hAnsi="Carlito" w:eastAsia="Carlito" w:cs="Carlito"/>
          <w:color w:val="000000"/>
          <w:sz w:val="22"/>
          <w:u w:val="none"/>
        </w:rPr>
        <w:t xml:space="preserve">(Leroy et al. 2016). The </w:t>
      </w:r>
      <w:r>
        <w:rPr>
          <w:rFonts w:ascii="Carlito" w:hAnsi="Carlito" w:eastAsia="Carlito" w:cs="Carlito"/>
          <w:color w:val="000000"/>
          <w:sz w:val="22"/>
          <w:highlight w:val="none"/>
          <w:u w:val="none"/>
        </w:rPr>
        <w:t xml:space="preserve">Niche breadth is controlled by the mean standard deviation (σ) of a Gaussian response function </w:t>
      </w:r>
      <w:r>
        <w:rPr>
          <w:rFonts w:ascii="Carlito" w:hAnsi="Carlito" w:eastAsia="Carlito" w:cs="Carlito"/>
        </w:rPr>
        <w:t xml:space="preserve">along both PC axes, representing the proportion of the total environmental range covered by each species: broad-niche species (generali</w:t>
      </w:r>
      <w:r>
        <w:rPr>
          <w:rFonts w:ascii="Carlito" w:hAnsi="Carlito" w:eastAsia="Carlito" w:cs="Carlito"/>
        </w:rPr>
        <w:t xml:space="preserve">st) σ = 0.8 (80 %), intermediate-niche species σ = 0.5 (50 %), and narrow-niche species (specialist) σ = 0.2 (20 %)</w:t>
      </w:r>
      <w:r>
        <w:rPr>
          <w:rFonts w:ascii="Carlito" w:hAnsi="Carlito" w:eastAsia="Carlito" w:cs="Carlito"/>
          <w:color w:val="000000"/>
          <w:sz w:val="22"/>
          <w:highlight w:val="none"/>
          <w:u w:val="none"/>
        </w:rPr>
        <w:t xml:space="preserve"> (cf. S</w:t>
      </w:r>
      <w:r>
        <w:rPr>
          <w:rFonts w:ascii="Carlito" w:hAnsi="Carlito" w:eastAsia="Carlito" w:cs="Carlito"/>
          <w:color w:val="000000"/>
          <w:sz w:val="22"/>
          <w:u w:val="none"/>
        </w:rPr>
        <w:t xml:space="preserve">oultan &amp; Safi 2017, p. 3</w:t>
      </w:r>
      <w:r>
        <w:rPr>
          <w:rFonts w:ascii="Carlito" w:hAnsi="Carlito" w:eastAsia="Carlito" w:cs="Carlito"/>
          <w:color w:val="000000"/>
          <w:sz w:val="22"/>
          <w:highlight w:val="none"/>
          <w:u w:val="none"/>
        </w:rPr>
        <w:t xml:space="preserve">). </w:t>
      </w:r>
      <w:r>
        <w:rPr>
          <w:rFonts w:ascii="Carlito" w:hAnsi="Carlito" w:eastAsia="Carlito" w:cs="Carlito"/>
        </w:rPr>
        <w:t xml:space="preserve">To ensure comparability of model performance across niche breadths, an equal number of presence points </w:t>
      </w:r>
      <w:r>
        <w:rPr>
          <w:rFonts w:ascii="Carlito" w:hAnsi="Carlito" w:eastAsia="Carlito" w:cs="Carlito"/>
          <w:highlight w:val="none"/>
        </w:rPr>
        <w:t xml:space="preserve">(</w:t>
      </w:r>
      <w:r>
        <w:rPr>
          <w:rFonts w:ascii="Carlito" w:hAnsi="Carlito" w:eastAsia="Carlito" w:cs="Carlito"/>
          <w:highlight w:val="none"/>
        </w:rPr>
        <w:t xml:space="preserve">n = 100</w:t>
      </w:r>
      <w:r>
        <w:rPr>
          <w:rFonts w:ascii="Carlito" w:hAnsi="Carlito" w:eastAsia="Carlito" w:cs="Carlito"/>
          <w:highlight w:val="none"/>
        </w:rPr>
        <w:t xml:space="preserve">) </w:t>
      </w:r>
      <w:r>
        <w:rPr>
          <w:rFonts w:ascii="Carlito" w:hAnsi="Carlito" w:eastAsia="Carlito" w:cs="Carlito"/>
        </w:rPr>
        <w:t xml:space="preserve">was sampled for each virtual species, </w:t>
      </w:r>
      <w:r>
        <w:rPr>
          <w:rFonts w:ascii="Carlito" w:hAnsi="Carlito" w:eastAsia="Carlito" w:cs="Carlito"/>
        </w:rPr>
        <w:t xml:space="preserve">as sample size is known to strongly influence SDM performance independently of niche characteristics (Hernandez et al. 2006)</w:t>
      </w:r>
      <w:r>
        <w:rPr>
          <w:rFonts w:ascii="Carlito" w:hAnsi="Carlito" w:eastAsia="Carlito" w:cs="Carlito"/>
        </w:rPr>
        <w:t xml:space="preserve">.</w:t>
      </w:r>
      <w:r>
        <w:rPr>
          <w:rFonts w:ascii="Carlito" w:hAnsi="Carlito" w:eastAsia="Carlito" w:cs="Carlito"/>
          <w:color w:val="000000"/>
          <w:sz w:val="22"/>
          <w:szCs w:val="22"/>
          <w:highlight w:val="none"/>
          <w:u w:val="none"/>
        </w:rPr>
        <w:t xml:space="preserve"> </w:t>
      </w:r>
      <w:r>
        <w:rPr>
          <w:rFonts w:ascii="Carlito" w:hAnsi="Carlito" w:eastAsia="Carlito" w:cs="Carlito"/>
        </w:rPr>
        <w:t xml:space="preserve">Pseudo-absence selection was tailored to each algorithm: GLM used 1,000 randomly selected pseudo-absences with equal weighting, while BRT used pseudo-absences equal in number to the available presences (n = 100), averaged across 10 runs </w:t>
      </w:r>
      <w:r>
        <w:rPr>
          <w:rFonts w:ascii="Carlito" w:hAnsi="Carlito" w:eastAsia="Carlito" w:cs="Carlito"/>
        </w:rPr>
        <w:t xml:space="preserve">(</w:t>
      </w:r>
      <w:r>
        <w:rPr>
          <w:rFonts w:ascii="Carlito" w:hAnsi="Carlito" w:eastAsia="Carlito" w:cs="Carlito"/>
        </w:rPr>
        <w:t xml:space="preserve">Barbet-Massin et al. 2012)</w:t>
      </w:r>
      <w:r>
        <w:rPr>
          <w:rFonts w:ascii="Carlito" w:hAnsi="Carlito" w:eastAsia="Carlito" w:cs="Carlito"/>
        </w:rPr>
        <w:t xml:space="preserve">. MaxEnt does not require pseudo-absences as it is a presence-only method (Phillips et al. 2006)</w:t>
      </w:r>
      <w:r>
        <w:rPr>
          <w:rFonts w:ascii="Carlito" w:hAnsi="Carlito" w:eastAsia="Carlito" w:cs="Carlito"/>
          <w:highlight w:val="none"/>
        </w:rPr>
        <w:t xml:space="preserve">. </w:t>
      </w:r>
      <w:r>
        <w:rPr>
          <w:rFonts w:ascii="Carlito" w:hAnsi="Carlito" w:eastAsia="Carlito" w:cs="Carlito"/>
        </w:rPr>
      </w:r>
      <w:r>
        <w:rPr>
          <w:rFonts w:ascii="Carlito" w:hAnsi="Carlito" w:eastAsia="Carlito" w:cs="Carlito"/>
        </w:rPr>
      </w:r>
    </w:p>
    <w:p w14:paraId="657DC976">
      <w:pPr>
        <w:pBdr>
          <w:top w:val="none" w:color="000000" w:sz="4" w:space="0"/>
          <w:left w:val="none" w:color="000000" w:sz="4" w:space="0"/>
          <w:bottom w:val="none" w:color="000000" w:sz="4" w:space="0"/>
          <w:right w:val="none" w:color="000000" w:sz="4" w:space="0"/>
        </w:pBdr>
        <w:spacing w:after="0" w:before="0" w:line="331" w:lineRule="auto"/>
        <w:ind w:right="0" w:firstLine="0" w:left="0"/>
        <w:jc w:val="both"/>
        <w:rPr>
          <w:rFonts w:ascii="Carlito" w:hAnsi="Carlito" w:eastAsia="Carlito" w:cs="Carlito"/>
          <w:highlight w:val="none"/>
        </w:rPr>
      </w:pPr>
      <w:r>
        <w:rPr>
          <w:rFonts w:ascii="Carlito" w:hAnsi="Carlito" w:eastAsia="Carlito" w:cs="Carlito"/>
          <w:highlight w:val="none"/>
        </w:rPr>
      </w:r>
      <w:r>
        <w:rPr>
          <w:rFonts w:ascii="Carlito" w:hAnsi="Carlito" w:eastAsia="Carlito" w:cs="Carlito"/>
          <w:highlight w:val="none"/>
        </w:rPr>
      </w:r>
      <w:r>
        <w:rPr>
          <w:rFonts w:ascii="Carlito" w:hAnsi="Carlito" w:eastAsia="Carlito" w:cs="Carlito"/>
          <w:highlight w:val="none"/>
        </w:rPr>
      </w:r>
    </w:p>
    <w:p w14:paraId="695F4DFC">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Carlito" w:hAnsi="Carlito" w:cs="Carlito"/>
          <w:highlight w:val="none"/>
        </w:rPr>
      </w:pPr>
      <w:r>
        <w:rPr>
          <w:rFonts w:ascii="Carlito" w:hAnsi="Carlito" w:eastAsia="Carlito" w:cs="Carlito"/>
          <w:highlight w:val="none"/>
        </w:rPr>
      </w:r>
      <w:r>
        <mc:AlternateContent>
          <mc:Choice Requires="wpg">
            <w:drawing>
              <wp:inline xmlns:wp="http://schemas.openxmlformats.org/drawingml/2006/wordprocessingDrawing" distT="0" distB="0" distL="0" distR="0">
                <wp:extent cx="4294410" cy="21329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4959" name=""/>
                        <pic:cNvPicPr>
                          <a:picLocks noChangeAspect="1"/>
                        </pic:cNvPicPr>
                        <pic:nvPr/>
                      </pic:nvPicPr>
                      <pic:blipFill rotWithShape="1">
                        <a:blip r:embed="rId10"/>
                      </pic:blipFill>
                      <pic:spPr bwMode="auto">
                        <a:xfrm rot="0" flipH="0" flipV="0">
                          <a:off x="0" y="0"/>
                          <a:ext cx="4294409" cy="2132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8.14pt;height:167.95pt;mso-wrap-distance-left:0.00pt;mso-wrap-distance-top:0.00pt;mso-wrap-distance-right:0.00pt;mso-wrap-distance-bottom:0.00pt;rotation:0;z-index:1;" stroked="false">
                <v:imagedata r:id="rId10" o:title=""/>
                <o:lock v:ext="edit" rotation="t"/>
              </v:shape>
            </w:pict>
          </mc:Fallback>
        </mc:AlternateContent>
      </w:r>
      <w:r>
        <w:rPr>
          <w:rFonts w:ascii="Carlito" w:hAnsi="Carlito" w:cs="Carlito"/>
          <w:highlight w:val="none"/>
        </w:rPr>
      </w:r>
      <w:r>
        <w:rPr>
          <w:rFonts w:ascii="Carlito" w:hAnsi="Carlito" w:cs="Carlito"/>
          <w:highlight w:val="none"/>
        </w:rPr>
      </w:r>
    </w:p>
    <w:p w14:paraId="50EC301E">
      <w:pPr>
        <w:pBdr>
          <w:top w:val="none" w:color="000000" w:sz="4" w:space="0"/>
          <w:left w:val="none" w:color="000000" w:sz="4" w:space="0"/>
          <w:bottom w:val="none" w:color="000000" w:sz="4" w:space="0"/>
          <w:right w:val="none" w:color="000000" w:sz="4" w:space="0"/>
        </w:pBdr>
        <w:spacing w:after="0" w:before="0" w:line="331" w:lineRule="auto"/>
        <w:ind w:right="0" w:firstLine="0" w:left="709"/>
        <w:rPr>
          <w:rFonts w:ascii="Carlito" w:hAnsi="Carlito" w:cs="Carlito"/>
        </w:rPr>
      </w:pPr>
      <w:r>
        <w:rPr>
          <w:rFonts w:ascii="Carlito" w:hAnsi="Carlito" w:eastAsia="Carlito" w:cs="Carlito"/>
          <w:highlight w:val="none"/>
        </w:rPr>
      </w:r>
      <w:r>
        <w:rPr>
          <w:rFonts w:ascii="Carlito" w:hAnsi="Carlito" w:cs="Carlito"/>
        </w:rPr>
      </w:r>
      <w:r>
        <w:rPr>
          <w:rFonts w:ascii="Carlito" w:hAnsi="Carlito" w:cs="Carlito"/>
        </w:rPr>
      </w:r>
    </w:p>
    <w:p w14:paraId="3F44F05B">
      <w:pPr>
        <w:pBdr>
          <w:top w:val="none" w:color="000000" w:sz="4" w:space="0"/>
          <w:left w:val="none" w:color="000000" w:sz="4" w:space="0"/>
          <w:bottom w:val="none" w:color="000000" w:sz="4" w:space="0"/>
          <w:right w:val="none" w:color="000000" w:sz="4" w:space="0"/>
        </w:pBdr>
        <w:spacing w:line="276" w:lineRule="auto"/>
        <w:ind w:right="0" w:firstLine="0" w:left="0"/>
        <w:jc w:val="both"/>
        <w:rPr/>
      </w:pPr>
      <w:r>
        <w:rPr>
          <w:rFonts w:ascii="Carlito" w:hAnsi="Carlito" w:cs="Carlito"/>
        </w:rPr>
        <w:t xml:space="preserve">The models will be evaluated using threshold-dependent and threshold-independent metrics, to offer a range of </w:t>
      </w:r>
      <w:r>
        <w:rPr>
          <w:rFonts w:ascii="Carlito" w:hAnsi="Carlito" w:cs="Carlito"/>
          <w:highlight w:val="yellow"/>
        </w:rPr>
        <w:t xml:space="preserve">... </w:t>
      </w:r>
      <w:r>
        <w:rPr>
          <w:rFonts w:ascii="Carlito" w:hAnsi="Carlito" w:cs="Carlito"/>
        </w:rPr>
        <w:t xml:space="preserve">TSS is threshold-dependent and measures the model  performance. It is based on the sensitivity and specificity, with a great advantage of it not being dependent of prevalence (</w:t>
      </w:r>
      <w:r>
        <w:rPr>
          <w:rFonts w:ascii="Carlito" w:hAnsi="Carlito" w:eastAsia="Carlito" w:cs="Carlito"/>
          <w:color w:val="000000"/>
          <w:sz w:val="22"/>
        </w:rPr>
        <w:t xml:space="preserve">Allouche et al. 200</w:t>
      </w:r>
      <w:r>
        <w:rPr>
          <w:rFonts w:ascii="Carlito" w:hAnsi="Carlito" w:cs="Carlito"/>
        </w:rPr>
        <w:t xml:space="preserve">6, 1224f.; Connor et al. 2018, 1271)</w:t>
      </w:r>
      <w:r>
        <w:t xml:space="preserve">. </w:t>
      </w:r>
      <w:r>
        <w:rPr>
          <w:rFonts w:ascii="Carlito" w:hAnsi="Carlito" w:eastAsia="Carlito" w:cs="Carlito"/>
        </w:rPr>
        <w:t xml:space="preserve">The area under </w:t>
      </w:r>
      <w:r>
        <w:rPr>
          <w:rFonts w:ascii="Calibri" w:hAnsi="Calibri" w:eastAsia="Calibri" w:cs="Calibri"/>
          <w:sz w:val="22"/>
        </w:rPr>
        <w:t xml:space="preserve">the ROC curve (AUC) also measures the performance, but different to TSS is threshold-independent (</w:t>
      </w:r>
      <w:r>
        <w:rPr>
          <w:rFonts w:ascii="Carlito" w:hAnsi="Carlito" w:eastAsia="Carlito" w:cs="Carlito"/>
          <w:color w:val="000000"/>
          <w:sz w:val="22"/>
        </w:rPr>
        <w:t xml:space="preserve">Allouche et al. 200</w:t>
      </w:r>
      <w:r>
        <w:rPr>
          <w:rFonts w:ascii="Carlito" w:hAnsi="Carlito" w:cs="Carlito"/>
        </w:rPr>
        <w:t xml:space="preserve">6, 1224</w:t>
      </w:r>
      <w:r>
        <w:rPr>
          <w:rFonts w:ascii="Calibri" w:hAnsi="Calibri" w:eastAsia="Calibri" w:cs="Calibri"/>
          <w:sz w:val="22"/>
        </w:rPr>
        <w:t xml:space="preserve">). This metric assesses whether presence locations receive higher predicted probability values than absence locations (McPherson &amp; Jetz 2007, 142).</w:t>
      </w:r>
      <w:r>
        <w:rPr>
          <w:rFonts w:ascii="Calibri" w:hAnsi="Calibri" w:eastAsia="Calibri" w:cs="Calibri"/>
          <w:sz w:val="22"/>
        </w:rPr>
      </w:r>
    </w:p>
    <w:p w14:paraId="5D77286F">
      <w:pPr>
        <w:pBdr>
          <w:top w:val="none" w:color="000000" w:sz="4" w:space="0"/>
          <w:left w:val="none" w:color="000000" w:sz="4" w:space="0"/>
          <w:bottom w:val="none" w:color="000000" w:sz="4" w:space="0"/>
          <w:right w:val="none" w:color="000000" w:sz="4" w:space="0"/>
        </w:pBdr>
        <w:spacing/>
        <w:ind w:right="0" w:firstLine="0" w:left="0"/>
        <w:rPr>
          <w:rFonts w:ascii="Carlito" w:hAnsi="Carlito" w:cs="Carlito"/>
        </w:rPr>
      </w:pPr>
      <w:r>
        <w:rPr>
          <w:rFonts w:ascii="Carlito" w:hAnsi="Carlito" w:cs="Carlito"/>
          <w:highlight w:val="none"/>
        </w:rPr>
      </w:r>
      <w:r>
        <w:rPr>
          <w:rFonts w:ascii="Carlito" w:hAnsi="Carlito" w:cs="Carlito"/>
          <w:highlight w:val="none"/>
        </w:rPr>
      </w:r>
      <w:r>
        <w:rPr>
          <w:rFonts w:ascii="Carlito" w:hAnsi="Carlito" w:cs="Carlito"/>
          <w:highlight w:val="none"/>
        </w:rPr>
      </w:r>
    </w:p>
    <w:p w14:paraId="576C0C3E">
      <w:pPr>
        <w:pBdr>
          <w:top w:val="none" w:color="000000" w:sz="4" w:space="0"/>
          <w:left w:val="none" w:color="000000" w:sz="4" w:space="0"/>
          <w:bottom w:val="none" w:color="000000" w:sz="4" w:space="0"/>
          <w:right w:val="none" w:color="000000" w:sz="4" w:space="0"/>
        </w:pBdr>
        <w:spacing w:after="160" w:before="0" w:line="331" w:lineRule="auto"/>
        <w:ind w:right="0" w:firstLine="0" w:left="0"/>
        <w:jc w:val="both"/>
        <w:rPr>
          <w:rFonts w:ascii="Carlito" w:hAnsi="Carlito" w:cs="Carlito"/>
        </w:rPr>
      </w:pPr>
      <w:r>
        <w:rPr>
          <w:rFonts w:ascii="Carlito" w:hAnsi="Carlito" w:eastAsia="Carlito" w:cs="Carlito"/>
          <w:b/>
          <w:color w:val="000000"/>
          <w:sz w:val="24"/>
          <w:u w:val="none"/>
        </w:rPr>
      </w:r>
      <w:r>
        <w:rPr>
          <w:rFonts w:ascii="Carlito" w:hAnsi="Carlito" w:eastAsia="Carlito" w:cs="Carlito"/>
          <w:b/>
          <w:color w:val="000000"/>
          <w:sz w:val="24"/>
          <w:u w:val="none"/>
        </w:rPr>
        <w:t xml:space="preserve">Discussion</w:t>
      </w:r>
      <w:r>
        <w:rPr>
          <w:rFonts w:ascii="Carlito" w:hAnsi="Carlito" w:cs="Carlito"/>
        </w:rPr>
      </w:r>
      <w:r>
        <w:rPr>
          <w:rFonts w:ascii="Carlito" w:hAnsi="Carlito" w:cs="Carlito"/>
        </w:rPr>
      </w:r>
    </w:p>
    <w:p w14:paraId="1D84C8BA">
      <w:pPr>
        <w:pBdr>
          <w:top w:val="none" w:color="000000" w:sz="4" w:space="0"/>
          <w:left w:val="none" w:color="000000" w:sz="4" w:space="0"/>
          <w:bottom w:val="none" w:color="000000" w:sz="4" w:space="0"/>
          <w:right w:val="none" w:color="000000" w:sz="4" w:space="0"/>
        </w:pBdr>
        <w:spacing/>
        <w:ind w:right="0" w:firstLine="0" w:left="0"/>
        <w:jc w:val="both"/>
        <w:rPr/>
      </w:pPr>
      <w:r>
        <w:rPr>
          <w:rFonts w:ascii="Carlito" w:hAnsi="Carlito" w:cs="Carlito"/>
          <w:color w:val="000000"/>
          <w:sz w:val="22"/>
          <w:szCs w:val="22"/>
          <w:highlight w:val="none"/>
          <w:u w:val="none"/>
        </w:rPr>
      </w:r>
      <w:r>
        <w:rPr>
          <w:rFonts w:ascii="Carlito" w:hAnsi="Carlito" w:cs="Carlito"/>
          <w:color w:val="000000"/>
          <w:sz w:val="22"/>
          <w:szCs w:val="22"/>
          <w:highlight w:val="none"/>
          <w:u w:val="none"/>
        </w:rPr>
        <w:t xml:space="preserve">The niche breadth is expected to have a </w:t>
      </w:r>
      <w:r>
        <w:rPr>
          <w:rFonts w:ascii="Carlito" w:hAnsi="Carlito" w:eastAsia="Carlito" w:cs="Carlito"/>
        </w:rPr>
        <w:t xml:space="preserve">strongly</w:t>
      </w:r>
      <w:r>
        <w:rPr>
          <w:rFonts w:ascii="Carlito" w:hAnsi="Carlito" w:cs="Carlito"/>
          <w:color w:val="000000"/>
          <w:sz w:val="22"/>
          <w:szCs w:val="22"/>
          <w:highlight w:val="none"/>
          <w:u w:val="none"/>
        </w:rPr>
        <w:t xml:space="preserve"> influence on the performance of the different model. Other studies have discovered a correlation between specialized species and a higher accuracy, with descending performances the larger the niche </w:t>
      </w:r>
      <w:r>
        <w:rPr>
          <w:rFonts w:ascii="Carlito" w:hAnsi="Carlito" w:eastAsia="Carlito" w:cs="Carlito"/>
          <w:color w:val="000000"/>
          <w:sz w:val="22"/>
          <w:szCs w:val="22"/>
          <w:highlight w:val="none"/>
          <w:u w:val="none"/>
        </w:rPr>
        <w:t xml:space="preserve">(</w:t>
      </w:r>
      <w:r>
        <w:rPr>
          <w:rFonts w:ascii="Carlito" w:hAnsi="Carlito" w:eastAsia="Carlito" w:cs="Carlito"/>
          <w:color w:val="000000"/>
          <w:sz w:val="22"/>
          <w:szCs w:val="22"/>
        </w:rPr>
        <w:t xml:space="preserve">Connor et al., 2018, p. 1275;</w:t>
      </w:r>
      <w:r>
        <w:rPr>
          <w:rFonts w:ascii="Times New Roman" w:hAnsi="Times New Roman" w:eastAsia="Times New Roman" w:cs="Times New Roman"/>
          <w:color w:val="000000"/>
          <w:sz w:val="24"/>
        </w:rPr>
        <w:t xml:space="preserve"> </w:t>
      </w:r>
      <w:r>
        <w:rPr>
          <w:rFonts w:ascii="Carlito" w:hAnsi="Carlito" w:eastAsia="Carlito" w:cs="Carlito"/>
          <w:color w:val="000000"/>
          <w:sz w:val="22"/>
          <w:szCs w:val="20"/>
        </w:rPr>
        <w:t xml:space="preserve">Hernandez et al., 2006, p. 774</w:t>
      </w:r>
      <w:r>
        <w:rPr>
          <w:rFonts w:ascii="Carlito" w:hAnsi="Carlito" w:cs="Carlito"/>
          <w:color w:val="000000"/>
          <w:sz w:val="22"/>
          <w:szCs w:val="22"/>
          <w:highlight w:val="none"/>
          <w:u w:val="none"/>
        </w:rPr>
        <w:t xml:space="preserve">), that we also expect in our analysis. Additionally, we put forward the following hypotheses:</w:t>
      </w:r>
      <w:r>
        <w:rPr>
          <w:rFonts w:ascii="Times New Roman" w:hAnsi="Times New Roman" w:eastAsia="Times New Roman" w:cs="Times New Roman"/>
          <w:sz w:val="24"/>
        </w:rPr>
      </w:r>
      <w:r/>
    </w:p>
    <w:p w14:paraId="51C6E091">
      <w:pPr>
        <w:pBdr>
          <w:top w:val="none" w:color="000000" w:sz="4" w:space="0"/>
          <w:left w:val="none" w:color="000000" w:sz="4" w:space="0"/>
          <w:bottom w:val="none" w:color="000000" w:sz="4" w:space="0"/>
          <w:right w:val="none" w:color="000000" w:sz="4" w:space="0"/>
        </w:pBdr>
        <w:spacing/>
        <w:ind w:right="0" w:firstLine="0" w:left="283"/>
        <w:jc w:val="both"/>
        <w:rPr>
          <w:rFonts w:ascii="Carlito" w:hAnsi="Carlito" w:cs="Carlito"/>
          <w:sz w:val="20"/>
          <w:szCs w:val="20"/>
          <w:highlight w:val="none"/>
        </w:rPr>
      </w:pPr>
      <w:r>
        <w:rPr>
          <w:rFonts w:ascii="Carlito" w:hAnsi="Carlito" w:eastAsia="Carlito" w:cs="Carlito"/>
          <w:b/>
          <w:color w:val="000000"/>
          <w:sz w:val="22"/>
          <w:szCs w:val="20"/>
        </w:rPr>
        <w:t xml:space="preserve">H1:</w:t>
      </w:r>
      <w:r>
        <w:rPr>
          <w:rFonts w:ascii="Carlito" w:hAnsi="Carlito" w:eastAsia="Carlito" w:cs="Carlito"/>
          <w:color w:val="000000"/>
          <w:sz w:val="22"/>
          <w:szCs w:val="20"/>
        </w:rPr>
        <w:t xml:space="preserve"> </w:t>
      </w:r>
      <w:r>
        <w:rPr>
          <w:rFonts w:ascii="Carlito" w:hAnsi="Carlito" w:eastAsia="Carlito" w:cs="Carlito"/>
        </w:rPr>
        <w:t xml:space="preserve">Specialist species with narrow niches are modelled more accurately than generalists across all three algorithms</w:t>
      </w:r>
      <w:r>
        <w:rPr>
          <w:rFonts w:ascii="Carlito" w:hAnsi="Carlito" w:eastAsia="Carlito" w:cs="Carlito"/>
          <w:i w:val="0"/>
          <w:iCs w:val="0"/>
          <w:color w:val="000000"/>
          <w:sz w:val="22"/>
          <w:szCs w:val="20"/>
        </w:rPr>
        <w:t xml:space="preserve"> </w:t>
      </w:r>
      <w:r>
        <w:rPr>
          <w:rFonts w:ascii="Carlito" w:hAnsi="Carlito" w:eastAsia="Carlito" w:cs="Carlito"/>
          <w:i w:val="0"/>
          <w:iCs w:val="0"/>
          <w:color w:val="000000"/>
          <w:sz w:val="22"/>
          <w:szCs w:val="20"/>
        </w:rPr>
        <w:t xml:space="preserve">(Connor et al. 2018; </w:t>
      </w:r>
      <w:r>
        <w:rPr>
          <w:rFonts w:ascii="Carlito" w:hAnsi="Carlito" w:eastAsia="Carlito" w:cs="Carlito"/>
          <w:color w:val="000000"/>
          <w:sz w:val="22"/>
          <w:szCs w:val="20"/>
        </w:rPr>
        <w:t xml:space="preserve">Hernandez et al., 2006</w:t>
      </w:r>
      <w:r>
        <w:rPr>
          <w:rFonts w:ascii="Carlito" w:hAnsi="Carlito" w:eastAsia="Carlito" w:cs="Carlito"/>
          <w:i w:val="0"/>
          <w:iCs w:val="0"/>
          <w:color w:val="000000"/>
          <w:sz w:val="22"/>
          <w:szCs w:val="20"/>
        </w:rPr>
        <w:t xml:space="preserve">; </w:t>
      </w:r>
      <w:r>
        <w:rPr>
          <w:rFonts w:ascii="Carlito" w:hAnsi="Carlito" w:eastAsia="Carlito" w:cs="Carlito"/>
          <w:i w:val="0"/>
          <w:iCs w:val="0"/>
          <w:color w:val="000000"/>
          <w:sz w:val="22"/>
          <w:szCs w:val="20"/>
          <w:highlight w:val="none"/>
        </w:rPr>
        <w:t xml:space="preserve">Tessarolo et al. 2021</w:t>
      </w:r>
      <w:r>
        <w:rPr>
          <w:rFonts w:ascii="Carlito" w:hAnsi="Carlito" w:eastAsia="Carlito" w:cs="Carlito"/>
          <w:i w:val="0"/>
          <w:iCs w:val="0"/>
          <w:color w:val="000000"/>
          <w:sz w:val="22"/>
          <w:szCs w:val="20"/>
          <w:highlight w:val="none"/>
        </w:rPr>
        <w:t xml:space="preserve">)</w:t>
      </w:r>
      <w:r>
        <w:rPr>
          <w:rFonts w:ascii="Carlito" w:hAnsi="Carlito" w:cs="Carlito"/>
          <w:i w:val="0"/>
          <w:iCs w:val="0"/>
          <w:sz w:val="20"/>
          <w:szCs w:val="20"/>
          <w:highlight w:val="none"/>
        </w:rPr>
        <w:t xml:space="preserve">. </w:t>
      </w:r>
      <w:r>
        <w:rPr>
          <w:rFonts w:ascii="Carlito" w:hAnsi="Carlito" w:eastAsia="Carlito" w:cs="Carlito"/>
          <w:bCs/>
          <w:i/>
          <w:color w:val="000000"/>
          <w:sz w:val="22"/>
          <w:szCs w:val="22"/>
          <w:highlight w:val="none"/>
        </w:rPr>
      </w:r>
      <w:r>
        <w:rPr>
          <w:rFonts w:ascii="Carlito" w:hAnsi="Carlito" w:cs="Carlito"/>
          <w:sz w:val="20"/>
          <w:szCs w:val="20"/>
          <w:highlight w:val="none"/>
        </w:rPr>
      </w:r>
    </w:p>
    <w:p w14:paraId="3FA576A4">
      <w:pPr>
        <w:pBdr>
          <w:top w:val="none" w:color="000000" w:sz="4" w:space="0"/>
          <w:left w:val="none" w:color="000000" w:sz="4" w:space="0"/>
          <w:bottom w:val="none" w:color="000000" w:sz="4" w:space="0"/>
          <w:right w:val="none" w:color="000000" w:sz="4" w:space="0"/>
        </w:pBdr>
        <w:spacing/>
        <w:ind w:right="0" w:firstLine="0" w:left="283"/>
        <w:jc w:val="both"/>
        <w:rPr>
          <w:rFonts w:ascii="Carlito" w:hAnsi="Carlito" w:cs="Carlito"/>
          <w:bCs w:val="0"/>
          <w:i w:val="0"/>
          <w:sz w:val="20"/>
          <w:szCs w:val="20"/>
          <w:highlight w:val="none"/>
        </w:rPr>
      </w:pPr>
      <w:r>
        <w:rPr>
          <w:rFonts w:ascii="Carlito" w:hAnsi="Carlito" w:eastAsia="Carlito" w:cs="Carlito"/>
          <w:b/>
          <w:color w:val="000000"/>
          <w:sz w:val="22"/>
          <w:szCs w:val="20"/>
        </w:rPr>
        <w:t xml:space="preserve">H2:</w:t>
      </w:r>
      <w:r>
        <w:rPr>
          <w:rFonts w:ascii="Carlito" w:hAnsi="Carlito" w:eastAsia="Carlito" w:cs="Carlito"/>
          <w:color w:val="000000"/>
          <w:sz w:val="22"/>
          <w:szCs w:val="20"/>
        </w:rPr>
        <w:t xml:space="preserve"> </w:t>
      </w:r>
      <w:r>
        <w:rPr>
          <w:rFonts w:ascii="Carlito" w:hAnsi="Carlito" w:eastAsia="Carlito" w:cs="Carlito"/>
        </w:rPr>
        <w:t xml:space="preserve">MaxEnt and BRT outperform GLM across all niche breadths, but may differ from each other in their sensitivity to niche breadth</w:t>
      </w:r>
      <w:r>
        <w:rPr>
          <w:rFonts w:ascii="Carlito" w:hAnsi="Carlito" w:eastAsia="Carlito" w:cs="Carlito"/>
          <w:color w:val="000000"/>
          <w:sz w:val="22"/>
          <w:szCs w:val="20"/>
          <w:highlight w:val="none"/>
        </w:rPr>
        <w:t xml:space="preserve"> </w:t>
      </w:r>
      <w:r>
        <w:rPr>
          <w:rFonts w:ascii="Carlito" w:hAnsi="Carlito" w:eastAsia="Carlito" w:cs="Carlito"/>
          <w:i w:val="0"/>
          <w:iCs w:val="0"/>
          <w:color w:val="000000"/>
          <w:sz w:val="22"/>
          <w:szCs w:val="20"/>
          <w:highlight w:val="none"/>
        </w:rPr>
        <w:t xml:space="preserve">(</w:t>
      </w:r>
      <w:r>
        <w:rPr>
          <w:rFonts w:ascii="Carlito" w:hAnsi="Carlito" w:eastAsia="Carlito" w:cs="Carlito"/>
          <w:i w:val="0"/>
          <w:iCs w:val="0"/>
          <w:color w:val="000000"/>
          <w:sz w:val="22"/>
          <w:szCs w:val="20"/>
          <w:highlight w:val="none"/>
        </w:rPr>
        <w:t xml:space="preserve">Elith et al. 2008; Valavi et al. 2022</w:t>
      </w:r>
      <w:r>
        <w:rPr>
          <w:rFonts w:ascii="Carlito" w:hAnsi="Carlito" w:eastAsia="Carlito" w:cs="Carlito"/>
          <w:i w:val="0"/>
          <w:iCs w:val="0"/>
          <w:color w:val="000000"/>
          <w:sz w:val="22"/>
          <w:szCs w:val="20"/>
          <w:highlight w:val="none"/>
        </w:rPr>
        <w:t xml:space="preserve">)</w:t>
      </w:r>
      <w:r>
        <w:rPr>
          <w:rFonts w:ascii="Carlito" w:hAnsi="Carlito" w:eastAsia="Carlito" w:cs="Carlito"/>
          <w:i w:val="0"/>
          <w:iCs w:val="0"/>
          <w:sz w:val="20"/>
          <w:szCs w:val="20"/>
          <w:highlight w:val="none"/>
        </w:rPr>
        <w:t xml:space="preserve">. </w:t>
      </w:r>
      <w:r>
        <w:rPr>
          <w:rFonts w:ascii="Carlito" w:hAnsi="Carlito" w:eastAsia="Carlito" w:cs="Carlito"/>
          <w:sz w:val="20"/>
          <w:szCs w:val="20"/>
        </w:rPr>
      </w:r>
      <w:r>
        <w:rPr>
          <w:rFonts w:ascii="Carlito" w:hAnsi="Carlito" w:cs="Carlito"/>
          <w:bCs w:val="0"/>
          <w:i w:val="0"/>
          <w:sz w:val="20"/>
          <w:szCs w:val="20"/>
          <w:highlight w:val="none"/>
        </w:rPr>
      </w:r>
    </w:p>
    <w:p w14:paraId="61451301">
      <w:pPr>
        <w:pBdr>
          <w:top w:val="none" w:color="000000" w:sz="4" w:space="0"/>
          <w:left w:val="none" w:color="000000" w:sz="4" w:space="0"/>
          <w:bottom w:val="none" w:color="000000" w:sz="4" w:space="0"/>
          <w:right w:val="none" w:color="000000" w:sz="4" w:space="0"/>
        </w:pBdr>
        <w:spacing w:after="0" w:before="0" w:line="276" w:lineRule="auto"/>
        <w:ind w:right="0" w:firstLine="0" w:left="0"/>
        <w:jc w:val="both"/>
        <w:rPr>
          <w:rFonts w:ascii="Carlito" w:hAnsi="Carlito" w:cs="Carlito"/>
          <w:highlight w:val="none"/>
        </w:rPr>
      </w:pPr>
      <w:r>
        <w:rPr>
          <w:rFonts w:ascii="Carlito" w:hAnsi="Carlito" w:eastAsia="Carlito" w:cs="Carlito"/>
        </w:rPr>
      </w:r>
      <w:r>
        <w:rPr>
          <w:rFonts w:ascii="Carlito" w:hAnsi="Carlito" w:cs="Carlito"/>
        </w:rPr>
        <w:t xml:space="preserve">One limiting factor is the small number of species and algorithms </w:t>
      </w:r>
      <w:r>
        <w:rPr>
          <w:rFonts w:ascii="Carlito" w:hAnsi="Carlito" w:cs="Carlito"/>
        </w:rPr>
        <w:t xml:space="preserve">as well as the few evaluation metrics </w:t>
      </w:r>
      <w:r>
        <w:rPr>
          <w:rFonts w:ascii="Carlito" w:hAnsi="Carlito" w:cs="Carlito"/>
        </w:rPr>
        <w:t xml:space="preserve">used</w:t>
      </w:r>
      <w:r>
        <w:rPr>
          <w:rFonts w:ascii="Carlito" w:hAnsi="Carlito" w:cs="Carlito"/>
        </w:rPr>
        <w:t xml:space="preserve">, leading to restricted results with limited informative value. Another fa</w:t>
      </w:r>
      <w:r>
        <w:rPr>
          <w:rFonts w:ascii="Carlito" w:hAnsi="Carlito" w:cs="Carlito"/>
        </w:rPr>
        <w:t xml:space="preserve">ctor that could be implemented in  future research is the number of sample sizes of the different species. As Hernandez et al. (2006) have discussed, this also has an important influence on the performance of the models and should therefore be considered. </w:t>
      </w:r>
      <w:r>
        <w:rPr>
          <w:rFonts w:ascii="Carlito" w:hAnsi="Carlito" w:cs="Carlito"/>
          <w:highlight w:val="none"/>
        </w:rPr>
        <w:t xml:space="preserve">Furthermore</w:t>
      </w:r>
      <w:r>
        <w:rPr>
          <w:rFonts w:ascii="Carlito" w:hAnsi="Carlito" w:cs="Carlito"/>
        </w:rPr>
        <w:t xml:space="preserve">, </w:t>
      </w:r>
      <w:r>
        <w:rPr>
          <w:rFonts w:ascii="Carlito" w:hAnsi="Carlito" w:eastAsia="Carlito" w:cs="Carlito"/>
        </w:rPr>
        <w:t xml:space="preserve">the virtual species were simulated based on a static climatic time stamp, including seasonality variables (BIO4, BIO15) that describe spatial climatic patterns rather than temporal dynamic</w:t>
      </w:r>
      <w:r>
        <w:rPr>
          <w:rFonts w:ascii="Carlito" w:hAnsi="Carlito" w:eastAsia="Carlito" w:cs="Carlito"/>
        </w:rPr>
        <w:t xml:space="preserve">s in this case. Because of that, the transferability of results to real species responding to actual seasonal variation may be limited.</w:t>
      </w:r>
      <w:r>
        <w:rPr>
          <w:rFonts w:ascii="Carlito" w:hAnsi="Carlito" w:cs="Carlito"/>
          <w:highlight w:val="none"/>
        </w:rPr>
      </w:r>
      <w:r>
        <w:rPr>
          <w:rFonts w:ascii="Carlito" w:hAnsi="Carlito" w:cs="Carlito"/>
          <w:highlight w:val="none"/>
        </w:rPr>
      </w:r>
    </w:p>
    <w:p w14:paraId="02998D10">
      <w:pPr>
        <w:pBdr>
          <w:top w:val="none" w:color="000000" w:sz="4" w:space="0"/>
          <w:left w:val="none" w:color="000000" w:sz="4" w:space="0"/>
          <w:bottom w:val="none" w:color="000000" w:sz="4" w:space="0"/>
          <w:right w:val="none" w:color="000000" w:sz="4" w:space="0"/>
        </w:pBdr>
        <w:spacing w:after="0" w:before="0" w:line="331" w:lineRule="auto"/>
        <w:ind w:right="0"/>
        <w:rPr>
          <w:rFonts w:ascii="Carlito" w:hAnsi="Carlito" w:cs="Carlito"/>
        </w:rPr>
      </w:pPr>
      <w:r>
        <w:rPr>
          <w:rFonts w:ascii="Carlito" w:hAnsi="Carlito" w:eastAsia="Carlito" w:cs="Carlito"/>
        </w:rPr>
      </w:r>
      <w:r>
        <w:rPr>
          <w:rFonts w:ascii="Carlito" w:hAnsi="Carlito" w:cs="Carlito"/>
        </w:rPr>
      </w:r>
      <w:r>
        <w:rPr>
          <w:rFonts w:ascii="Carlito" w:hAnsi="Carlito" w:cs="Carlito"/>
        </w:rPr>
      </w:r>
    </w:p>
    <w:p w14:paraId="2C9856C7">
      <w:pPr>
        <w:pBdr>
          <w:top w:val="none" w:color="000000" w:sz="4" w:space="0"/>
          <w:left w:val="none" w:color="000000" w:sz="4" w:space="0"/>
          <w:bottom w:val="none" w:color="000000" w:sz="4" w:space="0"/>
          <w:right w:val="none" w:color="000000" w:sz="4" w:space="0"/>
        </w:pBdr>
        <w:spacing w:after="0" w:before="0" w:line="331" w:lineRule="auto"/>
        <w:ind w:right="0"/>
        <w:rPr>
          <w:rFonts w:ascii="Carlito" w:hAnsi="Carlito" w:cs="Carlito"/>
          <w:b/>
          <w:bCs/>
          <w:color w:val="000000"/>
          <w:sz w:val="24"/>
          <w:szCs w:val="24"/>
          <w:highlight w:val="none"/>
          <w:u w:val="none"/>
        </w:rPr>
      </w:pPr>
      <w:r>
        <w:rPr>
          <w:rFonts w:ascii="Carlito" w:hAnsi="Carlito" w:eastAsia="Carlito" w:cs="Carlito"/>
          <w:b/>
          <w:bCs/>
          <w:color w:val="000000"/>
          <w:sz w:val="24"/>
          <w:szCs w:val="24"/>
          <w:highlight w:val="none"/>
          <w:u w:val="none"/>
        </w:rPr>
        <w:t xml:space="preserve">Timetable</w:t>
      </w:r>
      <w:r>
        <w:rPr>
          <w:rFonts w:ascii="Carlito" w:hAnsi="Carlito" w:cs="Carlito"/>
          <w:b/>
          <w:bCs/>
          <w:color w:val="000000"/>
          <w:sz w:val="24"/>
          <w:szCs w:val="24"/>
          <w:highlight w:val="none"/>
          <w:u w:val="none"/>
        </w:rPr>
        <w:t xml:space="preserve"> </w:t>
      </w:r>
      <w:r>
        <w:rPr>
          <w:rFonts w:ascii="Carlito" w:hAnsi="Carlito" w:cs="Carlito"/>
          <w:b/>
          <w:bCs/>
          <w:color w:val="000000"/>
          <w:sz w:val="24"/>
          <w:szCs w:val="24"/>
          <w:highlight w:val="none"/>
          <w:u w:val="none"/>
        </w:rPr>
      </w:r>
      <w:r>
        <w:rPr>
          <w:rFonts w:ascii="Carlito" w:hAnsi="Carlito" w:cs="Carlito"/>
          <w:b/>
          <w:bCs/>
          <w:color w:val="000000"/>
          <w:sz w:val="24"/>
          <w:szCs w:val="24"/>
          <w:highlight w:val="none"/>
          <w:u w:val="none"/>
        </w:rPr>
      </w:r>
    </w:p>
    <w:tbl>
      <w:tblPr>
        <w:tblStyle w:val="725"/>
        <w:tblW w:w="0" w:type="auto"/>
        <w:tblBorders/>
        <w:tblLayout w:type="fixed"/>
        <w:tblLook w:val="04A0" w:firstRow="1" w:lastRow="0" w:firstColumn="1" w:lastColumn="0" w:noHBand="0" w:noVBand="1"/>
      </w:tblPr>
      <w:tblGrid>
        <w:gridCol w:w="2409"/>
        <w:gridCol w:w="6946"/>
      </w:tblGrid>
      <w:tr>
        <w:trPr/>
        <w:tc>
          <w:tcPr>
            <w:tcBorders/>
            <w:tcW w:w="2409" w:type="dxa"/>
          </w:tcPr>
          <w:p w14:paraId="0E75DFDF">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17.06.2026</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c>
          <w:tcPr>
            <w:tcBorders/>
            <w:tcW w:w="6946" w:type="dxa"/>
          </w:tcPr>
          <w:p w14:paraId="2D5A7B97">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Project outline</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r>
      <w:tr>
        <w:trPr/>
        <w:tc>
          <w:tcPr>
            <w:tcBorders/>
            <w:tcW w:w="2409" w:type="dxa"/>
          </w:tcPr>
          <w:p w14:paraId="0EC6CD1B">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30.06.2026</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c>
          <w:tcPr>
            <w:tcBorders/>
            <w:tcW w:w="6946" w:type="dxa"/>
          </w:tcPr>
          <w:p w14:paraId="3548B6E5">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Write code</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r>
      <w:tr>
        <w:trPr/>
        <w:tc>
          <w:tcPr>
            <w:tcBorders/>
            <w:tcW w:w="2409" w:type="dxa"/>
            <w:vMerge w:val="restart"/>
          </w:tcPr>
          <w:p w14:paraId="6C50292D">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12.07.2026</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c>
          <w:tcPr>
            <w:tcBorders/>
            <w:tcW w:w="6946" w:type="dxa"/>
            <w:vMerge w:val="restart"/>
          </w:tcPr>
          <w:p w14:paraId="727F4973">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Data analysis + Discussion</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r>
      <w:tr>
        <w:trPr>
          <w:trHeight w:val="365"/>
        </w:trPr>
        <w:tc>
          <w:tcPr>
            <w:tcBorders/>
            <w:tcW w:w="2409" w:type="dxa"/>
            <w:vMerge w:val="restart"/>
          </w:tcPr>
          <w:p w14:paraId="1A0E9D22">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31.07.2026</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c>
          <w:tcPr>
            <w:tcBorders/>
            <w:tcW w:w="6946" w:type="dxa"/>
            <w:vMerge w:val="restart"/>
          </w:tcPr>
          <w:p w14:paraId="6F433CBC">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cs="Carlito"/>
                <w:color w:val="000000"/>
                <w:sz w:val="20"/>
                <w:szCs w:val="20"/>
                <w:highlight w:val="none"/>
                <w:u w:val="none"/>
              </w:rPr>
            </w:pPr>
            <w:r>
              <w:rPr>
                <w:rFonts w:ascii="Carlito" w:hAnsi="Carlito" w:eastAsia="Carlito" w:cs="Carlito"/>
                <w:color w:val="000000"/>
                <w:sz w:val="20"/>
                <w:szCs w:val="20"/>
                <w:highlight w:val="none"/>
                <w:u w:val="none"/>
              </w:rPr>
              <w:t xml:space="preserve">Final writing —&gt; finished report</w:t>
            </w:r>
            <w:r>
              <w:rPr>
                <w:rFonts w:ascii="Carlito" w:hAnsi="Carlito" w:cs="Carlito"/>
                <w:color w:val="000000"/>
                <w:sz w:val="20"/>
                <w:szCs w:val="20"/>
                <w:highlight w:val="none"/>
                <w:u w:val="none"/>
              </w:rPr>
            </w:r>
            <w:r>
              <w:rPr>
                <w:rFonts w:ascii="Carlito" w:hAnsi="Carlito" w:cs="Carlito"/>
                <w:color w:val="000000"/>
                <w:sz w:val="20"/>
                <w:szCs w:val="20"/>
                <w:highlight w:val="none"/>
                <w:u w:val="none"/>
              </w:rPr>
            </w:r>
          </w:p>
        </w:tc>
      </w:tr>
      <w:tr>
        <w:trPr/>
        <w:tc>
          <w:tcPr>
            <w:tcBorders/>
            <w:tcW w:w="2409" w:type="dxa"/>
            <w:vMerge w:val="restart"/>
          </w:tcPr>
          <w:p w14:paraId="61DE17E5">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eastAsia="Carlito" w:cs="Carlito"/>
                <w:color w:val="000000"/>
                <w:sz w:val="20"/>
                <w:szCs w:val="20"/>
                <w:highlight w:val="none"/>
                <w:u w:val="none"/>
              </w:rPr>
            </w:pPr>
            <w:r>
              <w:rPr>
                <w:rFonts w:ascii="Carlito" w:hAnsi="Carlito" w:eastAsia="Carlito" w:cs="Carlito"/>
                <w:color w:val="000000"/>
                <w:sz w:val="20"/>
                <w:szCs w:val="20"/>
                <w:highlight w:val="none"/>
                <w:u w:val="none"/>
              </w:rPr>
              <w:t xml:space="preserve">20.08.2026</w:t>
            </w:r>
            <w:r>
              <w:rPr>
                <w:rFonts w:ascii="Carlito" w:hAnsi="Carlito" w:eastAsia="Carlito" w:cs="Carlito"/>
                <w:color w:val="000000"/>
                <w:sz w:val="20"/>
                <w:szCs w:val="20"/>
                <w:highlight w:val="none"/>
                <w:u w:val="none"/>
              </w:rPr>
            </w:r>
            <w:r>
              <w:rPr>
                <w:rFonts w:ascii="Carlito" w:hAnsi="Carlito" w:eastAsia="Carlito" w:cs="Carlito"/>
                <w:color w:val="000000"/>
                <w:sz w:val="20"/>
                <w:szCs w:val="20"/>
                <w:highlight w:val="none"/>
                <w:u w:val="none"/>
              </w:rPr>
            </w:r>
          </w:p>
        </w:tc>
        <w:tc>
          <w:tcPr>
            <w:tcBorders/>
            <w:tcW w:w="6946" w:type="dxa"/>
            <w:vMerge w:val="restart"/>
          </w:tcPr>
          <w:p w14:paraId="67496566">
            <w:pPr>
              <w:pBdr>
                <w:top w:val="none" w:color="000000" w:sz="4" w:space="0"/>
                <w:left w:val="none" w:color="000000" w:sz="4" w:space="0"/>
                <w:bottom w:val="none" w:color="000000" w:sz="4" w:space="0"/>
                <w:right w:val="none" w:color="000000" w:sz="4" w:space="0"/>
              </w:pBdr>
              <w:spacing w:after="0" w:before="0" w:line="331" w:lineRule="auto"/>
              <w:ind/>
              <w:rPr>
                <w:rFonts w:ascii="Carlito" w:hAnsi="Carlito" w:eastAsia="Carlito" w:cs="Carlito"/>
                <w:color w:val="000000"/>
                <w:sz w:val="20"/>
                <w:szCs w:val="20"/>
                <w:highlight w:val="none"/>
                <w:u w:val="none"/>
              </w:rPr>
            </w:pPr>
            <w:r>
              <w:rPr>
                <w:rFonts w:ascii="Carlito" w:hAnsi="Carlito" w:eastAsia="Carlito" w:cs="Carlito"/>
                <w:color w:val="000000"/>
                <w:sz w:val="20"/>
                <w:szCs w:val="20"/>
                <w:highlight w:val="none"/>
                <w:u w:val="none"/>
              </w:rPr>
              <w:t xml:space="preserve">Buffer time </w:t>
            </w:r>
            <w:r>
              <w:rPr>
                <w:rFonts w:ascii="Carlito" w:hAnsi="Carlito" w:eastAsia="Carlito" w:cs="Carlito"/>
                <w:color w:val="000000"/>
                <w:sz w:val="20"/>
                <w:szCs w:val="20"/>
                <w:highlight w:val="none"/>
                <w:u w:val="none"/>
              </w:rPr>
            </w:r>
            <w:r>
              <w:rPr>
                <w:rFonts w:ascii="Carlito" w:hAnsi="Carlito" w:eastAsia="Carlito" w:cs="Carlito"/>
                <w:color w:val="000000"/>
                <w:sz w:val="20"/>
                <w:szCs w:val="20"/>
                <w:highlight w:val="none"/>
                <w:u w:val="none"/>
              </w:rPr>
            </w:r>
          </w:p>
        </w:tc>
      </w:tr>
    </w:tbl>
    <w:p w14:paraId="5158977E">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Carlito" w:hAnsi="Carlito" w:cs="Carlito"/>
          <w:sz w:val="20"/>
          <w:szCs w:val="20"/>
        </w:rPr>
      </w:pPr>
      <w:r>
        <w:rPr>
          <w:rFonts w:ascii="Carlito" w:hAnsi="Carlito" w:eastAsia="Carlito" w:cs="Carlito"/>
          <w:sz w:val="20"/>
          <w:szCs w:val="20"/>
          <w:highlight w:val="none"/>
        </w:rPr>
      </w:r>
      <w:r>
        <w:rPr>
          <w:rFonts w:ascii="Carlito" w:hAnsi="Carlito" w:cs="Carlito"/>
          <w:sz w:val="20"/>
          <w:szCs w:val="20"/>
        </w:rPr>
      </w:r>
      <w:r>
        <w:rPr>
          <w:rFonts w:ascii="Carlito" w:hAnsi="Carlito" w:cs="Carlito"/>
          <w:sz w:val="20"/>
          <w:szCs w:val="20"/>
        </w:rPr>
      </w:r>
    </w:p>
    <w:p w14:paraId="45CE3D0B">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b/>
          <w:bCs/>
          <w:sz w:val="24"/>
          <w:szCs w:val="24"/>
        </w:rPr>
      </w:pPr>
      <w:r>
        <w:rPr>
          <w:rFonts w:ascii="Carlito" w:hAnsi="Carlito" w:eastAsia="Carlito" w:cs="Carlito"/>
          <w:b/>
          <w:bCs/>
          <w:sz w:val="24"/>
          <w:szCs w:val="24"/>
          <w:highlight w:val="none"/>
        </w:rPr>
      </w:r>
      <w:r>
        <w:rPr>
          <w:rFonts w:ascii="Carlito" w:hAnsi="Carlito" w:eastAsia="Carlito" w:cs="Carlito"/>
          <w:b/>
          <w:bCs/>
          <w:sz w:val="24"/>
          <w:szCs w:val="24"/>
          <w:highlight w:val="none"/>
        </w:rPr>
        <w:t xml:space="preserve">References</w:t>
      </w:r>
      <w:r>
        <w:rPr>
          <w:rFonts w:ascii="Carlito" w:hAnsi="Carlito" w:cs="Carlito"/>
          <w:b/>
          <w:bCs/>
          <w:sz w:val="24"/>
          <w:szCs w:val="24"/>
        </w:rPr>
      </w:r>
      <w:r>
        <w:rPr>
          <w:rFonts w:ascii="Carlito" w:hAnsi="Carlito" w:cs="Carlito"/>
          <w:b/>
          <w:bCs/>
          <w:sz w:val="24"/>
          <w:szCs w:val="24"/>
        </w:rPr>
      </w:r>
    </w:p>
    <w:p w14:paraId="611380EF">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eastAsia="Carlito" w:cs="Carlito"/>
          <w:sz w:val="22"/>
          <w:szCs w:val="22"/>
          <w:highlight w:val="none"/>
        </w:rPr>
      </w:pPr>
      <w:r>
        <w:rPr>
          <w:rFonts w:ascii="Carlito" w:hAnsi="Carlito" w:eastAsia="Carlito" w:cs="Carlito"/>
          <w:color w:val="202020"/>
          <w:sz w:val="22"/>
          <w:szCs w:val="22"/>
          <w:highlight w:val="white"/>
          <w:u w:val="none"/>
        </w:rPr>
        <w:t xml:space="preserve">Ainsworth, A. &amp; Drake, D. R. (2020). Classifying Hawaiian plant species along a habitat generalist-specialist continuum: Implications for species conservation under climate change. </w:t>
      </w:r>
      <w:r>
        <w:rPr>
          <w:rFonts w:ascii="Carlito" w:hAnsi="Carlito" w:eastAsia="Carlito" w:cs="Carlito"/>
          <w:i/>
          <w:iCs/>
          <w:color w:val="202020"/>
          <w:sz w:val="22"/>
          <w:szCs w:val="22"/>
          <w:highlight w:val="white"/>
          <w:u w:val="none"/>
        </w:rPr>
        <w:t xml:space="preserve">PLoS ONE</w:t>
      </w:r>
      <w:r>
        <w:rPr>
          <w:rFonts w:ascii="Carlito" w:hAnsi="Carlito" w:eastAsia="Carlito" w:cs="Carlito"/>
          <w:color w:val="202020"/>
          <w:sz w:val="22"/>
          <w:szCs w:val="22"/>
          <w:highlight w:val="white"/>
          <w:u w:val="none"/>
        </w:rPr>
        <w:t xml:space="preserve">, </w:t>
      </w:r>
      <w:r>
        <w:rPr>
          <w:rFonts w:ascii="Carlito" w:hAnsi="Carlito" w:eastAsia="Carlito" w:cs="Carlito"/>
          <w:i/>
          <w:iCs/>
          <w:color w:val="202020"/>
          <w:sz w:val="22"/>
          <w:szCs w:val="22"/>
          <w:highlight w:val="white"/>
          <w:u w:val="none"/>
        </w:rPr>
        <w:t xml:space="preserve">15</w:t>
      </w:r>
      <w:r>
        <w:rPr>
          <w:rFonts w:ascii="Carlito" w:hAnsi="Carlito" w:eastAsia="Carlito" w:cs="Carlito"/>
          <w:color w:val="202020"/>
          <w:sz w:val="22"/>
          <w:szCs w:val="22"/>
          <w:highlight w:val="white"/>
          <w:u w:val="none"/>
        </w:rPr>
        <w:t xml:space="preserve">(2), e0228573. 10.1371/journal.pone.0228573</w:t>
      </w:r>
      <w:r>
        <w:rPr>
          <w:rFonts w:ascii="Carlito" w:hAnsi="Carlito" w:eastAsia="Carlito" w:cs="Carlito"/>
          <w:sz w:val="22"/>
          <w:szCs w:val="22"/>
          <w:highlight w:val="none"/>
        </w:rPr>
      </w:r>
      <w:r>
        <w:rPr>
          <w:rFonts w:ascii="Carlito" w:hAnsi="Carlito" w:eastAsia="Carlito" w:cs="Carlito"/>
          <w:sz w:val="22"/>
          <w:szCs w:val="22"/>
          <w:highlight w:val="none"/>
        </w:rPr>
      </w:r>
    </w:p>
    <w:p w14:paraId="19ED49F6">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rPr>
      </w:pPr>
      <w:r>
        <w:rPr>
          <w:rFonts w:ascii="Carlito" w:hAnsi="Carlito" w:eastAsia="Carlito" w:cs="Carlito"/>
          <w:sz w:val="22"/>
          <w:szCs w:val="22"/>
          <w:highlight w:val="none"/>
        </w:rPr>
      </w:r>
      <w:r>
        <w:rPr>
          <w:rFonts w:ascii="Carlito" w:hAnsi="Carlito" w:eastAsia="Carlito" w:cs="Carlito"/>
          <w:sz w:val="22"/>
          <w:szCs w:val="22"/>
          <w:highlight w:val="none"/>
        </w:rPr>
        <w:t xml:space="preserve">Barbet-Massin, M., Jiguet, F., Albert, C. &amp; Thuiller, W. (2012). Selecting Pseudo-Absences for Species Distribution Models: How, Where and How Many?. Methods in Ecology and Evolution. 3. 327–338. 10.1111/j.2041-210X.2011.00172.x. </w:t>
      </w:r>
      <w:r>
        <w:rPr>
          <w:rFonts w:ascii="Carlito" w:hAnsi="Carlito" w:cs="Carlito"/>
          <w:sz w:val="22"/>
          <w:szCs w:val="22"/>
        </w:rPr>
      </w:r>
      <w:r>
        <w:rPr>
          <w:rFonts w:ascii="Carlito" w:hAnsi="Carlito" w:cs="Carlito"/>
          <w:sz w:val="22"/>
          <w:szCs w:val="22"/>
        </w:rPr>
      </w:r>
    </w:p>
    <w:p w14:paraId="5E221A82">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b w:val="0"/>
          <w:bCs w:val="0"/>
          <w:color w:val="000000" w:themeColor="text1"/>
          <w:sz w:val="22"/>
          <w:szCs w:val="22"/>
          <w:highlight w:val="none"/>
        </w:rPr>
      </w:pPr>
      <w:r>
        <w:rPr>
          <w:rFonts w:ascii="Carlito" w:hAnsi="Carlito" w:eastAsia="Carlito" w:cs="Carlito"/>
          <w:b w:val="0"/>
          <w:bCs w:val="0"/>
          <w:color w:val="000000"/>
          <w:sz w:val="22"/>
          <w:szCs w:val="22"/>
          <w:u w:val="none"/>
        </w:rPr>
        <w:t xml:space="preserve">Connor, T., Hull, V., Vina, A., </w:t>
      </w:r>
      <w:r>
        <w:rPr>
          <w:rFonts w:ascii="Carlito" w:hAnsi="Carlito" w:eastAsia="Carlito" w:cs="Carlito"/>
          <w:b w:val="0"/>
          <w:bCs w:val="0"/>
          <w:color w:val="000000"/>
          <w:sz w:val="22"/>
          <w:szCs w:val="22"/>
          <w:u w:val="none"/>
        </w:rPr>
        <w:t xml:space="preserve">Shortridge, A., Tang, Y., Zhang, J., Wang, F. &amp; Liu, J.</w:t>
      </w:r>
      <w:r>
        <w:rPr>
          <w:rFonts w:ascii="Carlito" w:hAnsi="Carlito" w:eastAsia="Carlito" w:cs="Carlito"/>
          <w:b w:val="0"/>
          <w:bCs w:val="0"/>
          <w:color w:val="000000"/>
          <w:sz w:val="22"/>
          <w:szCs w:val="22"/>
          <w:u w:val="none"/>
        </w:rPr>
        <w:t xml:space="preserve"> (2017). Effects of grain size </w:t>
      </w:r>
      <w:r>
        <w:rPr>
          <w:rFonts w:ascii="Carlito" w:hAnsi="Carlito" w:eastAsia="Carlito" w:cs="Carlito"/>
          <w:b w:val="0"/>
          <w:bCs w:val="0"/>
          <w:color w:val="000000" w:themeColor="text1"/>
          <w:sz w:val="22"/>
          <w:szCs w:val="22"/>
          <w:u w:val="none"/>
        </w:rPr>
        <w:t xml:space="preserve">and niche breadth on species distribution modeling. </w:t>
      </w:r>
      <w:r>
        <w:rPr>
          <w:rFonts w:ascii="Carlito" w:hAnsi="Carlito" w:eastAsia="Carlito" w:cs="Carlito"/>
          <w:b w:val="0"/>
          <w:bCs w:val="0"/>
          <w:i/>
          <w:iCs/>
          <w:color w:val="000000" w:themeColor="text1"/>
          <w:sz w:val="22"/>
          <w:szCs w:val="22"/>
          <w:u w:val="none"/>
        </w:rPr>
        <w:t xml:space="preserve">Ecography</w:t>
      </w:r>
      <w:r>
        <w:rPr>
          <w:rFonts w:ascii="Carlito" w:hAnsi="Carlito" w:eastAsia="Carlito" w:cs="Carlito"/>
          <w:b w:val="0"/>
          <w:bCs w:val="0"/>
          <w:color w:val="000000" w:themeColor="text1"/>
          <w:sz w:val="22"/>
          <w:szCs w:val="22"/>
          <w:u w:val="none"/>
        </w:rPr>
        <w:t xml:space="preserve">, </w:t>
      </w:r>
      <w:r>
        <w:rPr>
          <w:rFonts w:ascii="Carlito" w:hAnsi="Carlito" w:eastAsia="Carlito" w:cs="Carlito"/>
          <w:b w:val="0"/>
          <w:bCs w:val="0"/>
          <w:i/>
          <w:iCs/>
          <w:color w:val="000000" w:themeColor="text1"/>
          <w:sz w:val="22"/>
          <w:szCs w:val="22"/>
          <w:u w:val="none"/>
        </w:rPr>
        <w:t xml:space="preserve">41</w:t>
      </w:r>
      <w:r>
        <w:rPr>
          <w:rFonts w:ascii="Carlito" w:hAnsi="Carlito" w:eastAsia="Carlito" w:cs="Carlito"/>
          <w:b w:val="0"/>
          <w:bCs w:val="0"/>
          <w:color w:val="000000" w:themeColor="text1"/>
          <w:sz w:val="22"/>
          <w:szCs w:val="22"/>
          <w:u w:val="none"/>
        </w:rPr>
        <w:t xml:space="preserve">(8), </w:t>
      </w:r>
      <w:r>
        <w:rPr>
          <w:rFonts w:ascii="Carlito" w:hAnsi="Carlito" w:eastAsia="Carlito" w:cs="Carlito"/>
          <w:b w:val="0"/>
          <w:bCs w:val="0"/>
          <w:color w:val="000000" w:themeColor="text1"/>
          <w:sz w:val="22"/>
          <w:szCs w:val="22"/>
        </w:rPr>
        <w:t xml:space="preserve">1270-1282</w:t>
      </w:r>
      <w:r>
        <w:rPr>
          <w:rFonts w:ascii="Carlito" w:hAnsi="Carlito" w:eastAsia="Carlito" w:cs="Carlito"/>
          <w:b w:val="0"/>
          <w:bCs w:val="0"/>
          <w:color w:val="000000" w:themeColor="text1"/>
          <w:sz w:val="22"/>
          <w:szCs w:val="22"/>
          <w:u w:val="none"/>
        </w:rPr>
        <w:t xml:space="preserve">. </w:t>
      </w:r>
      <w:r>
        <w:rPr>
          <w:rFonts w:ascii="Carlito" w:hAnsi="Carlito" w:eastAsia="Carlito" w:cs="Carlito"/>
          <w:b w:val="0"/>
          <w:bCs w:val="0"/>
          <w:color w:val="000000" w:themeColor="text1"/>
          <w:sz w:val="22"/>
          <w:szCs w:val="22"/>
        </w:rPr>
        <w:t xml:space="preserve">10.1111/ecog.03416</w:t>
      </w:r>
      <w:r>
        <w:rPr>
          <w:rFonts w:ascii="Carlito" w:hAnsi="Carlito" w:cs="Carlito"/>
          <w:b w:val="0"/>
          <w:bCs w:val="0"/>
          <w:color w:val="000000" w:themeColor="text1"/>
          <w:sz w:val="22"/>
          <w:szCs w:val="22"/>
          <w:highlight w:val="none"/>
        </w:rPr>
      </w:r>
      <w:r>
        <w:rPr>
          <w:rFonts w:ascii="Carlito" w:hAnsi="Carlito" w:cs="Carlito"/>
          <w:b w:val="0"/>
          <w:bCs w:val="0"/>
          <w:color w:val="000000" w:themeColor="text1"/>
          <w:sz w:val="22"/>
          <w:szCs w:val="22"/>
          <w:highlight w:val="none"/>
        </w:rPr>
      </w:r>
    </w:p>
    <w:p w14:paraId="00E4ABDA">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b w:val="0"/>
          <w:bCs w:val="0"/>
          <w:sz w:val="22"/>
          <w:szCs w:val="22"/>
        </w:rPr>
      </w:pPr>
      <w:r>
        <w:rPr>
          <w:rFonts w:ascii="Carlito" w:hAnsi="Carlito" w:eastAsia="Carlito" w:cs="Carlito"/>
          <w:b w:val="0"/>
          <w:bCs w:val="0"/>
          <w:color w:val="000000" w:themeColor="text1"/>
          <w:sz w:val="22"/>
          <w:szCs w:val="22"/>
          <w:highlight w:val="none"/>
        </w:rPr>
      </w:r>
      <w:r>
        <w:rPr>
          <w:rFonts w:ascii="Carlito" w:hAnsi="Carlito" w:eastAsia="Carlito" w:cs="Carlito"/>
          <w:color w:val="000000" w:themeColor="text1"/>
          <w:sz w:val="22"/>
          <w:szCs w:val="22"/>
          <w:highlight w:val="white"/>
        </w:rPr>
        <w:t xml:space="preserve">Elith, J. &amp; Leathwick, J. R. (2009). Species Distribution Models: Ecological Explanation and Prediction Across Space and Time. </w:t>
      </w:r>
      <w:r>
        <w:rPr>
          <w:rFonts w:ascii="Carlito" w:hAnsi="Carlito" w:eastAsia="Carlito" w:cs="Carlito"/>
          <w:i/>
          <w:color w:val="000000" w:themeColor="text1"/>
          <w:sz w:val="22"/>
          <w:szCs w:val="22"/>
          <w:highlight w:val="white"/>
        </w:rPr>
        <w:t xml:space="preserve">Annual Review Ecology, Evolution, and Systematics</w:t>
      </w:r>
      <w:r>
        <w:rPr>
          <w:rFonts w:ascii="Carlito" w:hAnsi="Carlito" w:eastAsia="Carlito" w:cs="Carlito"/>
          <w:color w:val="000000" w:themeColor="text1"/>
          <w:sz w:val="22"/>
          <w:szCs w:val="22"/>
          <w:highlight w:val="white"/>
        </w:rPr>
        <w:t xml:space="preserve">, </w:t>
      </w:r>
      <w:r>
        <w:rPr>
          <w:rFonts w:ascii="Carlito" w:hAnsi="Carlito" w:eastAsia="Carlito" w:cs="Carlito"/>
          <w:i/>
          <w:iCs/>
          <w:color w:val="000000" w:themeColor="text1"/>
          <w:sz w:val="22"/>
          <w:szCs w:val="22"/>
          <w:highlight w:val="white"/>
        </w:rPr>
        <w:t xml:space="preserve">40</w:t>
      </w:r>
      <w:r>
        <w:rPr>
          <w:rFonts w:ascii="Carlito" w:hAnsi="Carlito" w:eastAsia="Carlito" w:cs="Carlito"/>
          <w:color w:val="000000" w:themeColor="text1"/>
          <w:sz w:val="22"/>
          <w:szCs w:val="22"/>
          <w:highlight w:val="white"/>
        </w:rPr>
        <w:t xml:space="preserve">, 677-</w:t>
      </w:r>
      <w:r>
        <w:rPr>
          <w:rFonts w:ascii="Carlito" w:hAnsi="Carlito" w:eastAsia="Carlito" w:cs="Carlito"/>
          <w:color w:val="333333"/>
          <w:sz w:val="22"/>
          <w:szCs w:val="22"/>
          <w:highlight w:val="white"/>
        </w:rPr>
        <w:t xml:space="preserve">697. </w:t>
      </w:r>
      <w:r>
        <w:rPr>
          <w:rFonts w:ascii="Carlito" w:hAnsi="Carlito" w:eastAsia="Carlito" w:cs="Carlito"/>
          <w:sz w:val="22"/>
          <w:szCs w:val="22"/>
          <w:highlight w:val="white"/>
        </w:rPr>
        <w:t xml:space="preserve">10.1146/annurev.ecolsys.110308.120159</w:t>
      </w:r>
      <w:r>
        <w:rPr>
          <w:rFonts w:ascii="Carlito" w:hAnsi="Carlito" w:cs="Carlito"/>
          <w:b w:val="0"/>
          <w:bCs w:val="0"/>
          <w:sz w:val="22"/>
          <w:szCs w:val="22"/>
        </w:rPr>
      </w:r>
      <w:r>
        <w:rPr>
          <w:rFonts w:ascii="Carlito" w:hAnsi="Carlito" w:cs="Carlito"/>
          <w:b w:val="0"/>
          <w:bCs w:val="0"/>
          <w:sz w:val="22"/>
          <w:szCs w:val="22"/>
        </w:rPr>
      </w:r>
    </w:p>
    <w:p w14:paraId="40C0AF2D">
      <w:pPr>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rPr>
          <w:highlight w:val="none"/>
        </w:rPr>
      </w:pPr>
      <w:r>
        <w:rPr>
          <w:rFonts w:ascii="Carlito" w:hAnsi="Carlito" w:eastAsia="Carlito" w:cs="Carlito"/>
          <w:color w:val="000000" w:themeColor="text1"/>
          <w:sz w:val="22"/>
          <w:szCs w:val="22"/>
        </w:rPr>
      </w:r>
      <w:r>
        <w:rPr>
          <w:rFonts w:ascii="Carlito" w:hAnsi="Carlito" w:eastAsia="Carlito" w:cs="Carlito"/>
          <w:color w:val="000000" w:themeColor="text1"/>
          <w:sz w:val="22"/>
          <w:szCs w:val="22"/>
        </w:rPr>
        <w:t xml:space="preserve">Fick, S.E. &amp; R.J. Hijmans (2017). WorldClim 2: new 1km spatial resolution climate surfaces for global land areas. Version 2.1 2020. </w:t>
      </w:r>
      <w:hyperlink r:id="rId11" w:tooltip="https://rmets.onlinelibrary.wiley.com/doi/abs/10.1002/joc.5086" w:history="1">
        <w:r>
          <w:rPr>
            <w:rStyle w:val="896"/>
            <w:rFonts w:ascii="Carlito" w:hAnsi="Carlito" w:eastAsia="Carlito" w:cs="Carlito"/>
            <w:i/>
            <w:iCs/>
            <w:color w:val="000000" w:themeColor="text1"/>
            <w:sz w:val="22"/>
            <w:szCs w:val="22"/>
            <w:u w:val="none"/>
          </w:rPr>
          <w:t xml:space="preserve">International Journal of Climatology</w:t>
        </w:r>
        <w:r>
          <w:rPr>
            <w:rStyle w:val="896"/>
            <w:rFonts w:ascii="Carlito" w:hAnsi="Carlito" w:eastAsia="Carlito" w:cs="Carlito"/>
            <w:color w:val="000000" w:themeColor="text1"/>
            <w:sz w:val="22"/>
            <w:szCs w:val="22"/>
            <w:u w:val="none"/>
          </w:rPr>
          <w:t xml:space="preserve">, </w:t>
        </w:r>
        <w:r>
          <w:rPr>
            <w:rStyle w:val="896"/>
            <w:rFonts w:ascii="Carlito" w:hAnsi="Carlito" w:eastAsia="Carlito" w:cs="Carlito"/>
            <w:i/>
            <w:iCs/>
            <w:color w:val="000000" w:themeColor="text1"/>
            <w:sz w:val="22"/>
            <w:szCs w:val="22"/>
            <w:u w:val="none"/>
          </w:rPr>
          <w:t xml:space="preserve">37</w:t>
        </w:r>
        <w:r>
          <w:rPr>
            <w:rStyle w:val="896"/>
            <w:rFonts w:ascii="Carlito" w:hAnsi="Carlito" w:eastAsia="Carlito" w:cs="Carlito"/>
            <w:color w:val="000000" w:themeColor="text1"/>
            <w:sz w:val="22"/>
            <w:szCs w:val="22"/>
            <w:u w:val="none"/>
          </w:rPr>
          <w:t xml:space="preserve">(12), 4302-4315</w:t>
        </w:r>
      </w:hyperlink>
      <w:r>
        <w:rPr>
          <w:rFonts w:ascii="Carlito" w:hAnsi="Carlito" w:eastAsia="Carlito" w:cs="Carlito"/>
          <w:color w:val="000000" w:themeColor="text1"/>
          <w:sz w:val="22"/>
          <w:szCs w:val="22"/>
        </w:rPr>
        <w:t xml:space="preserve">.</w:t>
      </w:r>
      <w:r>
        <w:rPr>
          <w:rFonts w:ascii="Carlito" w:hAnsi="Carlito" w:eastAsia="Carlito" w:cs="Carlito"/>
          <w:color w:val="000000" w:themeColor="text1"/>
          <w:sz w:val="22"/>
          <w:szCs w:val="22"/>
        </w:rPr>
        <w:t xml:space="preserve"> </w:t>
      </w:r>
      <w:r>
        <w:rPr>
          <w:sz w:val="22"/>
          <w:szCs w:val="22"/>
        </w:rPr>
      </w:r>
      <w:hyperlink r:id="rId12" w:tooltip="https://doi.org/10.1002/joc.5086" w:history="1">
        <w:r>
          <w:rPr>
            <w:rStyle w:val="896"/>
            <w:rFonts w:ascii="Carlito" w:hAnsi="Carlito" w:eastAsia="Carlito" w:cs="Carlito"/>
            <w:b w:val="0"/>
            <w:bCs w:val="0"/>
            <w:color w:val="000000" w:themeColor="text1"/>
            <w:sz w:val="22"/>
            <w:szCs w:val="22"/>
            <w:u w:val="none"/>
          </w:rPr>
          <w:t xml:space="preserve">10.1002/joc.5086</w:t>
        </w:r>
      </w:hyperlink>
      <w:r>
        <w:rPr>
          <w:highlight w:val="none"/>
        </w:rPr>
      </w:r>
      <w:r>
        <w:rPr>
          <w:highlight w:val="none"/>
        </w:rPr>
      </w:r>
    </w:p>
    <w:p w14:paraId="2276F53F">
      <w:pPr>
        <w:pBdr>
          <w:top w:val="none" w:color="000000" w:sz="4" w:space="0"/>
          <w:left w:val="none" w:color="000000" w:sz="4" w:space="0"/>
          <w:bottom w:val="none" w:color="000000" w:sz="4" w:space="0"/>
          <w:right w:val="none" w:color="000000" w:sz="4" w:space="0"/>
        </w:pBdr>
        <w:shd w:val="clear" w:color="ffffff" w:fill="ffffff"/>
        <w:spacing w:after="0" w:before="0" w:line="276" w:lineRule="auto"/>
        <w:ind w:right="0" w:firstLine="0" w:left="0"/>
        <w:rPr>
          <w:rFonts w:ascii="Open Sans" w:hAnsi="Open Sans" w:eastAsia="Open Sans" w:cs="Open Sans"/>
          <w:sz w:val="21"/>
          <w:szCs w:val="21"/>
        </w:rPr>
      </w:pPr>
      <w:r>
        <w:rPr>
          <w:highlight w:val="none"/>
        </w:rPr>
      </w:r>
      <w:r>
        <w:rPr>
          <w:rFonts w:ascii="Open Sans" w:hAnsi="Open Sans" w:eastAsia="Open Sans" w:cs="Open Sans"/>
          <w:sz w:val="21"/>
          <w:szCs w:val="21"/>
        </w:rPr>
      </w:r>
      <w:r>
        <w:rPr>
          <w:rFonts w:ascii="Open Sans" w:hAnsi="Open Sans" w:eastAsia="Open Sans" w:cs="Open Sans"/>
          <w:sz w:val="21"/>
          <w:szCs w:val="21"/>
        </w:rPr>
      </w:r>
    </w:p>
    <w:p w14:paraId="049D3825">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rPr>
      </w:pPr>
      <w:r>
        <w:rPr>
          <w:rFonts w:ascii="Carlito" w:hAnsi="Carlito" w:eastAsia="Carlito" w:cs="Carlito"/>
          <w:color w:val="000000"/>
          <w:sz w:val="22"/>
          <w:szCs w:val="22"/>
          <w:u w:val="none"/>
        </w:rPr>
      </w:r>
      <w:r>
        <w:rPr>
          <w:rFonts w:ascii="Carlito" w:hAnsi="Carlito" w:eastAsia="Carlito" w:cs="Carlito"/>
          <w:color w:val="000000"/>
          <w:sz w:val="22"/>
          <w:szCs w:val="22"/>
        </w:rPr>
        <w:t xml:space="preserve">Hernandez, P.A., Graham, C.H., Master, L.L. &amp; Albert, D.L. (2006). The effect of sample size and species characteristics on performance of different species distribution modeling methods. </w:t>
      </w:r>
      <w:r>
        <w:rPr>
          <w:rFonts w:ascii="Carlito" w:hAnsi="Carlito" w:eastAsia="Carlito" w:cs="Carlito"/>
          <w:i/>
          <w:iCs/>
          <w:color w:val="000000"/>
          <w:sz w:val="22"/>
          <w:szCs w:val="22"/>
        </w:rPr>
        <w:t xml:space="preserve">Ecography</w:t>
      </w:r>
      <w:r>
        <w:rPr>
          <w:rFonts w:ascii="Carlito" w:hAnsi="Carlito" w:eastAsia="Carlito" w:cs="Carlito"/>
          <w:color w:val="000000"/>
          <w:sz w:val="22"/>
          <w:szCs w:val="22"/>
        </w:rPr>
        <w:t xml:space="preserve">, </w:t>
      </w:r>
      <w:r>
        <w:rPr>
          <w:rFonts w:ascii="Carlito" w:hAnsi="Carlito" w:eastAsia="Carlito" w:cs="Carlito"/>
          <w:i/>
          <w:iCs/>
          <w:color w:val="000000"/>
          <w:sz w:val="22"/>
          <w:szCs w:val="22"/>
        </w:rPr>
        <w:t xml:space="preserve">29</w:t>
      </w:r>
      <w:r>
        <w:rPr>
          <w:rFonts w:ascii="Carlito" w:hAnsi="Carlito" w:eastAsia="Carlito" w:cs="Carlito"/>
          <w:color w:val="000000"/>
          <w:sz w:val="22"/>
          <w:szCs w:val="22"/>
        </w:rPr>
        <w:t xml:space="preserve">(5), 773-785. </w:t>
      </w:r>
      <w:r>
        <w:rPr>
          <w:rFonts w:ascii="Carlito" w:hAnsi="Carlito" w:eastAsia="Carlito" w:cs="Carlito"/>
          <w:sz w:val="22"/>
          <w:szCs w:val="22"/>
        </w:rPr>
        <w:t xml:space="preserve">10.1111/j.0906-7590.2006.04700.x</w:t>
      </w:r>
      <w:r>
        <w:rPr>
          <w:rFonts w:ascii="Carlito" w:hAnsi="Carlito" w:cs="Carlito"/>
          <w:sz w:val="22"/>
          <w:szCs w:val="22"/>
        </w:rPr>
      </w:r>
      <w:r>
        <w:rPr>
          <w:rFonts w:ascii="Carlito" w:hAnsi="Carlito" w:cs="Carlito"/>
          <w:sz w:val="22"/>
          <w:szCs w:val="22"/>
        </w:rPr>
      </w:r>
    </w:p>
    <w:p w14:paraId="3E0F6BE9">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rPr>
      </w:pPr>
      <w:r>
        <w:rPr>
          <w:rFonts w:ascii="Carlito" w:hAnsi="Carlito" w:eastAsia="Carlito" w:cs="Carlito"/>
          <w:color w:val="1c1d1e"/>
          <w:sz w:val="22"/>
          <w:szCs w:val="22"/>
          <w:highlight w:val="white"/>
          <w:u w:val="none"/>
        </w:rPr>
        <w:t xml:space="preserve">Leroy, B., Meynard, C.N., Bellard, C. &amp; Courchamp, F. (2016). virtualspecies, an R package to generate virtual species distributions. </w:t>
      </w:r>
      <w:r>
        <w:rPr>
          <w:rFonts w:ascii="Carlito" w:hAnsi="Carlito" w:eastAsia="Carlito" w:cs="Carlito"/>
          <w:i/>
          <w:iCs/>
          <w:color w:val="1c1d1e"/>
          <w:sz w:val="22"/>
          <w:szCs w:val="22"/>
          <w:highlight w:val="white"/>
          <w:u w:val="none"/>
        </w:rPr>
        <w:t xml:space="preserve">Ecography</w:t>
      </w:r>
      <w:r>
        <w:rPr>
          <w:rFonts w:ascii="Carlito" w:hAnsi="Carlito" w:eastAsia="Carlito" w:cs="Carlito"/>
          <w:color w:val="1c1d1e"/>
          <w:sz w:val="22"/>
          <w:szCs w:val="22"/>
          <w:highlight w:val="white"/>
          <w:u w:val="none"/>
        </w:rPr>
        <w:t xml:space="preserve">, </w:t>
      </w:r>
      <w:r>
        <w:rPr>
          <w:rFonts w:ascii="Carlito" w:hAnsi="Carlito" w:eastAsia="Carlito" w:cs="Carlito"/>
          <w:i/>
          <w:iCs/>
          <w:color w:val="1c1d1e"/>
          <w:sz w:val="22"/>
          <w:szCs w:val="22"/>
          <w:highlight w:val="white"/>
          <w:u w:val="none"/>
        </w:rPr>
        <w:t xml:space="preserve">39</w:t>
      </w:r>
      <w:r>
        <w:rPr>
          <w:rFonts w:ascii="Carlito" w:hAnsi="Carlito" w:eastAsia="Carlito" w:cs="Carlito"/>
          <w:color w:val="1c1d1e"/>
          <w:sz w:val="22"/>
          <w:szCs w:val="22"/>
          <w:highlight w:val="white"/>
          <w:u w:val="none"/>
        </w:rPr>
        <w:t xml:space="preserve">(6), 599-607. </w:t>
      </w:r>
      <w:r>
        <w:rPr>
          <w:rFonts w:ascii="Carlito" w:hAnsi="Carlito" w:eastAsia="Carlito" w:cs="Carlito"/>
          <w:sz w:val="22"/>
          <w:szCs w:val="22"/>
          <w:highlight w:val="white"/>
        </w:rPr>
        <w:t xml:space="preserve">10.1111/ecog.01388</w:t>
      </w:r>
      <w:r>
        <w:rPr>
          <w:rFonts w:ascii="Carlito" w:hAnsi="Carlito" w:eastAsia="Carlito" w:cs="Carlito"/>
          <w:color w:val="000000"/>
          <w:sz w:val="22"/>
          <w:szCs w:val="22"/>
          <w:u w:val="none"/>
        </w:rPr>
        <w:t xml:space="preserve"> </w:t>
      </w:r>
      <w:r>
        <w:rPr>
          <w:rFonts w:ascii="Carlito" w:hAnsi="Carlito" w:cs="Carlito"/>
          <w:sz w:val="22"/>
          <w:szCs w:val="22"/>
        </w:rPr>
      </w:r>
      <w:r>
        <w:rPr>
          <w:rFonts w:ascii="Carlito" w:hAnsi="Carlito" w:cs="Carlito"/>
          <w:sz w:val="22"/>
          <w:szCs w:val="22"/>
        </w:rPr>
      </w:r>
    </w:p>
    <w:p w14:paraId="2E200191">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eastAsia="Carlito" w:cs="Carlito"/>
          <w:sz w:val="22"/>
          <w:szCs w:val="22"/>
          <w:highlight w:val="none"/>
        </w:rPr>
      </w:pPr>
      <w:r>
        <w:rPr>
          <w:rFonts w:ascii="Carlito" w:hAnsi="Carlito" w:eastAsia="Carlito" w:cs="Carlito"/>
          <w:color w:val="000000"/>
          <w:sz w:val="22"/>
          <w:szCs w:val="22"/>
          <w:highlight w:val="yellow"/>
          <w:u w:val="none"/>
        </w:rPr>
        <w:t xml:space="preserve">McPherson, J. M. &amp; Jetz, W. (2007). Effects of species’ ecology on the accuracy of distribution models. – </w:t>
      </w:r>
      <w:r>
        <w:rPr>
          <w:rFonts w:ascii="Carlito" w:hAnsi="Carlito" w:eastAsia="Carlito" w:cs="Carlito"/>
          <w:i/>
          <w:iCs/>
          <w:color w:val="000000"/>
          <w:sz w:val="22"/>
          <w:szCs w:val="22"/>
          <w:highlight w:val="yellow"/>
          <w:u w:val="none"/>
        </w:rPr>
        <w:t xml:space="preserve">Ecography, </w:t>
      </w:r>
      <w:r>
        <w:rPr>
          <w:rFonts w:ascii="Carlito" w:hAnsi="Carlito" w:eastAsia="Carlito" w:cs="Carlito"/>
          <w:i/>
          <w:iCs/>
          <w:color w:val="000000"/>
          <w:sz w:val="22"/>
          <w:szCs w:val="22"/>
          <w:highlight w:val="yellow"/>
          <w:u w:val="none"/>
        </w:rPr>
        <w:t xml:space="preserve">30</w:t>
      </w:r>
      <w:r>
        <w:rPr>
          <w:rFonts w:ascii="Carlito" w:hAnsi="Carlito" w:eastAsia="Carlito" w:cs="Carlito"/>
          <w:color w:val="000000"/>
          <w:sz w:val="22"/>
          <w:szCs w:val="22"/>
          <w:highlight w:val="yellow"/>
          <w:u w:val="none"/>
        </w:rPr>
        <w:t xml:space="preserve">(1), 135–151.</w:t>
      </w:r>
      <w:r>
        <w:rPr>
          <w:rFonts w:ascii="Carlito" w:hAnsi="Carlito" w:eastAsia="Carlito" w:cs="Carlito"/>
          <w:color w:val="000000"/>
          <w:sz w:val="22"/>
          <w:szCs w:val="22"/>
          <w:highlight w:val="none"/>
          <w:u w:val="none"/>
        </w:rPr>
        <w:t xml:space="preserve"> </w:t>
      </w:r>
      <w:r>
        <w:rPr>
          <w:rFonts w:ascii="Carlito" w:hAnsi="Carlito" w:eastAsia="Carlito" w:cs="Carlito"/>
          <w:color w:val="000000"/>
          <w:sz w:val="22"/>
          <w:szCs w:val="22"/>
          <w:highlight w:val="none"/>
          <w:u w:val="none"/>
        </w:rPr>
        <w:t xml:space="preserve">10.1111/j.0906-7590.2007.04823.x</w:t>
      </w:r>
      <w:r>
        <w:rPr>
          <w:rFonts w:ascii="Carlito" w:hAnsi="Carlito" w:eastAsia="Carlito" w:cs="Carlito"/>
          <w:sz w:val="22"/>
          <w:szCs w:val="22"/>
          <w:highlight w:val="none"/>
        </w:rPr>
      </w:r>
      <w:r>
        <w:rPr>
          <w:rFonts w:ascii="Carlito" w:hAnsi="Carlito" w:eastAsia="Carlito" w:cs="Carlito"/>
          <w:sz w:val="22"/>
          <w:szCs w:val="22"/>
          <w:highlight w:val="none"/>
        </w:rPr>
      </w:r>
    </w:p>
    <w:p w14:paraId="3DB64B9C">
      <w:pPr>
        <w:pBdr>
          <w:top w:val="none" w:color="000000" w:sz="4" w:space="0"/>
          <w:left w:val="none" w:color="000000" w:sz="4" w:space="0"/>
          <w:bottom w:val="none" w:color="000000" w:sz="4" w:space="0"/>
          <w:right w:val="none" w:color="000000" w:sz="4" w:space="0"/>
        </w:pBdr>
        <w:spacing w:after="160" w:before="0" w:line="276" w:lineRule="auto"/>
        <w:ind w:right="0" w:firstLine="0" w:left="0"/>
        <w:rPr/>
      </w:pPr>
      <w:r>
        <w:rPr>
          <w:rFonts w:ascii="Carlito" w:hAnsi="Carlito" w:eastAsia="Carlito" w:cs="Carlito"/>
          <w:sz w:val="22"/>
          <w:szCs w:val="22"/>
          <w:highlight w:val="none"/>
        </w:rPr>
        <w:t xml:space="preserve">Phillips, S. J., Anderson, R. P. &amp; Schapire, R. E. (2006). </w:t>
      </w:r>
      <w:r>
        <w:rPr>
          <w:rFonts w:ascii="Carlito" w:hAnsi="Carlito" w:eastAsia="Carlito" w:cs="Carlito"/>
          <w:sz w:val="22"/>
          <w:szCs w:val="22"/>
          <w:highlight w:val="none"/>
        </w:rPr>
        <w:t xml:space="preserve">Maximum entropy modeling of species geographic distributions. </w:t>
      </w:r>
      <w:r>
        <w:rPr>
          <w:rFonts w:ascii="Carlito" w:hAnsi="Carlito" w:eastAsia="Carlito" w:cs="Carlito"/>
          <w:i/>
          <w:iCs/>
          <w:sz w:val="22"/>
          <w:szCs w:val="22"/>
          <w:highlight w:val="none"/>
        </w:rPr>
        <w:t xml:space="preserve">Ecological Modelling,</w:t>
      </w:r>
      <w:r>
        <w:rPr>
          <w:rFonts w:ascii="Carlito" w:hAnsi="Carlito" w:eastAsia="Carlito" w:cs="Carlito"/>
          <w:i/>
          <w:iCs/>
          <w:sz w:val="22"/>
          <w:szCs w:val="22"/>
          <w:highlight w:val="none"/>
        </w:rPr>
        <w:t xml:space="preserve"> 190</w:t>
      </w:r>
      <w:r>
        <w:rPr>
          <w:rFonts w:ascii="Carlito" w:hAnsi="Carlito" w:eastAsia="Carlito" w:cs="Carlito"/>
          <w:sz w:val="22"/>
          <w:szCs w:val="22"/>
          <w:highlight w:val="none"/>
        </w:rPr>
        <w:t xml:space="preserve">(3–4), </w:t>
      </w:r>
      <w:r>
        <w:rPr>
          <w:rFonts w:ascii="Carlito" w:hAnsi="Carlito" w:eastAsia="Carlito" w:cs="Carlito"/>
          <w:sz w:val="22"/>
          <w:szCs w:val="22"/>
          <w:highlight w:val="none"/>
        </w:rPr>
        <w:t xml:space="preserve">231-259. </w:t>
      </w:r>
      <w:r>
        <w:rPr>
          <w:rFonts w:ascii="Carlito" w:hAnsi="Carlito" w:eastAsia="Carlito" w:cs="Carlito"/>
          <w:sz w:val="22"/>
          <w:szCs w:val="22"/>
          <w:highlight w:val="none"/>
        </w:rPr>
        <w:t xml:space="preserve">10.1016/j.ecolmodel.2005.03.026</w:t>
      </w:r>
      <w:r>
        <w:rPr>
          <w:rFonts w:ascii="Carlito" w:hAnsi="Carlito" w:eastAsia="Carlito" w:cs="Carlito"/>
          <w:sz w:val="22"/>
          <w:szCs w:val="22"/>
          <w:highlight w:val="none"/>
        </w:rPr>
      </w:r>
      <w:r/>
    </w:p>
    <w:p w14:paraId="3238A37B">
      <w:pPr>
        <w:suppressLineNumbers w:val="false"/>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rPr>
      </w:pPr>
      <w:r>
        <w:rPr>
          <w:rFonts w:ascii="Carlito" w:hAnsi="Carlito" w:eastAsia="Carlito" w:cs="Carlito"/>
          <w:sz w:val="22"/>
          <w:szCs w:val="22"/>
          <w:highlight w:val="none"/>
        </w:rPr>
      </w:r>
      <w:r>
        <w:rPr>
          <w:rFonts w:ascii="Carlito" w:hAnsi="Carlito" w:eastAsia="Carlito" w:cs="Carlito"/>
          <w:sz w:val="22"/>
          <w:szCs w:val="22"/>
          <w:highlight w:val="none"/>
        </w:rPr>
        <w:t xml:space="preserve">Saupe, E., Barve, V., Myers, C., Soberón, J., Barve, N. &amp; Hensz, C., Peterson, A., Owens, H. &amp; Lira-Noriega, A. (2012). Variation in niche and distribution model performance: The need for a priori assessment of</w:t>
      </w:r>
      <w:r>
        <w:rPr>
          <w:rFonts w:ascii="Carlito" w:hAnsi="Carlito" w:eastAsia="Carlito" w:cs="Carlito"/>
          <w:sz w:val="22"/>
          <w:szCs w:val="22"/>
          <w:highlight w:val="none"/>
        </w:rPr>
        <w:t xml:space="preserve"> key causal factors. Ecological Modelling. 237–238. 11-22. 10.1016/j.ecolmodel.2012.04.001</w:t>
      </w:r>
      <w:r>
        <w:rPr>
          <w:rFonts w:ascii="Carlito" w:hAnsi="Carlito" w:cs="Carlito"/>
          <w:sz w:val="22"/>
          <w:szCs w:val="22"/>
        </w:rPr>
      </w:r>
      <w:r>
        <w:rPr>
          <w:rFonts w:ascii="Carlito" w:hAnsi="Carlito" w:cs="Carlito"/>
          <w:sz w:val="22"/>
          <w:szCs w:val="22"/>
        </w:rPr>
      </w:r>
    </w:p>
    <w:p w14:paraId="633B585E">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highlight w:val="none"/>
        </w:rPr>
      </w:pPr>
      <w:r>
        <w:rPr>
          <w:rFonts w:ascii="Carlito" w:hAnsi="Carlito" w:eastAsia="Carlito" w:cs="Carlito"/>
          <w:color w:val="000000"/>
          <w:sz w:val="22"/>
          <w:szCs w:val="22"/>
          <w:highlight w:val="none"/>
          <w:u w:val="none"/>
        </w:rPr>
      </w:r>
      <w:r>
        <w:rPr>
          <w:rFonts w:ascii="Carlito" w:hAnsi="Carlito" w:eastAsia="Carlito" w:cs="Carlito"/>
          <w:color w:val="202020"/>
          <w:sz w:val="22"/>
          <w:szCs w:val="22"/>
          <w:highlight w:val="white"/>
        </w:rPr>
        <w:t xml:space="preserve">Soultan, A. &amp; Safi, K. (2017). The interplay of various sources of noise on reliability of species distribution models hinges on ecological specialisation. </w:t>
      </w:r>
      <w:r>
        <w:rPr>
          <w:rFonts w:ascii="Carlito" w:hAnsi="Carlito" w:eastAsia="Carlito" w:cs="Carlito"/>
          <w:i/>
          <w:iCs/>
          <w:color w:val="202020"/>
          <w:sz w:val="22"/>
          <w:szCs w:val="22"/>
          <w:highlight w:val="white"/>
        </w:rPr>
        <w:t xml:space="preserve">PLoS ONE,</w:t>
      </w:r>
      <w:r>
        <w:rPr>
          <w:rFonts w:ascii="Carlito" w:hAnsi="Carlito" w:eastAsia="Carlito" w:cs="Carlito"/>
          <w:color w:val="202020"/>
          <w:sz w:val="22"/>
          <w:szCs w:val="22"/>
          <w:highlight w:val="white"/>
        </w:rPr>
        <w:t xml:space="preserve"> </w:t>
      </w:r>
      <w:r>
        <w:rPr>
          <w:rFonts w:ascii="Carlito" w:hAnsi="Carlito" w:eastAsia="Carlito" w:cs="Carlito"/>
          <w:i/>
          <w:iCs/>
          <w:color w:val="202020"/>
          <w:sz w:val="22"/>
          <w:szCs w:val="22"/>
          <w:highlight w:val="white"/>
        </w:rPr>
        <w:t xml:space="preserve">12</w:t>
      </w:r>
      <w:r>
        <w:rPr>
          <w:rFonts w:ascii="Carlito" w:hAnsi="Carlito" w:eastAsia="Carlito" w:cs="Carlito"/>
          <w:color w:val="202020"/>
          <w:sz w:val="22"/>
          <w:szCs w:val="22"/>
          <w:highlight w:val="white"/>
        </w:rPr>
        <w:t xml:space="preserve">(11), e0187906. </w:t>
      </w:r>
      <w:r>
        <w:rPr>
          <w:rFonts w:ascii="Carlito" w:hAnsi="Carlito" w:eastAsia="Carlito" w:cs="Carlito"/>
          <w:sz w:val="22"/>
          <w:szCs w:val="22"/>
          <w:highlight w:val="white"/>
        </w:rPr>
        <w:t xml:space="preserve">10.1371/journal.pone.0187906</w:t>
      </w:r>
      <w:r>
        <w:rPr>
          <w:rFonts w:ascii="Carlito" w:hAnsi="Carlito" w:cs="Carlito"/>
          <w:sz w:val="22"/>
          <w:szCs w:val="22"/>
          <w:highlight w:val="none"/>
        </w:rPr>
      </w:r>
      <w:r>
        <w:rPr>
          <w:rFonts w:ascii="Carlito" w:hAnsi="Carlito" w:cs="Carlito"/>
          <w:sz w:val="22"/>
          <w:szCs w:val="22"/>
          <w:highlight w:val="none"/>
        </w:rPr>
      </w:r>
    </w:p>
    <w:p w14:paraId="5707A43D">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sz w:val="22"/>
          <w:szCs w:val="22"/>
        </w:rPr>
      </w:pPr>
      <w:r>
        <w:rPr>
          <w:rFonts w:ascii="Carlito" w:hAnsi="Carlito" w:eastAsia="Carlito" w:cs="Carlito"/>
          <w:sz w:val="22"/>
          <w:szCs w:val="22"/>
          <w:highlight w:val="none"/>
        </w:rPr>
      </w:r>
      <w:r>
        <w:rPr>
          <w:rFonts w:ascii="Carlito" w:hAnsi="Carlito" w:eastAsia="Carlito" w:cs="Carlito"/>
          <w:sz w:val="22"/>
          <w:szCs w:val="22"/>
          <w:highlight w:val="none"/>
        </w:rPr>
        <w:t xml:space="preserve">Tessarolo, G., Lobo, J., Rangel, T. &amp; Hortal, J. (2021). High uncertainty in the effects of data characteristics on the performance of species distribution models. Ecological Indicators. 121. 107147. 10.1016/j.ecolind.2020.107147</w:t>
      </w:r>
      <w:r>
        <w:rPr>
          <w:rFonts w:ascii="Carlito" w:hAnsi="Carlito" w:cs="Carlito"/>
          <w:sz w:val="22"/>
          <w:szCs w:val="22"/>
        </w:rPr>
      </w:r>
      <w:r>
        <w:rPr>
          <w:rFonts w:ascii="Carlito" w:hAnsi="Carlito" w:cs="Carlito"/>
          <w:sz w:val="22"/>
          <w:szCs w:val="22"/>
        </w:rPr>
      </w:r>
    </w:p>
    <w:p w14:paraId="365DCA56">
      <w:pPr>
        <w:pBdr>
          <w:top w:val="none" w:color="000000" w:sz="4" w:space="0"/>
          <w:left w:val="none" w:color="000000" w:sz="4" w:space="0"/>
          <w:bottom w:val="none" w:color="000000" w:sz="4" w:space="0"/>
          <w:right w:val="none" w:color="000000" w:sz="4" w:space="0"/>
        </w:pBdr>
        <w:spacing w:after="160" w:before="0" w:line="276" w:lineRule="auto"/>
        <w:ind w:right="0" w:firstLine="0" w:left="0"/>
        <w:rPr>
          <w:rFonts w:ascii="Carlito" w:hAnsi="Carlito" w:cs="Carlito"/>
          <w:color w:val="000000" w:themeColor="text1"/>
          <w:sz w:val="22"/>
          <w:szCs w:val="22"/>
          <w:highlight w:val="none"/>
        </w:rPr>
      </w:pPr>
      <w:r>
        <w:rPr>
          <w:rFonts w:ascii="Carlito" w:hAnsi="Carlito" w:eastAsia="Carlito" w:cs="Carlito"/>
          <w:color w:val="000000" w:themeColor="text1"/>
          <w:sz w:val="22"/>
          <w:szCs w:val="22"/>
          <w:highlight w:val="none"/>
          <w:u w:val="none"/>
        </w:rPr>
        <w:t xml:space="preserve">Valavi, R., Guillera-Arroita, G., Lahoz-Monfort, </w:t>
      </w:r>
      <w:r>
        <w:rPr>
          <w:rFonts w:ascii="Carlito" w:hAnsi="Carlito" w:eastAsia="Carlito" w:cs="Carlito"/>
          <w:color w:val="000000" w:themeColor="text1"/>
          <w:sz w:val="22"/>
          <w:szCs w:val="22"/>
          <w:highlight w:val="none"/>
          <w:u w:val="none"/>
        </w:rPr>
        <w:t xml:space="preserve">J. J. </w:t>
      </w:r>
      <w:r>
        <w:rPr>
          <w:rFonts w:ascii="Carlito" w:hAnsi="Carlito" w:eastAsia="Carlito" w:cs="Carlito"/>
          <w:color w:val="000000" w:themeColor="text1"/>
          <w:sz w:val="22"/>
          <w:szCs w:val="22"/>
          <w:highlight w:val="none"/>
          <w:u w:val="none"/>
        </w:rPr>
        <w:t xml:space="preserve">&amp; Elith, J. (2022). Predictive performance of presence-only species distribution models: a benchmark study with reproducible code. </w:t>
      </w:r>
      <w:r>
        <w:rPr>
          <w:rFonts w:ascii="Carlito" w:hAnsi="Carlito" w:eastAsia="Carlito" w:cs="Carlito"/>
          <w:i/>
          <w:color w:val="000000" w:themeColor="text1"/>
          <w:sz w:val="22"/>
          <w:szCs w:val="22"/>
          <w:highlight w:val="none"/>
          <w:u w:val="none"/>
        </w:rPr>
        <w:t xml:space="preserve">Ecological Monographs, </w:t>
      </w:r>
      <w:r>
        <w:rPr>
          <w:rFonts w:ascii="Carlito" w:hAnsi="Carlito" w:eastAsia="Carlito" w:cs="Carlito"/>
          <w:i/>
          <w:iCs/>
          <w:color w:val="000000" w:themeColor="text1"/>
          <w:sz w:val="22"/>
          <w:szCs w:val="22"/>
          <w:highlight w:val="none"/>
          <w:u w:val="none"/>
        </w:rPr>
        <w:t xml:space="preserve">92</w:t>
      </w:r>
      <w:r>
        <w:rPr>
          <w:rFonts w:ascii="Carlito" w:hAnsi="Carlito" w:eastAsia="Carlito" w:cs="Carlito"/>
          <w:color w:val="000000" w:themeColor="text1"/>
          <w:sz w:val="22"/>
          <w:szCs w:val="22"/>
          <w:highlight w:val="none"/>
          <w:u w:val="none"/>
        </w:rPr>
        <w:t xml:space="preserve">(1), e01486. </w:t>
      </w:r>
      <w:r>
        <w:rPr>
          <w:rFonts w:ascii="Carlito" w:hAnsi="Carlito" w:eastAsia="Carlito" w:cs="Carlito"/>
          <w:color w:val="000000" w:themeColor="text1"/>
          <w:sz w:val="22"/>
          <w:szCs w:val="22"/>
          <w:highlight w:val="none"/>
          <w:u w:val="none"/>
        </w:rPr>
        <w:t xml:space="preserve">10.1002/ecm.1486</w:t>
      </w:r>
      <w:r>
        <w:rPr>
          <w:rFonts w:ascii="Carlito" w:hAnsi="Carlito" w:eastAsia="Carlito" w:cs="Carlito"/>
          <w:color w:val="000000" w:themeColor="text1"/>
          <w:sz w:val="22"/>
          <w:szCs w:val="22"/>
          <w:highlight w:val="none"/>
          <w:u w:val="none"/>
        </w:rPr>
        <w:t xml:space="preserve"> </w:t>
      </w:r>
      <w:r>
        <w:rPr>
          <w:rFonts w:ascii="Carlito" w:hAnsi="Carlito" w:cs="Carlito"/>
          <w:color w:val="000000" w:themeColor="text1"/>
          <w:sz w:val="22"/>
          <w:szCs w:val="22"/>
          <w:highlight w:val="none"/>
        </w:rPr>
      </w:r>
      <w:r>
        <w:rPr>
          <w:rFonts w:ascii="Carlito" w:hAnsi="Carlito" w:cs="Carlito"/>
          <w:color w:val="000000" w:themeColor="text1"/>
          <w:sz w:val="22"/>
          <w:szCs w:val="22"/>
          <w:highlight w:val="none"/>
        </w:rPr>
      </w:r>
    </w:p>
    <w:sectPr>
      <w:headerReference w:type="default" r:id="rId9"/>
      <w:footnotePr/>
      <w:endnotePr/>
      <w:type w:val="nextPage"/>
      <w:pgSz w:h="16838" w:orient="portrait" w:w="11906"/>
      <w:pgMar w:top="1134" w:right="992"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Times New Roman">
    <w:panose1 w:val="02020603050405020304"/>
  </w:font>
  <w:font w:name="Calibri">
    <w:panose1 w:val="020F0502020204030204"/>
  </w:font>
  <w:font w:name="Carlito">
    <w:panose1 w:val="020F05020202040302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3E294A">
    <w:pPr>
      <w:pStyle w:val="885"/>
      <w:pBdr/>
      <w:spacing/>
      <w:ind/>
      <w:rPr>
        <w:rFonts w:ascii="Carlito" w:hAnsi="Carlito" w:cs="Carlito"/>
        <w:sz w:val="20"/>
        <w:szCs w:val="20"/>
      </w:rPr>
    </w:pPr>
    <w:r>
      <w:rPr>
        <w:rFonts w:ascii="Carlito" w:hAnsi="Carlito" w:eastAsia="Carlito" w:cs="Carlito"/>
        <w:sz w:val="20"/>
        <w:szCs w:val="20"/>
      </w:rPr>
      <w:t xml:space="preserve">SDM Project Outline </w:t>
      <w:tab/>
      <w:t xml:space="preserve"> </w:t>
      <w:tab/>
      <w:t xml:space="preserve">Lina Peters and Anna Bader</w:t>
    </w:r>
    <w:r>
      <w:rPr>
        <w:rFonts w:ascii="Carlito" w:hAnsi="Carlito" w:cs="Carlito"/>
        <w:sz w:val="20"/>
        <w:szCs w:val="20"/>
      </w:rPr>
    </w:r>
    <w:r>
      <w:rPr>
        <w:rFonts w:ascii="Carlito" w:hAnsi="Carlito" w:cs="Carlito"/>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7F5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83FAD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C407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4F35900"/>
    <w:lvl w:ilvl="0">
      <w:isLgl w:val="false"/>
      <w:lvlJc w:val="left"/>
      <w:lvlText w:val="·"/>
      <w:numFmt w:val="bullet"/>
      <w:pPr>
        <w:pBdr/>
        <w:spacing/>
        <w:ind w:hanging="360" w:left="709"/>
      </w:pPr>
      <w:rPr>
        <w:rFonts w:hint="default" w:ascii="Symbol" w:hAnsi="Symbol" w:eastAsia="Symbol" w:cs="Symbol"/>
        <w:color w:val="3d4144"/>
        <w:sz w:val="33"/>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0D909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5B7F5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1"/>
    <w:basedOn w:val="910"/>
    <w:next w:val="910"/>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2">
    <w:name w:val="Heading 2"/>
    <w:basedOn w:val="910"/>
    <w:next w:val="910"/>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3">
    <w:name w:val="Heading 3"/>
    <w:basedOn w:val="910"/>
    <w:next w:val="910"/>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4">
    <w:name w:val="Heading 4"/>
    <w:basedOn w:val="910"/>
    <w:next w:val="910"/>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5">
    <w:name w:val="Heading 5"/>
    <w:basedOn w:val="910"/>
    <w:next w:val="910"/>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6">
    <w:name w:val="Heading 6"/>
    <w:basedOn w:val="910"/>
    <w:next w:val="910"/>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7">
    <w:name w:val="Heading 7"/>
    <w:basedOn w:val="910"/>
    <w:next w:val="910"/>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8">
    <w:name w:val="Heading 8"/>
    <w:basedOn w:val="910"/>
    <w:next w:val="910"/>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9">
    <w:name w:val="Heading 9"/>
    <w:basedOn w:val="910"/>
    <w:next w:val="910"/>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0" w:default="1">
    <w:name w:val="Default Paragraph Font"/>
    <w:uiPriority w:val="1"/>
    <w:semiHidden/>
    <w:unhideWhenUsed/>
    <w:pPr>
      <w:pBdr/>
      <w:spacing/>
      <w:ind/>
    </w:pPr>
  </w:style>
  <w:style w:type="character" w:styleId="861">
    <w:name w:val="Heading 1 Char"/>
    <w:basedOn w:val="860"/>
    <w:link w:val="851"/>
    <w:uiPriority w:val="9"/>
    <w:pPr>
      <w:pBdr/>
      <w:spacing/>
      <w:ind/>
    </w:pPr>
    <w:rPr>
      <w:rFonts w:ascii="Arial" w:hAnsi="Arial" w:eastAsia="Arial" w:cs="Arial"/>
      <w:color w:val="0f4761" w:themeColor="accent1" w:themeShade="BF"/>
      <w:sz w:val="40"/>
      <w:szCs w:val="40"/>
    </w:rPr>
  </w:style>
  <w:style w:type="character" w:styleId="862">
    <w:name w:val="Heading 2 Char"/>
    <w:basedOn w:val="860"/>
    <w:link w:val="852"/>
    <w:uiPriority w:val="9"/>
    <w:pPr>
      <w:pBdr/>
      <w:spacing/>
      <w:ind/>
    </w:pPr>
    <w:rPr>
      <w:rFonts w:ascii="Arial" w:hAnsi="Arial" w:eastAsia="Arial" w:cs="Arial"/>
      <w:color w:val="0f4761" w:themeColor="accent1" w:themeShade="BF"/>
      <w:sz w:val="32"/>
      <w:szCs w:val="32"/>
    </w:rPr>
  </w:style>
  <w:style w:type="character" w:styleId="863">
    <w:name w:val="Heading 3 Char"/>
    <w:basedOn w:val="860"/>
    <w:link w:val="853"/>
    <w:uiPriority w:val="9"/>
    <w:pPr>
      <w:pBdr/>
      <w:spacing/>
      <w:ind/>
    </w:pPr>
    <w:rPr>
      <w:rFonts w:ascii="Arial" w:hAnsi="Arial" w:eastAsia="Arial" w:cs="Arial"/>
      <w:color w:val="0f4761" w:themeColor="accent1" w:themeShade="BF"/>
      <w:sz w:val="28"/>
      <w:szCs w:val="28"/>
    </w:rPr>
  </w:style>
  <w:style w:type="character" w:styleId="864">
    <w:name w:val="Heading 4 Char"/>
    <w:basedOn w:val="860"/>
    <w:link w:val="854"/>
    <w:uiPriority w:val="9"/>
    <w:pPr>
      <w:pBdr/>
      <w:spacing/>
      <w:ind/>
    </w:pPr>
    <w:rPr>
      <w:rFonts w:ascii="Arial" w:hAnsi="Arial" w:eastAsia="Arial" w:cs="Arial"/>
      <w:i/>
      <w:iCs/>
      <w:color w:val="0f4761" w:themeColor="accent1" w:themeShade="BF"/>
    </w:rPr>
  </w:style>
  <w:style w:type="character" w:styleId="865">
    <w:name w:val="Heading 5 Char"/>
    <w:basedOn w:val="860"/>
    <w:link w:val="855"/>
    <w:uiPriority w:val="9"/>
    <w:pPr>
      <w:pBdr/>
      <w:spacing/>
      <w:ind/>
    </w:pPr>
    <w:rPr>
      <w:rFonts w:ascii="Arial" w:hAnsi="Arial" w:eastAsia="Arial" w:cs="Arial"/>
      <w:color w:val="0f4761" w:themeColor="accent1" w:themeShade="BF"/>
    </w:rPr>
  </w:style>
  <w:style w:type="character" w:styleId="866">
    <w:name w:val="Heading 6 Char"/>
    <w:basedOn w:val="860"/>
    <w:link w:val="856"/>
    <w:uiPriority w:val="9"/>
    <w:pPr>
      <w:pBdr/>
      <w:spacing/>
      <w:ind/>
    </w:pPr>
    <w:rPr>
      <w:rFonts w:ascii="Arial" w:hAnsi="Arial" w:eastAsia="Arial" w:cs="Arial"/>
      <w:i/>
      <w:iCs/>
      <w:color w:val="595959" w:themeColor="text1" w:themeTint="A6"/>
    </w:rPr>
  </w:style>
  <w:style w:type="character" w:styleId="867">
    <w:name w:val="Heading 7 Char"/>
    <w:basedOn w:val="860"/>
    <w:link w:val="857"/>
    <w:uiPriority w:val="9"/>
    <w:pPr>
      <w:pBdr/>
      <w:spacing/>
      <w:ind/>
    </w:pPr>
    <w:rPr>
      <w:rFonts w:ascii="Arial" w:hAnsi="Arial" w:eastAsia="Arial" w:cs="Arial"/>
      <w:color w:val="595959" w:themeColor="text1" w:themeTint="A6"/>
    </w:rPr>
  </w:style>
  <w:style w:type="character" w:styleId="868">
    <w:name w:val="Heading 8 Char"/>
    <w:basedOn w:val="860"/>
    <w:link w:val="858"/>
    <w:uiPriority w:val="9"/>
    <w:pPr>
      <w:pBdr/>
      <w:spacing/>
      <w:ind/>
    </w:pPr>
    <w:rPr>
      <w:rFonts w:ascii="Arial" w:hAnsi="Arial" w:eastAsia="Arial" w:cs="Arial"/>
      <w:i/>
      <w:iCs/>
      <w:color w:val="272727" w:themeColor="text1" w:themeTint="D8"/>
    </w:rPr>
  </w:style>
  <w:style w:type="character" w:styleId="869">
    <w:name w:val="Heading 9 Char"/>
    <w:basedOn w:val="860"/>
    <w:link w:val="859"/>
    <w:uiPriority w:val="9"/>
    <w:pPr>
      <w:pBdr/>
      <w:spacing/>
      <w:ind/>
    </w:pPr>
    <w:rPr>
      <w:rFonts w:ascii="Arial" w:hAnsi="Arial" w:eastAsia="Arial" w:cs="Arial"/>
      <w:i/>
      <w:iCs/>
      <w:color w:val="272727" w:themeColor="text1" w:themeTint="D8"/>
    </w:rPr>
  </w:style>
  <w:style w:type="paragraph" w:styleId="870">
    <w:name w:val="Title"/>
    <w:basedOn w:val="910"/>
    <w:next w:val="910"/>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860"/>
    <w:link w:val="870"/>
    <w:uiPriority w:val="10"/>
    <w:pPr>
      <w:pBdr/>
      <w:spacing/>
      <w:ind/>
    </w:pPr>
    <w:rPr>
      <w:rFonts w:ascii="Arial" w:hAnsi="Arial" w:eastAsia="Arial" w:cs="Arial"/>
      <w:spacing w:val="-10"/>
      <w:sz w:val="56"/>
      <w:szCs w:val="56"/>
    </w:rPr>
  </w:style>
  <w:style w:type="paragraph" w:styleId="872">
    <w:name w:val="Subtitle"/>
    <w:basedOn w:val="910"/>
    <w:next w:val="910"/>
    <w:link w:val="873"/>
    <w:uiPriority w:val="11"/>
    <w:qFormat/>
    <w:pPr>
      <w:numPr>
        <w:ilvl w:val="1"/>
      </w:numPr>
      <w:pBdr/>
      <w:spacing/>
      <w:ind/>
    </w:pPr>
    <w:rPr>
      <w:color w:val="595959" w:themeColor="text1" w:themeTint="A6"/>
      <w:spacing w:val="15"/>
      <w:sz w:val="28"/>
      <w:szCs w:val="28"/>
    </w:rPr>
  </w:style>
  <w:style w:type="character" w:styleId="873">
    <w:name w:val="Subtitle Char"/>
    <w:basedOn w:val="860"/>
    <w:link w:val="872"/>
    <w:uiPriority w:val="11"/>
    <w:pPr>
      <w:pBdr/>
      <w:spacing/>
      <w:ind/>
    </w:pPr>
    <w:rPr>
      <w:color w:val="595959" w:themeColor="text1" w:themeTint="A6"/>
      <w:spacing w:val="15"/>
      <w:sz w:val="28"/>
      <w:szCs w:val="28"/>
    </w:rPr>
  </w:style>
  <w:style w:type="paragraph" w:styleId="874">
    <w:name w:val="Quote"/>
    <w:basedOn w:val="910"/>
    <w:next w:val="910"/>
    <w:link w:val="875"/>
    <w:uiPriority w:val="29"/>
    <w:qFormat/>
    <w:pPr>
      <w:pBdr/>
      <w:spacing w:before="160"/>
      <w:ind/>
      <w:jc w:val="center"/>
    </w:pPr>
    <w:rPr>
      <w:i/>
      <w:iCs/>
      <w:color w:val="404040" w:themeColor="text1" w:themeTint="BF"/>
    </w:rPr>
  </w:style>
  <w:style w:type="character" w:styleId="875">
    <w:name w:val="Quote Char"/>
    <w:basedOn w:val="860"/>
    <w:link w:val="874"/>
    <w:uiPriority w:val="29"/>
    <w:pPr>
      <w:pBdr/>
      <w:spacing/>
      <w:ind/>
    </w:pPr>
    <w:rPr>
      <w:i/>
      <w:iCs/>
      <w:color w:val="404040" w:themeColor="text1" w:themeTint="BF"/>
    </w:rPr>
  </w:style>
  <w:style w:type="character" w:styleId="876">
    <w:name w:val="Intense Emphasis"/>
    <w:basedOn w:val="860"/>
    <w:uiPriority w:val="21"/>
    <w:qFormat/>
    <w:pPr>
      <w:pBdr/>
      <w:spacing/>
      <w:ind/>
    </w:pPr>
    <w:rPr>
      <w:i/>
      <w:iCs/>
      <w:color w:val="0f4761" w:themeColor="accent1" w:themeShade="BF"/>
    </w:rPr>
  </w:style>
  <w:style w:type="paragraph" w:styleId="877">
    <w:name w:val="Intense Quote"/>
    <w:basedOn w:val="910"/>
    <w:next w:val="910"/>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860"/>
    <w:link w:val="877"/>
    <w:uiPriority w:val="30"/>
    <w:pPr>
      <w:pBdr/>
      <w:spacing/>
      <w:ind/>
    </w:pPr>
    <w:rPr>
      <w:i/>
      <w:iCs/>
      <w:color w:val="0f4761" w:themeColor="accent1" w:themeShade="BF"/>
    </w:rPr>
  </w:style>
  <w:style w:type="character" w:styleId="879">
    <w:name w:val="Intense Reference"/>
    <w:basedOn w:val="860"/>
    <w:uiPriority w:val="32"/>
    <w:qFormat/>
    <w:pPr>
      <w:pBdr/>
      <w:spacing/>
      <w:ind/>
    </w:pPr>
    <w:rPr>
      <w:b/>
      <w:bCs/>
      <w:smallCaps/>
      <w:color w:val="0f4761" w:themeColor="accent1" w:themeShade="BF"/>
      <w:spacing w:val="5"/>
    </w:rPr>
  </w:style>
  <w:style w:type="character" w:styleId="880">
    <w:name w:val="Subtle Emphasis"/>
    <w:basedOn w:val="860"/>
    <w:uiPriority w:val="19"/>
    <w:qFormat/>
    <w:pPr>
      <w:pBdr/>
      <w:spacing/>
      <w:ind/>
    </w:pPr>
    <w:rPr>
      <w:i/>
      <w:iCs/>
      <w:color w:val="404040" w:themeColor="text1" w:themeTint="BF"/>
    </w:rPr>
  </w:style>
  <w:style w:type="character" w:styleId="881">
    <w:name w:val="Emphasis"/>
    <w:basedOn w:val="860"/>
    <w:uiPriority w:val="20"/>
    <w:qFormat/>
    <w:pPr>
      <w:pBdr/>
      <w:spacing/>
      <w:ind/>
    </w:pPr>
    <w:rPr>
      <w:i/>
      <w:iCs/>
    </w:rPr>
  </w:style>
  <w:style w:type="character" w:styleId="882">
    <w:name w:val="Strong"/>
    <w:basedOn w:val="860"/>
    <w:uiPriority w:val="22"/>
    <w:qFormat/>
    <w:pPr>
      <w:pBdr/>
      <w:spacing/>
      <w:ind/>
    </w:pPr>
    <w:rPr>
      <w:b/>
      <w:bCs/>
    </w:rPr>
  </w:style>
  <w:style w:type="character" w:styleId="883">
    <w:name w:val="Subtle Reference"/>
    <w:basedOn w:val="860"/>
    <w:uiPriority w:val="31"/>
    <w:qFormat/>
    <w:pPr>
      <w:pBdr/>
      <w:spacing/>
      <w:ind/>
    </w:pPr>
    <w:rPr>
      <w:smallCaps/>
      <w:color w:val="5a5a5a" w:themeColor="text1" w:themeTint="A5"/>
    </w:rPr>
  </w:style>
  <w:style w:type="character" w:styleId="884">
    <w:name w:val="Book Title"/>
    <w:basedOn w:val="860"/>
    <w:uiPriority w:val="33"/>
    <w:qFormat/>
    <w:pPr>
      <w:pBdr/>
      <w:spacing/>
      <w:ind/>
    </w:pPr>
    <w:rPr>
      <w:b/>
      <w:bCs/>
      <w:i/>
      <w:iCs/>
      <w:spacing w:val="5"/>
    </w:rPr>
  </w:style>
  <w:style w:type="paragraph" w:styleId="885">
    <w:name w:val="Header"/>
    <w:basedOn w:val="910"/>
    <w:link w:val="886"/>
    <w:uiPriority w:val="99"/>
    <w:unhideWhenUsed/>
    <w:pPr>
      <w:pBdr/>
      <w:tabs>
        <w:tab w:val="center" w:leader="none" w:pos="4844"/>
        <w:tab w:val="right" w:leader="none" w:pos="9689"/>
      </w:tabs>
      <w:spacing w:after="0" w:line="240" w:lineRule="auto"/>
      <w:ind/>
    </w:pPr>
  </w:style>
  <w:style w:type="character" w:styleId="886">
    <w:name w:val="Header Char"/>
    <w:basedOn w:val="860"/>
    <w:link w:val="885"/>
    <w:uiPriority w:val="99"/>
    <w:pPr>
      <w:pBdr/>
      <w:spacing/>
      <w:ind/>
    </w:pPr>
  </w:style>
  <w:style w:type="paragraph" w:styleId="887">
    <w:name w:val="Footer"/>
    <w:basedOn w:val="910"/>
    <w:link w:val="888"/>
    <w:uiPriority w:val="99"/>
    <w:unhideWhenUsed/>
    <w:pPr>
      <w:pBdr/>
      <w:tabs>
        <w:tab w:val="center" w:leader="none" w:pos="4844"/>
        <w:tab w:val="right" w:leader="none" w:pos="9689"/>
      </w:tabs>
      <w:spacing w:after="0" w:line="240" w:lineRule="auto"/>
      <w:ind/>
    </w:pPr>
  </w:style>
  <w:style w:type="character" w:styleId="888">
    <w:name w:val="Footer Char"/>
    <w:basedOn w:val="860"/>
    <w:link w:val="887"/>
    <w:uiPriority w:val="99"/>
    <w:pPr>
      <w:pBdr/>
      <w:spacing/>
      <w:ind/>
    </w:pPr>
  </w:style>
  <w:style w:type="paragraph" w:styleId="889">
    <w:name w:val="Caption"/>
    <w:basedOn w:val="910"/>
    <w:next w:val="910"/>
    <w:uiPriority w:val="35"/>
    <w:unhideWhenUsed/>
    <w:qFormat/>
    <w:pPr>
      <w:pBdr/>
      <w:spacing w:after="200" w:line="240" w:lineRule="auto"/>
      <w:ind/>
    </w:pPr>
    <w:rPr>
      <w:i/>
      <w:iCs/>
      <w:color w:val="0e2841" w:themeColor="text2"/>
      <w:sz w:val="18"/>
      <w:szCs w:val="18"/>
    </w:rPr>
  </w:style>
  <w:style w:type="paragraph" w:styleId="890">
    <w:name w:val="footnote text"/>
    <w:basedOn w:val="910"/>
    <w:link w:val="891"/>
    <w:uiPriority w:val="99"/>
    <w:semiHidden/>
    <w:unhideWhenUsed/>
    <w:pPr>
      <w:pBdr/>
      <w:spacing w:after="0" w:line="240" w:lineRule="auto"/>
      <w:ind/>
    </w:pPr>
    <w:rPr>
      <w:sz w:val="20"/>
      <w:szCs w:val="20"/>
    </w:rPr>
  </w:style>
  <w:style w:type="character" w:styleId="891">
    <w:name w:val="Footnote Text Char"/>
    <w:basedOn w:val="860"/>
    <w:link w:val="890"/>
    <w:uiPriority w:val="99"/>
    <w:semiHidden/>
    <w:pPr>
      <w:pBdr/>
      <w:spacing/>
      <w:ind/>
    </w:pPr>
    <w:rPr>
      <w:sz w:val="20"/>
      <w:szCs w:val="20"/>
    </w:rPr>
  </w:style>
  <w:style w:type="character" w:styleId="892">
    <w:name w:val="footnote reference"/>
    <w:basedOn w:val="860"/>
    <w:uiPriority w:val="99"/>
    <w:semiHidden/>
    <w:unhideWhenUsed/>
    <w:pPr>
      <w:pBdr/>
      <w:spacing/>
      <w:ind/>
    </w:pPr>
    <w:rPr>
      <w:vertAlign w:val="superscript"/>
    </w:rPr>
  </w:style>
  <w:style w:type="paragraph" w:styleId="893">
    <w:name w:val="endnote text"/>
    <w:basedOn w:val="910"/>
    <w:link w:val="894"/>
    <w:uiPriority w:val="99"/>
    <w:semiHidden/>
    <w:unhideWhenUsed/>
    <w:pPr>
      <w:pBdr/>
      <w:spacing w:after="0" w:line="240" w:lineRule="auto"/>
      <w:ind/>
    </w:pPr>
    <w:rPr>
      <w:sz w:val="20"/>
      <w:szCs w:val="20"/>
    </w:rPr>
  </w:style>
  <w:style w:type="character" w:styleId="894">
    <w:name w:val="Endnote Text Char"/>
    <w:basedOn w:val="860"/>
    <w:link w:val="893"/>
    <w:uiPriority w:val="99"/>
    <w:semiHidden/>
    <w:pPr>
      <w:pBdr/>
      <w:spacing/>
      <w:ind/>
    </w:pPr>
    <w:rPr>
      <w:sz w:val="20"/>
      <w:szCs w:val="20"/>
    </w:rPr>
  </w:style>
  <w:style w:type="character" w:styleId="895">
    <w:name w:val="endnote reference"/>
    <w:basedOn w:val="860"/>
    <w:uiPriority w:val="99"/>
    <w:semiHidden/>
    <w:unhideWhenUsed/>
    <w:pPr>
      <w:pBdr/>
      <w:spacing/>
      <w:ind/>
    </w:pPr>
    <w:rPr>
      <w:vertAlign w:val="superscript"/>
    </w:rPr>
  </w:style>
  <w:style w:type="character" w:styleId="896">
    <w:name w:val="Hyperlink"/>
    <w:basedOn w:val="860"/>
    <w:uiPriority w:val="99"/>
    <w:unhideWhenUsed/>
    <w:pPr>
      <w:pBdr/>
      <w:spacing/>
      <w:ind/>
    </w:pPr>
    <w:rPr>
      <w:color w:val="0563c1" w:themeColor="hyperlink"/>
      <w:u w:val="single"/>
    </w:rPr>
  </w:style>
  <w:style w:type="character" w:styleId="897">
    <w:name w:val="FollowedHyperlink"/>
    <w:basedOn w:val="860"/>
    <w:uiPriority w:val="99"/>
    <w:semiHidden/>
    <w:unhideWhenUsed/>
    <w:pPr>
      <w:pBdr/>
      <w:spacing/>
      <w:ind/>
    </w:pPr>
    <w:rPr>
      <w:color w:val="954f72" w:themeColor="followedHyperlink"/>
      <w:u w:val="single"/>
    </w:rPr>
  </w:style>
  <w:style w:type="paragraph" w:styleId="898">
    <w:name w:val="toc 1"/>
    <w:basedOn w:val="910"/>
    <w:next w:val="910"/>
    <w:uiPriority w:val="39"/>
    <w:unhideWhenUsed/>
    <w:pPr>
      <w:pBdr/>
      <w:spacing w:after="100"/>
      <w:ind/>
    </w:pPr>
  </w:style>
  <w:style w:type="paragraph" w:styleId="899">
    <w:name w:val="toc 2"/>
    <w:basedOn w:val="910"/>
    <w:next w:val="910"/>
    <w:uiPriority w:val="39"/>
    <w:unhideWhenUsed/>
    <w:pPr>
      <w:pBdr/>
      <w:spacing w:after="100"/>
      <w:ind w:left="220"/>
    </w:pPr>
  </w:style>
  <w:style w:type="paragraph" w:styleId="900">
    <w:name w:val="toc 3"/>
    <w:basedOn w:val="910"/>
    <w:next w:val="910"/>
    <w:uiPriority w:val="39"/>
    <w:unhideWhenUsed/>
    <w:pPr>
      <w:pBdr/>
      <w:spacing w:after="100"/>
      <w:ind w:left="440"/>
    </w:pPr>
  </w:style>
  <w:style w:type="paragraph" w:styleId="901">
    <w:name w:val="toc 4"/>
    <w:basedOn w:val="910"/>
    <w:next w:val="910"/>
    <w:uiPriority w:val="39"/>
    <w:unhideWhenUsed/>
    <w:pPr>
      <w:pBdr/>
      <w:spacing w:after="100"/>
      <w:ind w:left="660"/>
    </w:pPr>
  </w:style>
  <w:style w:type="paragraph" w:styleId="902">
    <w:name w:val="toc 5"/>
    <w:basedOn w:val="910"/>
    <w:next w:val="910"/>
    <w:uiPriority w:val="39"/>
    <w:unhideWhenUsed/>
    <w:pPr>
      <w:pBdr/>
      <w:spacing w:after="100"/>
      <w:ind w:left="880"/>
    </w:pPr>
  </w:style>
  <w:style w:type="paragraph" w:styleId="903">
    <w:name w:val="toc 6"/>
    <w:basedOn w:val="910"/>
    <w:next w:val="910"/>
    <w:uiPriority w:val="39"/>
    <w:unhideWhenUsed/>
    <w:pPr>
      <w:pBdr/>
      <w:spacing w:after="100"/>
      <w:ind w:left="1100"/>
    </w:pPr>
  </w:style>
  <w:style w:type="paragraph" w:styleId="904">
    <w:name w:val="toc 7"/>
    <w:basedOn w:val="910"/>
    <w:next w:val="910"/>
    <w:uiPriority w:val="39"/>
    <w:unhideWhenUsed/>
    <w:pPr>
      <w:pBdr/>
      <w:spacing w:after="100"/>
      <w:ind w:left="1320"/>
    </w:pPr>
  </w:style>
  <w:style w:type="paragraph" w:styleId="905">
    <w:name w:val="toc 8"/>
    <w:basedOn w:val="910"/>
    <w:next w:val="910"/>
    <w:uiPriority w:val="39"/>
    <w:unhideWhenUsed/>
    <w:pPr>
      <w:pBdr/>
      <w:spacing w:after="100"/>
      <w:ind w:left="1540"/>
    </w:pPr>
  </w:style>
  <w:style w:type="paragraph" w:styleId="906">
    <w:name w:val="toc 9"/>
    <w:basedOn w:val="910"/>
    <w:next w:val="910"/>
    <w:uiPriority w:val="39"/>
    <w:unhideWhenUsed/>
    <w:pPr>
      <w:pBdr/>
      <w:spacing w:after="100"/>
      <w:ind w:left="1760"/>
    </w:pPr>
  </w:style>
  <w:style w:type="character" w:styleId="907">
    <w:name w:val="Placeholder Text"/>
    <w:basedOn w:val="860"/>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0"/>
    <w:next w:val="910"/>
    <w:uiPriority w:val="99"/>
    <w:unhideWhenUsed/>
    <w:pPr>
      <w:pBdr/>
      <w:spacing w:after="0" w:afterAutospacing="0"/>
      <w:ind/>
    </w:pPr>
  </w:style>
  <w:style w:type="paragraph" w:styleId="910" w:default="1">
    <w:name w:val="Normal"/>
    <w:qFormat/>
    <w:pPr>
      <w:pBdr/>
      <w:spacing/>
      <w:ind/>
    </w:pPr>
  </w:style>
  <w:style w:type="table" w:styleId="9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2" w:default="1">
    <w:name w:val="No List"/>
    <w:uiPriority w:val="99"/>
    <w:semiHidden/>
    <w:unhideWhenUsed/>
    <w:pPr>
      <w:pBdr/>
      <w:spacing/>
      <w:ind/>
    </w:pPr>
  </w:style>
  <w:style w:type="paragraph" w:styleId="913">
    <w:name w:val="No Spacing"/>
    <w:basedOn w:val="910"/>
    <w:uiPriority w:val="1"/>
    <w:qFormat/>
    <w:pPr>
      <w:pBdr/>
      <w:spacing w:after="0" w:line="240" w:lineRule="auto"/>
      <w:ind/>
    </w:pPr>
  </w:style>
  <w:style w:type="paragraph" w:styleId="914">
    <w:name w:val="List Paragraph"/>
    <w:basedOn w:val="91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rmets.onlinelibrary.wiley.com/doi/abs/10.1002/joc.5086" TargetMode="External"/><Relationship Id="rId12" Type="http://schemas.openxmlformats.org/officeDocument/2006/relationships/hyperlink" Target="https://doi.org/10.1002/joc.508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Anna Bader</cp:lastModifiedBy>
  <cp:revision>15</cp:revision>
  <dcterms:modified xsi:type="dcterms:W3CDTF">2026-06-16T11:57:07Z</dcterms:modified>
</cp:coreProperties>
</file>