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cs="Calibri"/>
          <w:b/>
          <w:color w:val="2F5597"/>
          <w:sz w:val="36"/>
        </w:rPr>
        <w:t>OWASP ZAP DAST Evaluation Results</w:t>
      </w:r>
    </w:p>
    <w:p>
      <w:pPr>
        <w:spacing w:after="200"/>
        <w:jc w:val="center"/>
      </w:pPr>
      <w:r>
        <w:rPr>
          <w:rFonts w:ascii="Calibri" w:hAnsi="Calibri" w:eastAsia="Calibri" w:cs="Calibri"/>
          <w:b w:val="0"/>
          <w:color w:val="595959"/>
          <w:sz w:val="21"/>
        </w:rPr>
        <w:t>MyStore — Default Unauthenticated Scan (First Experiment)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20"/>
            <w:shd w:fill="D9EAF7"/>
            <w:tcMar>
              <w:top w:w="110" w:type="dxa"/>
              <w:bottom w:w="110" w:type="dxa"/>
              <w:start w:w="70" w:type="dxa"/>
              <w:end w:w="70" w:type="dxa"/>
            </w:tcMar>
          </w:tcPr>
          <w:p>
            <w:pPr>
              <w:spacing w:after="20"/>
              <w:jc w:val="center"/>
            </w:pPr>
            <w:r/>
            <w:r>
              <w:rPr>
                <w:rFonts w:ascii="Calibri" w:hAnsi="Calibri" w:eastAsia="Calibri" w:cs="Calibri"/>
                <w:b/>
                <w:color w:val="2F5597"/>
                <w:sz w:val="32"/>
              </w:rPr>
              <w:t>27</w:t>
            </w:r>
          </w:p>
          <w:p>
            <w:pPr>
              <w:spacing w:after="0"/>
              <w:jc w:val="center"/>
            </w:pPr>
            <w:r>
              <w:rPr>
                <w:rFonts w:ascii="Calibri" w:hAnsi="Calibri" w:eastAsia="Calibri" w:cs="Calibri"/>
                <w:b/>
                <w:color w:val="404040"/>
                <w:sz w:val="17"/>
              </w:rPr>
              <w:t>Alert Types in PDF</w:t>
            </w:r>
          </w:p>
        </w:tc>
        <w:tc>
          <w:tcPr>
            <w:tcW w:type="dxa" w:w="2520"/>
            <w:shd w:fill="D9EAF7"/>
            <w:tcMar>
              <w:top w:w="110" w:type="dxa"/>
              <w:bottom w:w="110" w:type="dxa"/>
              <w:start w:w="70" w:type="dxa"/>
              <w:end w:w="70" w:type="dxa"/>
            </w:tcMar>
          </w:tcPr>
          <w:p>
            <w:pPr>
              <w:spacing w:after="20"/>
              <w:jc w:val="center"/>
            </w:pPr>
            <w:r/>
            <w:r>
              <w:rPr>
                <w:rFonts w:ascii="Calibri" w:hAnsi="Calibri" w:eastAsia="Calibri" w:cs="Calibri"/>
                <w:b/>
                <w:color w:val="2F5597"/>
                <w:sz w:val="32"/>
              </w:rPr>
              <w:t>15</w:t>
            </w:r>
          </w:p>
          <w:p>
            <w:pPr>
              <w:spacing w:after="0"/>
              <w:jc w:val="center"/>
            </w:pPr>
            <w:r>
              <w:rPr>
                <w:rFonts w:ascii="Calibri" w:hAnsi="Calibri" w:eastAsia="Calibri" w:cs="Calibri"/>
                <w:b/>
                <w:color w:val="404040"/>
                <w:sz w:val="17"/>
              </w:rPr>
              <w:t>Evaluated Findings</w:t>
            </w:r>
          </w:p>
        </w:tc>
        <w:tc>
          <w:tcPr>
            <w:tcW w:type="dxa" w:w="2520"/>
            <w:shd w:fill="D9EAF7"/>
            <w:tcMar>
              <w:top w:w="110" w:type="dxa"/>
              <w:bottom w:w="110" w:type="dxa"/>
              <w:start w:w="70" w:type="dxa"/>
              <w:end w:w="70" w:type="dxa"/>
            </w:tcMar>
          </w:tcPr>
          <w:p>
            <w:pPr>
              <w:spacing w:after="20"/>
              <w:jc w:val="center"/>
            </w:pPr>
            <w:r/>
            <w:r>
              <w:rPr>
                <w:rFonts w:ascii="Calibri" w:hAnsi="Calibri" w:eastAsia="Calibri" w:cs="Calibri"/>
                <w:b/>
                <w:color w:val="2F5597"/>
                <w:sz w:val="32"/>
              </w:rPr>
              <w:t>0</w:t>
            </w:r>
          </w:p>
          <w:p>
            <w:pPr>
              <w:spacing w:after="0"/>
              <w:jc w:val="center"/>
            </w:pPr>
            <w:r>
              <w:rPr>
                <w:rFonts w:ascii="Calibri" w:hAnsi="Calibri" w:eastAsia="Calibri" w:cs="Calibri"/>
                <w:b/>
                <w:color w:val="404040"/>
                <w:sz w:val="17"/>
              </w:rPr>
              <w:t>Authentication</w:t>
            </w:r>
          </w:p>
        </w:tc>
        <w:tc>
          <w:tcPr>
            <w:tcW w:type="dxa" w:w="2520"/>
            <w:shd w:fill="D9EAF7"/>
            <w:tcMar>
              <w:top w:w="110" w:type="dxa"/>
              <w:bottom w:w="110" w:type="dxa"/>
              <w:start w:w="70" w:type="dxa"/>
              <w:end w:w="70" w:type="dxa"/>
            </w:tcMar>
          </w:tcPr>
          <w:p>
            <w:pPr>
              <w:spacing w:after="20"/>
              <w:jc w:val="center"/>
            </w:pPr>
            <w:r/>
            <w:r>
              <w:rPr>
                <w:rFonts w:ascii="Calibri" w:hAnsi="Calibri" w:eastAsia="Calibri" w:cs="Calibri"/>
                <w:b/>
                <w:color w:val="2F5597"/>
                <w:sz w:val="32"/>
              </w:rPr>
              <w:t>0</w:t>
            </w:r>
          </w:p>
          <w:p>
            <w:pPr>
              <w:spacing w:after="0"/>
              <w:jc w:val="center"/>
            </w:pPr>
            <w:r>
              <w:rPr>
                <w:rFonts w:ascii="Calibri" w:hAnsi="Calibri" w:eastAsia="Calibri" w:cs="Calibri"/>
                <w:b/>
                <w:color w:val="404040"/>
                <w:sz w:val="17"/>
              </w:rPr>
              <w:t>Matched GT</w:t>
            </w:r>
          </w:p>
        </w:tc>
      </w:tr>
    </w:tbl>
    <w:p>
      <w:pPr>
        <w:spacing w:before="160" w:after="100"/>
        <w:pBdr>
          <w:bottom w:val="single" w:sz="8" w:space="2" w:color="4472C4"/>
        </w:pBdr>
      </w:pPr>
      <w:r>
        <w:rPr>
          <w:rFonts w:ascii="Calibri" w:hAnsi="Calibri" w:eastAsia="Calibri" w:cs="Calibri"/>
          <w:b/>
          <w:color w:val="2F5597"/>
          <w:sz w:val="26"/>
        </w:rPr>
        <w:t>Full Scope</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cantSplit/>
          <w:tblHeader w:val="true"/>
        </w:trPr>
        <w:tc>
          <w:tcPr>
            <w:tcW w:type="dxa" w:w="2880"/>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Tool</w:t>
            </w:r>
          </w:p>
        </w:tc>
        <w:tc>
          <w:tcPr>
            <w:tcW w:type="dxa" w:w="79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TP</w:t>
            </w:r>
          </w:p>
        </w:tc>
        <w:tc>
          <w:tcPr>
            <w:tcW w:type="dxa" w:w="79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FP</w:t>
            </w:r>
          </w:p>
        </w:tc>
        <w:tc>
          <w:tcPr>
            <w:tcW w:type="dxa" w:w="79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FN</w:t>
            </w:r>
          </w:p>
        </w:tc>
        <w:tc>
          <w:tcPr>
            <w:tcW w:type="dxa" w:w="1296"/>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Recall</w:t>
            </w:r>
          </w:p>
        </w:tc>
        <w:tc>
          <w:tcPr>
            <w:tcW w:type="dxa" w:w="1440"/>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Precision</w:t>
            </w:r>
          </w:p>
        </w:tc>
        <w:tc>
          <w:tcPr>
            <w:tcW w:type="dxa" w:w="1296"/>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F1-Score</w:t>
            </w:r>
          </w:p>
        </w:tc>
      </w:tr>
      <w:tr>
        <w:trPr>
          <w:cantSplit/>
        </w:trPr>
        <w:tc>
          <w:tcPr>
            <w:tcW w:type="dxa" w:w="2880"/>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20"/>
              </w:rPr>
              <w:t>OWASP ZAP</w:t>
              <w:br/>
              <w:t>(Default Run)</w:t>
            </w:r>
          </w:p>
        </w:tc>
        <w:tc>
          <w:tcPr>
            <w:tcW w:type="dxa" w:w="79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20"/>
              </w:rPr>
              <w:t>0</w:t>
            </w:r>
          </w:p>
        </w:tc>
        <w:tc>
          <w:tcPr>
            <w:tcW w:type="dxa" w:w="79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20"/>
              </w:rPr>
              <w:t>15</w:t>
            </w:r>
          </w:p>
        </w:tc>
        <w:tc>
          <w:tcPr>
            <w:tcW w:type="dxa" w:w="79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20"/>
              </w:rPr>
              <w:t>30</w:t>
            </w:r>
          </w:p>
        </w:tc>
        <w:tc>
          <w:tcPr>
            <w:tcW w:type="dxa" w:w="1296"/>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20"/>
              </w:rPr>
              <w:t>0.00%</w:t>
            </w:r>
          </w:p>
        </w:tc>
        <w:tc>
          <w:tcPr>
            <w:tcW w:type="dxa" w:w="1440"/>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20"/>
              </w:rPr>
              <w:t>0.00%</w:t>
            </w:r>
          </w:p>
        </w:tc>
        <w:tc>
          <w:tcPr>
            <w:tcW w:type="dxa" w:w="1296"/>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20"/>
              </w:rPr>
              <w:t>0.00%</w:t>
            </w:r>
          </w:p>
        </w:tc>
      </w:tr>
    </w:tbl>
    <w:p>
      <w:pPr>
        <w:spacing w:before="160" w:after="100"/>
        <w:pBdr>
          <w:bottom w:val="single" w:sz="8" w:space="2" w:color="4472C4"/>
        </w:pBdr>
      </w:pPr>
      <w:r>
        <w:rPr>
          <w:rFonts w:ascii="Calibri" w:hAnsi="Calibri" w:eastAsia="Calibri" w:cs="Calibri"/>
          <w:b/>
          <w:color w:val="2F5597"/>
          <w:sz w:val="26"/>
        </w:rPr>
        <w:t>Common Scope</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cantSplit/>
          <w:tblHeader w:val="true"/>
        </w:trPr>
        <w:tc>
          <w:tcPr>
            <w:tcW w:type="dxa" w:w="2880"/>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Tool</w:t>
            </w:r>
          </w:p>
        </w:tc>
        <w:tc>
          <w:tcPr>
            <w:tcW w:type="dxa" w:w="79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TP</w:t>
            </w:r>
          </w:p>
        </w:tc>
        <w:tc>
          <w:tcPr>
            <w:tcW w:type="dxa" w:w="79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FP</w:t>
            </w:r>
          </w:p>
        </w:tc>
        <w:tc>
          <w:tcPr>
            <w:tcW w:type="dxa" w:w="79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FN</w:t>
            </w:r>
          </w:p>
        </w:tc>
        <w:tc>
          <w:tcPr>
            <w:tcW w:type="dxa" w:w="1296"/>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Recall</w:t>
            </w:r>
          </w:p>
        </w:tc>
        <w:tc>
          <w:tcPr>
            <w:tcW w:type="dxa" w:w="1440"/>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Precision</w:t>
            </w:r>
          </w:p>
        </w:tc>
        <w:tc>
          <w:tcPr>
            <w:tcW w:type="dxa" w:w="1296"/>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F1-Score</w:t>
            </w:r>
          </w:p>
        </w:tc>
      </w:tr>
      <w:tr>
        <w:trPr>
          <w:cantSplit/>
        </w:trPr>
        <w:tc>
          <w:tcPr>
            <w:tcW w:type="dxa" w:w="2880"/>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20"/>
              </w:rPr>
              <w:t>OWASP ZAP</w:t>
              <w:br/>
              <w:t>(Default Run)</w:t>
            </w:r>
          </w:p>
        </w:tc>
        <w:tc>
          <w:tcPr>
            <w:tcW w:type="dxa" w:w="79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20"/>
              </w:rPr>
              <w:t>0</w:t>
            </w:r>
          </w:p>
        </w:tc>
        <w:tc>
          <w:tcPr>
            <w:tcW w:type="dxa" w:w="79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20"/>
              </w:rPr>
              <w:t>15</w:t>
            </w:r>
          </w:p>
        </w:tc>
        <w:tc>
          <w:tcPr>
            <w:tcW w:type="dxa" w:w="79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20"/>
              </w:rPr>
              <w:t>16</w:t>
            </w:r>
          </w:p>
        </w:tc>
        <w:tc>
          <w:tcPr>
            <w:tcW w:type="dxa" w:w="1296"/>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20"/>
              </w:rPr>
              <w:t>0.00%</w:t>
            </w:r>
          </w:p>
        </w:tc>
        <w:tc>
          <w:tcPr>
            <w:tcW w:type="dxa" w:w="1440"/>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20"/>
              </w:rPr>
              <w:t>0.00%</w:t>
            </w:r>
          </w:p>
        </w:tc>
        <w:tc>
          <w:tcPr>
            <w:tcW w:type="dxa" w:w="1296"/>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20"/>
              </w:rPr>
              <w:t>0.00%</w:t>
            </w:r>
          </w:p>
        </w:tc>
      </w:tr>
    </w:tbl>
    <w:p>
      <w:pPr>
        <w:spacing w:before="160" w:after="100"/>
        <w:pBdr>
          <w:bottom w:val="single" w:sz="8" w:space="2" w:color="4472C4"/>
        </w:pBdr>
      </w:pPr>
      <w:r>
        <w:rPr>
          <w:rFonts w:ascii="Calibri" w:hAnsi="Calibri" w:eastAsia="Calibri" w:cs="Calibri"/>
          <w:b/>
          <w:color w:val="2F5597"/>
          <w:sz w:val="26"/>
        </w:rPr>
        <w:t>Default Scan Configuration</w:t>
      </w:r>
    </w:p>
    <w:tbl>
      <w:tblPr>
        <w:tblStyle w:val="TableGrid"/>
        <w:tblW w:type="auto" w:w="0"/>
        <w:jc w:val="center"/>
        <w:tblLayout w:type="fixed"/>
        <w:tblLook w:firstColumn="1" w:firstRow="1" w:lastColumn="0" w:lastRow="0" w:noHBand="0" w:noVBand="1" w:val="04A0"/>
      </w:tblPr>
      <w:tblGrid>
        <w:gridCol w:w="5184"/>
        <w:gridCol w:w="5184"/>
      </w:tblGrid>
      <w:tr>
        <w:trPr>
          <w:cantSplit/>
          <w:tblHeader w:val="true"/>
        </w:trPr>
        <w:tc>
          <w:tcPr>
            <w:tcW w:type="dxa" w:w="3168"/>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19"/>
              </w:rPr>
              <w:t>Item</w:t>
            </w:r>
          </w:p>
        </w:tc>
        <w:tc>
          <w:tcPr>
            <w:tcW w:type="dxa" w:w="691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19"/>
              </w:rPr>
              <w:t>Value</w:t>
            </w:r>
          </w:p>
        </w:tc>
      </w:tr>
      <w:tr>
        <w:trPr>
          <w:cantSplit/>
        </w:trPr>
        <w:tc>
          <w:tcPr>
            <w:tcW w:type="dxa" w:w="3168"/>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19"/>
              </w:rPr>
              <w:t>Experiment</w:t>
            </w:r>
          </w:p>
        </w:tc>
        <w:tc>
          <w:tcPr>
            <w:tcW w:type="dxa" w:w="691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val="0"/>
                <w:sz w:val="19"/>
              </w:rPr>
              <w:t>First DAST experiment</w:t>
            </w:r>
          </w:p>
        </w:tc>
      </w:tr>
      <w:tr>
        <w:trPr>
          <w:cantSplit/>
        </w:trPr>
        <w:tc>
          <w:tcPr>
            <w:tcW w:type="dxa" w:w="3168"/>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F4F7FB"/>
          </w:tcPr>
          <w:p>
            <w:pPr>
              <w:spacing w:before="0" w:after="60" w:line="252" w:lineRule="auto"/>
            </w:pPr>
            <w:r>
              <w:rPr>
                <w:rFonts w:ascii="Calibri" w:hAnsi="Calibri" w:eastAsia="Calibri" w:cs="Calibri"/>
                <w:b/>
                <w:sz w:val="19"/>
              </w:rPr>
              <w:t>Tool</w:t>
            </w:r>
          </w:p>
        </w:tc>
        <w:tc>
          <w:tcPr>
            <w:tcW w:type="dxa" w:w="691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F4F7FB"/>
          </w:tcPr>
          <w:p>
            <w:pPr>
              <w:spacing w:before="0" w:after="60" w:line="252" w:lineRule="auto"/>
            </w:pPr>
            <w:r>
              <w:rPr>
                <w:rFonts w:ascii="Calibri" w:hAnsi="Calibri" w:eastAsia="Calibri" w:cs="Calibri"/>
                <w:b w:val="0"/>
                <w:sz w:val="19"/>
              </w:rPr>
              <w:t>OWASP ZAP</w:t>
            </w:r>
          </w:p>
        </w:tc>
      </w:tr>
      <w:tr>
        <w:trPr>
          <w:cantSplit/>
        </w:trPr>
        <w:tc>
          <w:tcPr>
            <w:tcW w:type="dxa" w:w="3168"/>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19"/>
              </w:rPr>
              <w:t>Target</w:t>
            </w:r>
          </w:p>
        </w:tc>
        <w:tc>
          <w:tcPr>
            <w:tcW w:type="dxa" w:w="691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val="0"/>
                <w:sz w:val="19"/>
              </w:rPr>
              <w:t>http://127.0.0.1:8000</w:t>
            </w:r>
          </w:p>
        </w:tc>
      </w:tr>
      <w:tr>
        <w:trPr>
          <w:cantSplit/>
        </w:trPr>
        <w:tc>
          <w:tcPr>
            <w:tcW w:type="dxa" w:w="3168"/>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F4F7FB"/>
          </w:tcPr>
          <w:p>
            <w:pPr>
              <w:spacing w:before="0" w:after="60" w:line="252" w:lineRule="auto"/>
            </w:pPr>
            <w:r>
              <w:rPr>
                <w:rFonts w:ascii="Calibri" w:hAnsi="Calibri" w:eastAsia="Calibri" w:cs="Calibri"/>
                <w:b/>
                <w:sz w:val="19"/>
              </w:rPr>
              <w:t>Configuration</w:t>
            </w:r>
          </w:p>
        </w:tc>
        <w:tc>
          <w:tcPr>
            <w:tcW w:type="dxa" w:w="691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F4F7FB"/>
          </w:tcPr>
          <w:p>
            <w:pPr>
              <w:spacing w:before="0" w:after="60" w:line="252" w:lineRule="auto"/>
            </w:pPr>
            <w:r>
              <w:rPr>
                <w:rFonts w:ascii="Calibri" w:hAnsi="Calibri" w:eastAsia="Calibri" w:cs="Calibri"/>
                <w:b w:val="0"/>
                <w:sz w:val="19"/>
              </w:rPr>
              <w:t>Default settings</w:t>
            </w:r>
          </w:p>
        </w:tc>
      </w:tr>
      <w:tr>
        <w:trPr>
          <w:cantSplit/>
        </w:trPr>
        <w:tc>
          <w:tcPr>
            <w:tcW w:type="dxa" w:w="3168"/>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19"/>
              </w:rPr>
              <w:t>Authentication</w:t>
            </w:r>
          </w:p>
        </w:tc>
        <w:tc>
          <w:tcPr>
            <w:tcW w:type="dxa" w:w="691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val="0"/>
                <w:sz w:val="19"/>
              </w:rPr>
              <w:t>None</w:t>
            </w:r>
          </w:p>
        </w:tc>
      </w:tr>
      <w:tr>
        <w:trPr>
          <w:cantSplit/>
        </w:trPr>
        <w:tc>
          <w:tcPr>
            <w:tcW w:type="dxa" w:w="3168"/>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F4F7FB"/>
          </w:tcPr>
          <w:p>
            <w:pPr>
              <w:spacing w:before="0" w:after="60" w:line="252" w:lineRule="auto"/>
            </w:pPr>
            <w:r>
              <w:rPr>
                <w:rFonts w:ascii="Calibri" w:hAnsi="Calibri" w:eastAsia="Calibri" w:cs="Calibri"/>
                <w:b/>
                <w:sz w:val="19"/>
              </w:rPr>
              <w:t>Context / Session Handling</w:t>
            </w:r>
          </w:p>
        </w:tc>
        <w:tc>
          <w:tcPr>
            <w:tcW w:type="dxa" w:w="691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F4F7FB"/>
          </w:tcPr>
          <w:p>
            <w:pPr>
              <w:spacing w:before="0" w:after="60" w:line="252" w:lineRule="auto"/>
            </w:pPr>
            <w:r>
              <w:rPr>
                <w:rFonts w:ascii="Calibri" w:hAnsi="Calibri" w:eastAsia="Calibri" w:cs="Calibri"/>
                <w:b w:val="0"/>
                <w:sz w:val="19"/>
              </w:rPr>
              <w:t>None</w:t>
            </w:r>
          </w:p>
        </w:tc>
      </w:tr>
      <w:tr>
        <w:trPr>
          <w:cantSplit/>
        </w:trPr>
        <w:tc>
          <w:tcPr>
            <w:tcW w:type="dxa" w:w="3168"/>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19"/>
              </w:rPr>
              <w:t>Seeded URLs</w:t>
            </w:r>
          </w:p>
        </w:tc>
        <w:tc>
          <w:tcPr>
            <w:tcW w:type="dxa" w:w="691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val="0"/>
                <w:sz w:val="19"/>
              </w:rPr>
              <w:t>None</w:t>
            </w:r>
          </w:p>
        </w:tc>
      </w:tr>
      <w:tr>
        <w:trPr>
          <w:cantSplit/>
        </w:trPr>
        <w:tc>
          <w:tcPr>
            <w:tcW w:type="dxa" w:w="3168"/>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F4F7FB"/>
          </w:tcPr>
          <w:p>
            <w:pPr>
              <w:spacing w:before="0" w:after="60" w:line="252" w:lineRule="auto"/>
            </w:pPr>
            <w:r>
              <w:rPr>
                <w:rFonts w:ascii="Calibri" w:hAnsi="Calibri" w:eastAsia="Calibri" w:cs="Calibri"/>
                <w:b/>
                <w:sz w:val="19"/>
              </w:rPr>
              <w:t>Discovery</w:t>
            </w:r>
          </w:p>
        </w:tc>
        <w:tc>
          <w:tcPr>
            <w:tcW w:type="dxa" w:w="691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F4F7FB"/>
          </w:tcPr>
          <w:p>
            <w:pPr>
              <w:spacing w:before="0" w:after="60" w:line="252" w:lineRule="auto"/>
            </w:pPr>
            <w:r>
              <w:rPr>
                <w:rFonts w:ascii="Calibri" w:hAnsi="Calibri" w:eastAsia="Calibri" w:cs="Calibri"/>
                <w:b w:val="0"/>
                <w:sz w:val="19"/>
              </w:rPr>
              <w:t>Default Spider</w:t>
            </w:r>
          </w:p>
        </w:tc>
      </w:tr>
      <w:tr>
        <w:trPr>
          <w:cantSplit/>
        </w:trPr>
        <w:tc>
          <w:tcPr>
            <w:tcW w:type="dxa" w:w="3168"/>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sz w:val="19"/>
              </w:rPr>
              <w:t>Testing</w:t>
            </w:r>
          </w:p>
        </w:tc>
        <w:tc>
          <w:tcPr>
            <w:tcW w:type="dxa" w:w="691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pPr>
            <w:r>
              <w:rPr>
                <w:rFonts w:ascii="Calibri" w:hAnsi="Calibri" w:eastAsia="Calibri" w:cs="Calibri"/>
                <w:b w:val="0"/>
                <w:sz w:val="19"/>
              </w:rPr>
              <w:t>Active Scan using default configuration</w:t>
            </w:r>
          </w:p>
        </w:tc>
      </w:tr>
      <w:tr>
        <w:trPr>
          <w:cantSplit/>
        </w:trPr>
        <w:tc>
          <w:tcPr>
            <w:tcW w:type="dxa" w:w="3168"/>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F4F7FB"/>
          </w:tcPr>
          <w:p>
            <w:pPr>
              <w:spacing w:before="0" w:after="60" w:line="252" w:lineRule="auto"/>
            </w:pPr>
            <w:r>
              <w:rPr>
                <w:rFonts w:ascii="Calibri" w:hAnsi="Calibri" w:eastAsia="Calibri" w:cs="Calibri"/>
                <w:b/>
                <w:sz w:val="19"/>
              </w:rPr>
              <w:t>Additional Configuration</w:t>
            </w:r>
          </w:p>
        </w:tc>
        <w:tc>
          <w:tcPr>
            <w:tcW w:type="dxa" w:w="691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F4F7FB"/>
          </w:tcPr>
          <w:p>
            <w:pPr>
              <w:spacing w:before="0" w:after="60" w:line="252" w:lineRule="auto"/>
            </w:pPr>
            <w:r>
              <w:rPr>
                <w:rFonts w:ascii="Calibri" w:hAnsi="Calibri" w:eastAsia="Calibri" w:cs="Calibri"/>
                <w:b w:val="0"/>
                <w:sz w:val="19"/>
              </w:rPr>
              <w:t>None</w:t>
            </w:r>
          </w:p>
        </w:tc>
      </w:tr>
    </w:tbl>
    <w:p>
      <w:pPr>
        <w:spacing w:before="160" w:after="100"/>
        <w:pBdr>
          <w:bottom w:val="single" w:sz="8" w:space="2" w:color="4472C4"/>
        </w:pBdr>
      </w:pPr>
      <w:r>
        <w:rPr>
          <w:rFonts w:ascii="Calibri" w:hAnsi="Calibri" w:eastAsia="Calibri" w:cs="Calibri"/>
          <w:b/>
          <w:color w:val="2F5597"/>
          <w:sz w:val="26"/>
        </w:rPr>
        <w:t>Alert Summary</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rPr>
        <w:tc>
          <w:tcPr>
            <w:tcW w:type="dxa" w:w="187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High</w:t>
            </w:r>
          </w:p>
        </w:tc>
        <w:tc>
          <w:tcPr>
            <w:tcW w:type="dxa" w:w="187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Medium</w:t>
            </w:r>
          </w:p>
        </w:tc>
        <w:tc>
          <w:tcPr>
            <w:tcW w:type="dxa" w:w="187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Low</w:t>
            </w:r>
          </w:p>
        </w:tc>
        <w:tc>
          <w:tcPr>
            <w:tcW w:type="dxa" w:w="223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Informational</w:t>
            </w:r>
          </w:p>
        </w:tc>
        <w:tc>
          <w:tcPr>
            <w:tcW w:type="dxa" w:w="187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shd w:fill="4472C4"/>
          </w:tcPr>
          <w:p>
            <w:pPr>
              <w:spacing w:before="0" w:after="60" w:line="252" w:lineRule="auto"/>
            </w:pPr>
            <w:r>
              <w:rPr>
                <w:rFonts w:ascii="Calibri" w:hAnsi="Calibri" w:eastAsia="Calibri" w:cs="Calibri"/>
                <w:b/>
                <w:color w:val="FFFFFF"/>
                <w:sz w:val="20"/>
              </w:rPr>
              <w:t>Total</w:t>
            </w:r>
          </w:p>
        </w:tc>
      </w:tr>
      <w:tr>
        <w:trPr>
          <w:cantSplit/>
        </w:trPr>
        <w:tc>
          <w:tcPr>
            <w:tcW w:type="dxa" w:w="187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jc w:val="center"/>
            </w:pPr>
            <w:r>
              <w:rPr>
                <w:rFonts w:ascii="Calibri" w:hAnsi="Calibri" w:eastAsia="Calibri" w:cs="Calibri"/>
                <w:b/>
                <w:sz w:val="20"/>
              </w:rPr>
              <w:t>0</w:t>
            </w:r>
          </w:p>
        </w:tc>
        <w:tc>
          <w:tcPr>
            <w:tcW w:type="dxa" w:w="187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jc w:val="center"/>
            </w:pPr>
            <w:r>
              <w:rPr>
                <w:rFonts w:ascii="Calibri" w:hAnsi="Calibri" w:eastAsia="Calibri" w:cs="Calibri"/>
                <w:b/>
                <w:sz w:val="20"/>
              </w:rPr>
              <w:t>6</w:t>
            </w:r>
          </w:p>
        </w:tc>
        <w:tc>
          <w:tcPr>
            <w:tcW w:type="dxa" w:w="187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jc w:val="center"/>
            </w:pPr>
            <w:r>
              <w:rPr>
                <w:rFonts w:ascii="Calibri" w:hAnsi="Calibri" w:eastAsia="Calibri" w:cs="Calibri"/>
                <w:b/>
                <w:sz w:val="20"/>
              </w:rPr>
              <w:t>9</w:t>
            </w:r>
          </w:p>
        </w:tc>
        <w:tc>
          <w:tcPr>
            <w:tcW w:type="dxa" w:w="223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jc w:val="center"/>
            </w:pPr>
            <w:r>
              <w:rPr>
                <w:rFonts w:ascii="Calibri" w:hAnsi="Calibri" w:eastAsia="Calibri" w:cs="Calibri"/>
                <w:b/>
                <w:sz w:val="20"/>
              </w:rPr>
              <w:t>12</w:t>
            </w:r>
          </w:p>
        </w:tc>
        <w:tc>
          <w:tcPr>
            <w:tcW w:type="dxa" w:w="1872"/>
            <w:vAlign w:val="center"/>
            <w:tcMar>
              <w:top w:w="75" w:type="dxa"/>
              <w:bottom w:w="75" w:type="dxa"/>
              <w:start w:w="80" w:type="dxa"/>
              <w:end w:w="80" w:type="dxa"/>
            </w:tcMar>
            <w:tcBorders>
              <w:top w:val="single" w:sz="6" w:color="A6A6A6"/>
              <w:bottom w:val="single" w:sz="6" w:color="A6A6A6"/>
              <w:left w:val="single" w:sz="6" w:color="A6A6A6"/>
              <w:right w:val="single" w:sz="6" w:color="A6A6A6"/>
            </w:tcBorders>
          </w:tcPr>
          <w:p>
            <w:pPr>
              <w:spacing w:before="0" w:after="60" w:line="252" w:lineRule="auto"/>
              <w:jc w:val="center"/>
            </w:pPr>
            <w:r>
              <w:rPr>
                <w:rFonts w:ascii="Calibri" w:hAnsi="Calibri" w:eastAsia="Calibri" w:cs="Calibri"/>
                <w:b/>
                <w:sz w:val="20"/>
              </w:rPr>
              <w:t>27</w:t>
            </w:r>
          </w:p>
        </w:tc>
      </w:tr>
    </w:tbl>
    <w:p>
      <w:pPr>
        <w:spacing w:after="40"/>
        <w:jc w:val="center"/>
      </w:pPr>
      <w:r>
        <w:rPr>
          <w:rFonts w:ascii="Calibri" w:hAnsi="Calibri" w:eastAsia="Calibri" w:cs="Calibri"/>
          <w:b w:val="0"/>
          <w:color w:val="646464"/>
          <w:sz w:val="18"/>
        </w:rPr>
        <w:t>The normalized JSON contains the 15 non-informational findings (6 Medium + 9 Low); 12 Informational alerts are not included in TP/FP/FN metrics.</w:t>
      </w:r>
    </w:p>
    <w:p>
      <w:r>
        <w:br w:type="page"/>
      </w:r>
    </w:p>
    <w:p>
      <w:pPr>
        <w:spacing w:after="60"/>
        <w:jc w:val="center"/>
      </w:pPr>
      <w:r>
        <w:rPr>
          <w:rFonts w:ascii="Calibri" w:hAnsi="Calibri" w:eastAsia="Calibri" w:cs="Calibri"/>
          <w:b/>
          <w:color w:val="2F5597"/>
          <w:sz w:val="36"/>
        </w:rPr>
        <w:t>OWASP ZAP Result Interpretation</w:t>
      </w:r>
    </w:p>
    <w:p>
      <w:pPr>
        <w:spacing w:before="160" w:after="100"/>
        <w:pBdr>
          <w:bottom w:val="single" w:sz="8" w:space="2" w:color="4472C4"/>
        </w:pBdr>
      </w:pPr>
      <w:r>
        <w:rPr>
          <w:rFonts w:ascii="Calibri" w:hAnsi="Calibri" w:eastAsia="Calibri" w:cs="Calibri"/>
          <w:b/>
          <w:color w:val="2F5597"/>
          <w:sz w:val="26"/>
        </w:rPr>
        <w:t>Evaluation Summary</w:t>
      </w:r>
    </w:p>
    <w:p>
      <w:pPr>
        <w:spacing w:after="120" w:line="276" w:lineRule="auto"/>
        <w:jc w:val="right"/>
        <w:bidi w:val="1"/>
      </w:pPr>
      <w:r>
        <w:rPr>
          <w:rFonts w:ascii="Calibri" w:hAnsi="Calibri" w:eastAsia="Calibri" w:cs="Calibri"/>
          <w:b/>
          <w:sz w:val="21"/>
        </w:rPr>
        <w:t xml:space="preserve">• إعداد الفحص: </w:t>
      </w:r>
      <w:r>
        <w:rPr>
          <w:rFonts w:ascii="Calibri" w:hAnsi="Calibri" w:eastAsia="Calibri" w:cs="Calibri"/>
          <w:b w:val="0"/>
          <w:sz w:val="21"/>
        </w:rPr>
        <w:t>هذه هي التجربة الأولى لـ OWASP ZAP. تم إدخال Target URL فقط، ثم تشغيل Spider بالإعدادات الافتراضية وبعده Active Scan بالإعدادات الافتراضية، بدون Authentication أو Context أو Session Handling أو Seeded URLs أو أي إعدادات إضافية.</w:t>
      </w:r>
    </w:p>
    <w:p>
      <w:pPr>
        <w:spacing w:after="120" w:line="276" w:lineRule="auto"/>
        <w:jc w:val="right"/>
        <w:bidi w:val="1"/>
      </w:pPr>
      <w:r>
        <w:rPr>
          <w:rFonts w:ascii="Calibri" w:hAnsi="Calibri" w:eastAsia="Calibri" w:cs="Calibri"/>
          <w:b/>
          <w:sz w:val="21"/>
        </w:rPr>
        <w:t xml:space="preserve">• النتيجة الخام: </w:t>
      </w:r>
      <w:r>
        <w:rPr>
          <w:rFonts w:ascii="Calibri" w:hAnsi="Calibri" w:eastAsia="Calibri" w:cs="Calibri"/>
          <w:b w:val="0"/>
          <w:sz w:val="21"/>
        </w:rPr>
        <w:t>تقرير ZAP يحتوي على 27 نوع Alert: عدد 0 High و6 Medium و9 Low و12 Informational. الملف النصي الموحّد يحتوي على 15 Finding غير معلوماتي فقط، وهي التي تم استخدامها في التقييم.</w:t>
      </w:r>
    </w:p>
    <w:p>
      <w:pPr>
        <w:spacing w:after="120" w:line="276" w:lineRule="auto"/>
        <w:jc w:val="right"/>
        <w:bidi w:val="1"/>
      </w:pPr>
      <w:r>
        <w:rPr>
          <w:rFonts w:ascii="Calibri" w:hAnsi="Calibri" w:eastAsia="Calibri" w:cs="Calibri"/>
          <w:b/>
          <w:sz w:val="21"/>
        </w:rPr>
        <w:t xml:space="preserve">• True Positives (TP): </w:t>
      </w:r>
      <w:r>
        <w:rPr>
          <w:rFonts w:ascii="Calibri" w:hAnsi="Calibri" w:eastAsia="Calibri" w:cs="Calibri"/>
          <w:b w:val="0"/>
          <w:sz w:val="21"/>
        </w:rPr>
        <w:t>القيمة 0؛ لم يظهر أي Finding يطابق Ground Truth بنفس نوع الثغرة ونفس الـ Endpoint معًا.</w:t>
      </w:r>
    </w:p>
    <w:p>
      <w:pPr>
        <w:spacing w:after="120" w:line="276" w:lineRule="auto"/>
        <w:jc w:val="right"/>
        <w:bidi w:val="1"/>
      </w:pPr>
      <w:r>
        <w:rPr>
          <w:rFonts w:ascii="Calibri" w:hAnsi="Calibri" w:eastAsia="Calibri" w:cs="Calibri"/>
          <w:b/>
          <w:sz w:val="21"/>
        </w:rPr>
        <w:t xml:space="preserve">• False Positives (FP): </w:t>
      </w:r>
      <w:r>
        <w:rPr>
          <w:rFonts w:ascii="Calibri" w:hAnsi="Calibri" w:eastAsia="Calibri" w:cs="Calibri"/>
          <w:b w:val="0"/>
          <w:sz w:val="21"/>
        </w:rPr>
        <w:t>القيمة 15؛ جميع Findings الموجودة في الملف النصي لم تحقق التطابق الكامل مع Ground Truth وفق قاعدة المطابقة الصارمة.</w:t>
      </w:r>
    </w:p>
    <w:p>
      <w:pPr>
        <w:spacing w:after="120" w:line="276" w:lineRule="auto"/>
        <w:jc w:val="right"/>
        <w:bidi w:val="1"/>
      </w:pPr>
      <w:r>
        <w:rPr>
          <w:rFonts w:ascii="Calibri" w:hAnsi="Calibri" w:eastAsia="Calibri" w:cs="Calibri"/>
          <w:b/>
          <w:sz w:val="21"/>
        </w:rPr>
        <w:t xml:space="preserve">• False Negatives (FN): </w:t>
      </w:r>
      <w:r>
        <w:rPr>
          <w:rFonts w:ascii="Calibri" w:hAnsi="Calibri" w:eastAsia="Calibri" w:cs="Calibri"/>
          <w:b w:val="0"/>
          <w:sz w:val="21"/>
        </w:rPr>
        <w:t>Full Scope = 30 وCommon Scope = 16. وبما أن TP = 0، كانت Precision وRecall وF1-Score تساوي 0.00%.</w:t>
      </w:r>
    </w:p>
    <w:p>
      <w:pPr>
        <w:spacing w:before="160" w:after="100"/>
        <w:pBdr>
          <w:bottom w:val="single" w:sz="8" w:space="2" w:color="4472C4"/>
        </w:pBdr>
      </w:pPr>
      <w:r>
        <w:rPr>
          <w:rFonts w:ascii="Calibri" w:hAnsi="Calibri" w:eastAsia="Calibri" w:cs="Calibri"/>
          <w:b/>
          <w:color w:val="2F5597"/>
          <w:sz w:val="26"/>
        </w:rPr>
        <w:t>Important Matching Note</w:t>
      </w:r>
    </w:p>
    <w:p>
      <w:pPr>
        <w:spacing w:after="120" w:line="276" w:lineRule="auto"/>
        <w:jc w:val="right"/>
        <w:bidi w:val="1"/>
      </w:pPr>
      <w:r>
        <w:rPr>
          <w:rFonts w:ascii="Calibri" w:hAnsi="Calibri" w:eastAsia="Calibri" w:cs="Calibri"/>
          <w:b w:val="0"/>
          <w:sz w:val="21"/>
        </w:rPr>
        <w:t>وجود Alert أمني في ZAP لا يجعله TP تلقائيًا. يتم احتساب TP فقط عند تطابق نوع الثغرة مع Ground Truth وتطابق الـ Endpoint نفسه. في هذه التجربة الافتراضية لم يتحقق أي تطابق كامل.</w:t>
      </w:r>
    </w:p>
    <w:p>
      <w:pPr>
        <w:spacing w:before="160" w:after="100"/>
        <w:pBdr>
          <w:bottom w:val="single" w:sz="8" w:space="2" w:color="4472C4"/>
        </w:pBdr>
      </w:pPr>
      <w:r>
        <w:rPr>
          <w:rFonts w:ascii="Calibri" w:hAnsi="Calibri" w:eastAsia="Calibri" w:cs="Calibri"/>
          <w:b/>
          <w:color w:val="2F5597"/>
          <w:sz w:val="26"/>
        </w:rPr>
        <w:t>Key Observations</w:t>
      </w:r>
    </w:p>
    <w:p>
      <w:pPr>
        <w:spacing w:after="120" w:line="276" w:lineRule="auto"/>
        <w:jc w:val="right"/>
        <w:bidi w:val="1"/>
      </w:pPr>
      <w:r>
        <w:rPr>
          <w:rFonts w:ascii="Calibri" w:hAnsi="Calibri" w:eastAsia="Calibri" w:cs="Calibri"/>
          <w:b/>
          <w:sz w:val="21"/>
        </w:rPr>
        <w:t xml:space="preserve">• التغطية: </w:t>
      </w:r>
      <w:r>
        <w:rPr>
          <w:rFonts w:ascii="Calibri" w:hAnsi="Calibri" w:eastAsia="Calibri" w:cs="Calibri"/>
          <w:b w:val="0"/>
          <w:sz w:val="21"/>
        </w:rPr>
        <w:t>التجربة كانت Unauthenticated وبالإعدادات الافتراضية فقط، لذلك قدرة ZAP على الوصول إلى صفحات ووظائف تتطلب تسجيل دخول كانت محدودة.</w:t>
      </w:r>
    </w:p>
    <w:p>
      <w:pPr>
        <w:spacing w:after="120" w:line="276" w:lineRule="auto"/>
        <w:jc w:val="right"/>
        <w:bidi w:val="1"/>
      </w:pPr>
      <w:r>
        <w:rPr>
          <w:rFonts w:ascii="Calibri" w:hAnsi="Calibri" w:eastAsia="Calibri" w:cs="Calibri"/>
          <w:b/>
          <w:sz w:val="21"/>
        </w:rPr>
        <w:t xml:space="preserve">• أبرز Alerts: </w:t>
      </w:r>
      <w:r>
        <w:rPr>
          <w:rFonts w:ascii="Calibri" w:hAnsi="Calibri" w:eastAsia="Calibri" w:cs="Calibri"/>
          <w:b w:val="0"/>
          <w:sz w:val="21"/>
        </w:rPr>
        <w:t>النتائج غير المعلوماتية شملت مشاكل Cookies وCSP وSecurity Headers وCross-Domain configuration وSubresource Integrity وX-Frame-Options.</w:t>
      </w:r>
    </w:p>
    <w:p>
      <w:pPr>
        <w:spacing w:after="120" w:line="276" w:lineRule="auto"/>
        <w:jc w:val="right"/>
        <w:bidi w:val="1"/>
      </w:pPr>
      <w:r>
        <w:rPr>
          <w:rFonts w:ascii="Calibri" w:hAnsi="Calibri" w:eastAsia="Calibri" w:cs="Calibri"/>
          <w:b/>
          <w:sz w:val="21"/>
        </w:rPr>
        <w:t xml:space="preserve">• الخلاصة: </w:t>
      </w:r>
      <w:r>
        <w:rPr>
          <w:rFonts w:ascii="Calibri" w:hAnsi="Calibri" w:eastAsia="Calibri" w:cs="Calibri"/>
          <w:b w:val="0"/>
          <w:sz w:val="21"/>
        </w:rPr>
        <w:t>التجربة الأولى تمثل Baseline افتراضي لـ ZAP بدون أي تحسينات في الإعدادات. أنتجت 15 Finding غير معلوماتي، لكن لم يطابق أي منها Ground Truth وفق شرط نوع الثغرة + نفس الـ Endpoint.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