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3CDA" w:rsidRPr="008E6F87" w:rsidRDefault="008E6F87">
      <w:pPr>
        <w:pStyle w:val="1"/>
        <w:rPr>
          <w:rFonts w:cstheme="majorHAnsi"/>
        </w:rPr>
      </w:pPr>
      <w:r w:rsidRPr="008E6F87">
        <w:rPr>
          <w:rFonts w:cstheme="majorHAnsi"/>
        </w:rPr>
        <w:t>SAST Security Audit Report</w:t>
      </w:r>
    </w:p>
    <w:p w:rsidR="00093CDA" w:rsidRPr="008E6F87" w:rsidRDefault="008E6F87">
      <w:pPr>
        <w:pStyle w:val="21"/>
        <w:rPr>
          <w:rFonts w:cstheme="majorHAnsi"/>
        </w:rPr>
      </w:pPr>
      <w:r w:rsidRPr="008E6F87">
        <w:rPr>
          <w:rFonts w:cstheme="majorHAnsi"/>
        </w:rPr>
        <w:t>Full Scope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093CDA" w:rsidRPr="008E6F87" w:rsidTr="008E6F87">
        <w:tc>
          <w:tcPr>
            <w:tcW w:w="1234" w:type="dxa"/>
          </w:tcPr>
          <w:p w:rsidR="00093CDA" w:rsidRPr="008E6F87" w:rsidRDefault="008E6F87">
            <w:pPr>
              <w:rPr>
                <w:rFonts w:asciiTheme="majorHAnsi" w:hAnsiTheme="majorHAnsi" w:cstheme="majorHAnsi"/>
              </w:rPr>
            </w:pPr>
            <w:r w:rsidRPr="008E6F87">
              <w:rPr>
                <w:rFonts w:asciiTheme="majorHAnsi" w:hAnsiTheme="majorHAnsi" w:cstheme="majorHAnsi"/>
              </w:rPr>
              <w:t>Tool</w:t>
            </w:r>
          </w:p>
        </w:tc>
        <w:tc>
          <w:tcPr>
            <w:tcW w:w="1234" w:type="dxa"/>
          </w:tcPr>
          <w:p w:rsidR="00093CDA" w:rsidRPr="008E6F87" w:rsidRDefault="008E6F87">
            <w:pPr>
              <w:rPr>
                <w:rFonts w:asciiTheme="majorHAnsi" w:hAnsiTheme="majorHAnsi" w:cstheme="majorHAnsi"/>
              </w:rPr>
            </w:pPr>
            <w:r w:rsidRPr="008E6F87">
              <w:rPr>
                <w:rFonts w:asciiTheme="majorHAnsi" w:hAnsiTheme="majorHAnsi" w:cstheme="majorHAnsi"/>
              </w:rPr>
              <w:t>TP</w:t>
            </w:r>
          </w:p>
        </w:tc>
        <w:tc>
          <w:tcPr>
            <w:tcW w:w="1234" w:type="dxa"/>
          </w:tcPr>
          <w:p w:rsidR="00093CDA" w:rsidRPr="008E6F87" w:rsidRDefault="008E6F87">
            <w:pPr>
              <w:rPr>
                <w:rFonts w:asciiTheme="majorHAnsi" w:hAnsiTheme="majorHAnsi" w:cstheme="majorHAnsi"/>
              </w:rPr>
            </w:pPr>
            <w:r w:rsidRPr="008E6F87">
              <w:rPr>
                <w:rFonts w:asciiTheme="majorHAnsi" w:hAnsiTheme="majorHAnsi" w:cstheme="majorHAnsi"/>
              </w:rPr>
              <w:t>FP</w:t>
            </w:r>
          </w:p>
        </w:tc>
        <w:tc>
          <w:tcPr>
            <w:tcW w:w="1234" w:type="dxa"/>
          </w:tcPr>
          <w:p w:rsidR="00093CDA" w:rsidRPr="008E6F87" w:rsidRDefault="008E6F87">
            <w:pPr>
              <w:rPr>
                <w:rFonts w:asciiTheme="majorHAnsi" w:hAnsiTheme="majorHAnsi" w:cstheme="majorHAnsi"/>
              </w:rPr>
            </w:pPr>
            <w:r w:rsidRPr="008E6F87">
              <w:rPr>
                <w:rFonts w:asciiTheme="majorHAnsi" w:hAnsiTheme="majorHAnsi" w:cstheme="majorHAnsi"/>
              </w:rPr>
              <w:t>FN</w:t>
            </w:r>
          </w:p>
        </w:tc>
        <w:tc>
          <w:tcPr>
            <w:tcW w:w="1234" w:type="dxa"/>
          </w:tcPr>
          <w:p w:rsidR="00093CDA" w:rsidRPr="008E6F87" w:rsidRDefault="008E6F87">
            <w:pPr>
              <w:rPr>
                <w:rFonts w:asciiTheme="majorHAnsi" w:hAnsiTheme="majorHAnsi" w:cstheme="majorHAnsi"/>
              </w:rPr>
            </w:pPr>
            <w:r w:rsidRPr="008E6F87">
              <w:rPr>
                <w:rFonts w:asciiTheme="majorHAnsi" w:hAnsiTheme="majorHAnsi" w:cstheme="majorHAnsi"/>
              </w:rPr>
              <w:t>Recall</w:t>
            </w:r>
          </w:p>
        </w:tc>
        <w:tc>
          <w:tcPr>
            <w:tcW w:w="1234" w:type="dxa"/>
          </w:tcPr>
          <w:p w:rsidR="00093CDA" w:rsidRPr="008E6F87" w:rsidRDefault="008E6F87">
            <w:pPr>
              <w:rPr>
                <w:rFonts w:asciiTheme="majorHAnsi" w:hAnsiTheme="majorHAnsi" w:cstheme="majorHAnsi"/>
              </w:rPr>
            </w:pPr>
            <w:r w:rsidRPr="008E6F87">
              <w:rPr>
                <w:rFonts w:asciiTheme="majorHAnsi" w:hAnsiTheme="majorHAnsi" w:cstheme="majorHAnsi"/>
              </w:rPr>
              <w:t>Precision</w:t>
            </w:r>
          </w:p>
        </w:tc>
        <w:tc>
          <w:tcPr>
            <w:tcW w:w="1234" w:type="dxa"/>
          </w:tcPr>
          <w:p w:rsidR="00093CDA" w:rsidRPr="008E6F87" w:rsidRDefault="008E6F87">
            <w:pPr>
              <w:rPr>
                <w:rFonts w:asciiTheme="majorHAnsi" w:hAnsiTheme="majorHAnsi" w:cstheme="majorHAnsi"/>
              </w:rPr>
            </w:pPr>
            <w:r w:rsidRPr="008E6F87">
              <w:rPr>
                <w:rFonts w:asciiTheme="majorHAnsi" w:hAnsiTheme="majorHAnsi" w:cstheme="majorHAnsi"/>
              </w:rPr>
              <w:t>F1-Score</w:t>
            </w:r>
          </w:p>
        </w:tc>
      </w:tr>
      <w:tr w:rsidR="00093CDA" w:rsidRPr="008E6F87" w:rsidTr="008E6F87">
        <w:tc>
          <w:tcPr>
            <w:tcW w:w="1234" w:type="dxa"/>
          </w:tcPr>
          <w:p w:rsidR="00093CDA" w:rsidRPr="008E6F87" w:rsidRDefault="008E6F87">
            <w:pPr>
              <w:rPr>
                <w:rFonts w:asciiTheme="majorHAnsi" w:hAnsiTheme="majorHAnsi" w:cstheme="majorHAnsi"/>
              </w:rPr>
            </w:pPr>
            <w:r w:rsidRPr="008E6F87">
              <w:rPr>
                <w:rFonts w:asciiTheme="majorHAnsi" w:hAnsiTheme="majorHAnsi" w:cstheme="majorHAnsi"/>
              </w:rPr>
              <w:t>SAST</w:t>
            </w:r>
          </w:p>
        </w:tc>
        <w:tc>
          <w:tcPr>
            <w:tcW w:w="1234" w:type="dxa"/>
          </w:tcPr>
          <w:p w:rsidR="00093CDA" w:rsidRPr="008E6F87" w:rsidRDefault="008E6F87">
            <w:pPr>
              <w:rPr>
                <w:rFonts w:asciiTheme="majorHAnsi" w:hAnsiTheme="majorHAnsi" w:cstheme="majorHAnsi"/>
              </w:rPr>
            </w:pPr>
            <w:r w:rsidRPr="008E6F87">
              <w:rPr>
                <w:rFonts w:asciiTheme="majorHAnsi" w:hAnsiTheme="majorHAnsi" w:cstheme="majorHAnsi"/>
              </w:rPr>
              <w:t>13</w:t>
            </w:r>
          </w:p>
        </w:tc>
        <w:tc>
          <w:tcPr>
            <w:tcW w:w="1234" w:type="dxa"/>
          </w:tcPr>
          <w:p w:rsidR="00093CDA" w:rsidRPr="008E6F87" w:rsidRDefault="008E6F87">
            <w:pPr>
              <w:rPr>
                <w:rFonts w:asciiTheme="majorHAnsi" w:hAnsiTheme="majorHAnsi" w:cstheme="majorHAnsi"/>
              </w:rPr>
            </w:pPr>
            <w:r w:rsidRPr="008E6F87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1234" w:type="dxa"/>
          </w:tcPr>
          <w:p w:rsidR="00093CDA" w:rsidRPr="008E6F87" w:rsidRDefault="008E6F87">
            <w:pPr>
              <w:rPr>
                <w:rFonts w:asciiTheme="majorHAnsi" w:hAnsiTheme="majorHAnsi" w:cstheme="majorHAnsi"/>
              </w:rPr>
            </w:pPr>
            <w:r w:rsidRPr="008E6F87">
              <w:rPr>
                <w:rFonts w:asciiTheme="majorHAnsi" w:hAnsiTheme="majorHAnsi" w:cstheme="majorHAnsi"/>
              </w:rPr>
              <w:t>17</w:t>
            </w:r>
          </w:p>
        </w:tc>
        <w:tc>
          <w:tcPr>
            <w:tcW w:w="1234" w:type="dxa"/>
          </w:tcPr>
          <w:p w:rsidR="00093CDA" w:rsidRPr="008E6F87" w:rsidRDefault="008E6F87">
            <w:pPr>
              <w:rPr>
                <w:rFonts w:asciiTheme="majorHAnsi" w:hAnsiTheme="majorHAnsi" w:cstheme="majorHAnsi"/>
              </w:rPr>
            </w:pPr>
            <w:r w:rsidRPr="008E6F87">
              <w:rPr>
                <w:rFonts w:asciiTheme="majorHAnsi" w:hAnsiTheme="majorHAnsi" w:cstheme="majorHAnsi"/>
              </w:rPr>
              <w:t>43.33%</w:t>
            </w:r>
          </w:p>
        </w:tc>
        <w:tc>
          <w:tcPr>
            <w:tcW w:w="1234" w:type="dxa"/>
          </w:tcPr>
          <w:p w:rsidR="00093CDA" w:rsidRPr="008E6F87" w:rsidRDefault="008E6F87">
            <w:pPr>
              <w:rPr>
                <w:rFonts w:asciiTheme="majorHAnsi" w:hAnsiTheme="majorHAnsi" w:cstheme="majorHAnsi"/>
              </w:rPr>
            </w:pPr>
            <w:r w:rsidRPr="008E6F87">
              <w:rPr>
                <w:rFonts w:asciiTheme="majorHAnsi" w:hAnsiTheme="majorHAnsi" w:cstheme="majorHAnsi"/>
              </w:rPr>
              <w:t>86.67%</w:t>
            </w:r>
          </w:p>
        </w:tc>
        <w:tc>
          <w:tcPr>
            <w:tcW w:w="1234" w:type="dxa"/>
          </w:tcPr>
          <w:p w:rsidR="00093CDA" w:rsidRPr="008E6F87" w:rsidRDefault="008E6F87">
            <w:pPr>
              <w:rPr>
                <w:rFonts w:asciiTheme="majorHAnsi" w:hAnsiTheme="majorHAnsi" w:cstheme="majorHAnsi"/>
              </w:rPr>
            </w:pPr>
            <w:r w:rsidRPr="008E6F87">
              <w:rPr>
                <w:rFonts w:asciiTheme="majorHAnsi" w:hAnsiTheme="majorHAnsi" w:cstheme="majorHAnsi"/>
              </w:rPr>
              <w:t>57.78%</w:t>
            </w:r>
          </w:p>
        </w:tc>
      </w:tr>
    </w:tbl>
    <w:p w:rsidR="00093CDA" w:rsidRPr="008E6F87" w:rsidRDefault="00093CDA">
      <w:pPr>
        <w:rPr>
          <w:rFonts w:asciiTheme="majorHAnsi" w:hAnsiTheme="majorHAnsi" w:cstheme="majorHAnsi"/>
        </w:rPr>
      </w:pPr>
    </w:p>
    <w:p w:rsidR="00093CDA" w:rsidRPr="008E6F87" w:rsidRDefault="008E6F87">
      <w:pPr>
        <w:pStyle w:val="21"/>
        <w:rPr>
          <w:rFonts w:cstheme="majorHAnsi"/>
        </w:rPr>
      </w:pPr>
      <w:r w:rsidRPr="008E6F87">
        <w:rPr>
          <w:rFonts w:cstheme="majorHAnsi"/>
        </w:rPr>
        <w:t>Common Scope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093CDA" w:rsidRPr="008E6F87" w:rsidTr="008E6F87">
        <w:tc>
          <w:tcPr>
            <w:tcW w:w="1234" w:type="dxa"/>
          </w:tcPr>
          <w:p w:rsidR="00093CDA" w:rsidRPr="008E6F87" w:rsidRDefault="008E6F87">
            <w:pPr>
              <w:rPr>
                <w:rFonts w:asciiTheme="majorHAnsi" w:hAnsiTheme="majorHAnsi" w:cstheme="majorHAnsi"/>
              </w:rPr>
            </w:pPr>
            <w:r w:rsidRPr="008E6F87">
              <w:rPr>
                <w:rFonts w:asciiTheme="majorHAnsi" w:hAnsiTheme="majorHAnsi" w:cstheme="majorHAnsi"/>
              </w:rPr>
              <w:t>Tool</w:t>
            </w:r>
          </w:p>
        </w:tc>
        <w:tc>
          <w:tcPr>
            <w:tcW w:w="1234" w:type="dxa"/>
          </w:tcPr>
          <w:p w:rsidR="00093CDA" w:rsidRPr="008E6F87" w:rsidRDefault="008E6F87">
            <w:pPr>
              <w:rPr>
                <w:rFonts w:asciiTheme="majorHAnsi" w:hAnsiTheme="majorHAnsi" w:cstheme="majorHAnsi"/>
              </w:rPr>
            </w:pPr>
            <w:r w:rsidRPr="008E6F87">
              <w:rPr>
                <w:rFonts w:asciiTheme="majorHAnsi" w:hAnsiTheme="majorHAnsi" w:cstheme="majorHAnsi"/>
              </w:rPr>
              <w:t>TP</w:t>
            </w:r>
          </w:p>
        </w:tc>
        <w:tc>
          <w:tcPr>
            <w:tcW w:w="1234" w:type="dxa"/>
          </w:tcPr>
          <w:p w:rsidR="00093CDA" w:rsidRPr="008E6F87" w:rsidRDefault="008E6F87">
            <w:pPr>
              <w:rPr>
                <w:rFonts w:asciiTheme="majorHAnsi" w:hAnsiTheme="majorHAnsi" w:cstheme="majorHAnsi"/>
              </w:rPr>
            </w:pPr>
            <w:r w:rsidRPr="008E6F87">
              <w:rPr>
                <w:rFonts w:asciiTheme="majorHAnsi" w:hAnsiTheme="majorHAnsi" w:cstheme="majorHAnsi"/>
              </w:rPr>
              <w:t>FP</w:t>
            </w:r>
          </w:p>
        </w:tc>
        <w:tc>
          <w:tcPr>
            <w:tcW w:w="1234" w:type="dxa"/>
          </w:tcPr>
          <w:p w:rsidR="00093CDA" w:rsidRPr="008E6F87" w:rsidRDefault="008E6F87">
            <w:pPr>
              <w:rPr>
                <w:rFonts w:asciiTheme="majorHAnsi" w:hAnsiTheme="majorHAnsi" w:cstheme="majorHAnsi"/>
              </w:rPr>
            </w:pPr>
            <w:r w:rsidRPr="008E6F87">
              <w:rPr>
                <w:rFonts w:asciiTheme="majorHAnsi" w:hAnsiTheme="majorHAnsi" w:cstheme="majorHAnsi"/>
              </w:rPr>
              <w:t>FN</w:t>
            </w:r>
          </w:p>
        </w:tc>
        <w:tc>
          <w:tcPr>
            <w:tcW w:w="1234" w:type="dxa"/>
          </w:tcPr>
          <w:p w:rsidR="00093CDA" w:rsidRPr="008E6F87" w:rsidRDefault="008E6F87">
            <w:pPr>
              <w:rPr>
                <w:rFonts w:asciiTheme="majorHAnsi" w:hAnsiTheme="majorHAnsi" w:cstheme="majorHAnsi"/>
              </w:rPr>
            </w:pPr>
            <w:r w:rsidRPr="008E6F87">
              <w:rPr>
                <w:rFonts w:asciiTheme="majorHAnsi" w:hAnsiTheme="majorHAnsi" w:cstheme="majorHAnsi"/>
              </w:rPr>
              <w:t>Recall</w:t>
            </w:r>
          </w:p>
        </w:tc>
        <w:tc>
          <w:tcPr>
            <w:tcW w:w="1234" w:type="dxa"/>
          </w:tcPr>
          <w:p w:rsidR="00093CDA" w:rsidRPr="008E6F87" w:rsidRDefault="008E6F87">
            <w:pPr>
              <w:rPr>
                <w:rFonts w:asciiTheme="majorHAnsi" w:hAnsiTheme="majorHAnsi" w:cstheme="majorHAnsi"/>
              </w:rPr>
            </w:pPr>
            <w:r w:rsidRPr="008E6F87">
              <w:rPr>
                <w:rFonts w:asciiTheme="majorHAnsi" w:hAnsiTheme="majorHAnsi" w:cstheme="majorHAnsi"/>
              </w:rPr>
              <w:t>Precision</w:t>
            </w:r>
          </w:p>
        </w:tc>
        <w:tc>
          <w:tcPr>
            <w:tcW w:w="1234" w:type="dxa"/>
          </w:tcPr>
          <w:p w:rsidR="00093CDA" w:rsidRPr="008E6F87" w:rsidRDefault="008E6F87">
            <w:pPr>
              <w:rPr>
                <w:rFonts w:asciiTheme="majorHAnsi" w:hAnsiTheme="majorHAnsi" w:cstheme="majorHAnsi"/>
              </w:rPr>
            </w:pPr>
            <w:r w:rsidRPr="008E6F87">
              <w:rPr>
                <w:rFonts w:asciiTheme="majorHAnsi" w:hAnsiTheme="majorHAnsi" w:cstheme="majorHAnsi"/>
              </w:rPr>
              <w:t>F1-Score</w:t>
            </w:r>
          </w:p>
        </w:tc>
      </w:tr>
      <w:tr w:rsidR="00093CDA" w:rsidRPr="008E6F87" w:rsidTr="008E6F87">
        <w:tc>
          <w:tcPr>
            <w:tcW w:w="1234" w:type="dxa"/>
          </w:tcPr>
          <w:p w:rsidR="00093CDA" w:rsidRPr="008E6F87" w:rsidRDefault="008E6F87">
            <w:pPr>
              <w:rPr>
                <w:rFonts w:asciiTheme="majorHAnsi" w:hAnsiTheme="majorHAnsi" w:cstheme="majorHAnsi"/>
              </w:rPr>
            </w:pPr>
            <w:r w:rsidRPr="008E6F87">
              <w:rPr>
                <w:rFonts w:asciiTheme="majorHAnsi" w:hAnsiTheme="majorHAnsi" w:cstheme="majorHAnsi"/>
              </w:rPr>
              <w:t>SAST</w:t>
            </w:r>
          </w:p>
        </w:tc>
        <w:tc>
          <w:tcPr>
            <w:tcW w:w="1234" w:type="dxa"/>
          </w:tcPr>
          <w:p w:rsidR="00093CDA" w:rsidRPr="008E6F87" w:rsidRDefault="008E6F87">
            <w:pPr>
              <w:rPr>
                <w:rFonts w:asciiTheme="majorHAnsi" w:hAnsiTheme="majorHAnsi" w:cstheme="majorHAnsi"/>
              </w:rPr>
            </w:pPr>
            <w:r w:rsidRPr="008E6F87">
              <w:rPr>
                <w:rFonts w:asciiTheme="majorHAnsi" w:hAnsiTheme="majorHAnsi" w:cstheme="majorHAnsi"/>
              </w:rPr>
              <w:t>9</w:t>
            </w:r>
          </w:p>
        </w:tc>
        <w:tc>
          <w:tcPr>
            <w:tcW w:w="1234" w:type="dxa"/>
          </w:tcPr>
          <w:p w:rsidR="00093CDA" w:rsidRPr="008E6F87" w:rsidRDefault="008E6F87">
            <w:pPr>
              <w:rPr>
                <w:rFonts w:asciiTheme="majorHAnsi" w:hAnsiTheme="majorHAnsi" w:cstheme="majorHAnsi"/>
              </w:rPr>
            </w:pPr>
            <w:r w:rsidRPr="008E6F87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1234" w:type="dxa"/>
          </w:tcPr>
          <w:p w:rsidR="00093CDA" w:rsidRPr="008E6F87" w:rsidRDefault="008E6F87">
            <w:pPr>
              <w:rPr>
                <w:rFonts w:asciiTheme="majorHAnsi" w:hAnsiTheme="majorHAnsi" w:cstheme="majorHAnsi"/>
              </w:rPr>
            </w:pPr>
            <w:r w:rsidRPr="008E6F87">
              <w:rPr>
                <w:rFonts w:asciiTheme="majorHAnsi" w:hAnsiTheme="majorHAnsi" w:cstheme="majorHAnsi"/>
              </w:rPr>
              <w:t>7</w:t>
            </w:r>
          </w:p>
        </w:tc>
        <w:tc>
          <w:tcPr>
            <w:tcW w:w="1234" w:type="dxa"/>
          </w:tcPr>
          <w:p w:rsidR="00093CDA" w:rsidRPr="008E6F87" w:rsidRDefault="008E6F87">
            <w:pPr>
              <w:rPr>
                <w:rFonts w:asciiTheme="majorHAnsi" w:hAnsiTheme="majorHAnsi" w:cstheme="majorHAnsi"/>
              </w:rPr>
            </w:pPr>
            <w:r w:rsidRPr="008E6F87">
              <w:rPr>
                <w:rFonts w:asciiTheme="majorHAnsi" w:hAnsiTheme="majorHAnsi" w:cstheme="majorHAnsi"/>
              </w:rPr>
              <w:t>56.25%</w:t>
            </w:r>
          </w:p>
        </w:tc>
        <w:tc>
          <w:tcPr>
            <w:tcW w:w="1234" w:type="dxa"/>
          </w:tcPr>
          <w:p w:rsidR="00093CDA" w:rsidRPr="008E6F87" w:rsidRDefault="008E6F87">
            <w:pPr>
              <w:rPr>
                <w:rFonts w:asciiTheme="majorHAnsi" w:hAnsiTheme="majorHAnsi" w:cstheme="majorHAnsi"/>
              </w:rPr>
            </w:pPr>
            <w:r w:rsidRPr="008E6F87">
              <w:rPr>
                <w:rFonts w:asciiTheme="majorHAnsi" w:hAnsiTheme="majorHAnsi" w:cstheme="majorHAnsi"/>
              </w:rPr>
              <w:t>81.81%</w:t>
            </w:r>
          </w:p>
        </w:tc>
        <w:tc>
          <w:tcPr>
            <w:tcW w:w="1234" w:type="dxa"/>
          </w:tcPr>
          <w:p w:rsidR="00093CDA" w:rsidRPr="008E6F87" w:rsidRDefault="008E6F87">
            <w:pPr>
              <w:rPr>
                <w:rFonts w:asciiTheme="majorHAnsi" w:hAnsiTheme="majorHAnsi" w:cstheme="majorHAnsi"/>
              </w:rPr>
            </w:pPr>
            <w:r w:rsidRPr="008E6F87">
              <w:rPr>
                <w:rFonts w:asciiTheme="majorHAnsi" w:hAnsiTheme="majorHAnsi" w:cstheme="majorHAnsi"/>
              </w:rPr>
              <w:t>66.66%</w:t>
            </w:r>
          </w:p>
        </w:tc>
      </w:tr>
    </w:tbl>
    <w:p w:rsidR="00093CDA" w:rsidRPr="008E6F87" w:rsidRDefault="00093CDA">
      <w:pPr>
        <w:rPr>
          <w:rFonts w:asciiTheme="majorHAnsi" w:hAnsiTheme="majorHAnsi" w:cstheme="majorHAnsi"/>
        </w:rPr>
      </w:pPr>
    </w:p>
    <w:p w:rsidR="00093CDA" w:rsidRPr="008E6F87" w:rsidRDefault="008E6F87">
      <w:pPr>
        <w:pStyle w:val="21"/>
        <w:rPr>
          <w:rFonts w:cstheme="majorHAnsi"/>
        </w:rPr>
      </w:pPr>
      <w:r w:rsidRPr="008E6F87">
        <w:rPr>
          <w:rFonts w:cstheme="majorHAnsi"/>
        </w:rPr>
        <w:t>Full Scope - Key Observations</w:t>
      </w:r>
    </w:p>
    <w:p w:rsidR="00093CDA" w:rsidRPr="008E6F87" w:rsidRDefault="008E6F87">
      <w:pPr>
        <w:pStyle w:val="a0"/>
        <w:rPr>
          <w:rFonts w:asciiTheme="majorHAnsi" w:hAnsiTheme="majorHAnsi" w:cstheme="majorHAnsi"/>
        </w:rPr>
      </w:pPr>
      <w:r w:rsidRPr="008E6F87">
        <w:rPr>
          <w:rFonts w:asciiTheme="majorHAnsi" w:hAnsiTheme="majorHAnsi" w:cstheme="majorHAnsi"/>
          <w:b/>
        </w:rPr>
        <w:t xml:space="preserve">Successes: </w:t>
      </w:r>
      <w:r w:rsidRPr="008E6F87">
        <w:rPr>
          <w:rFonts w:asciiTheme="majorHAnsi" w:hAnsiTheme="majorHAnsi" w:cstheme="majorHAnsi"/>
        </w:rPr>
        <w:t xml:space="preserve">The SAST </w:t>
      </w:r>
      <w:r w:rsidRPr="008E6F87">
        <w:rPr>
          <w:rFonts w:asciiTheme="majorHAnsi" w:hAnsiTheme="majorHAnsi" w:cstheme="majorHAnsi"/>
        </w:rPr>
        <w:t>successfully identified multiple critical vulnerabilities, including SQL Injection, Command Injection, Insecure Deserialization (Pickle and YAML), XXE Injection, Code Injection via eval(), Weak Cryptographic Hash usage, and Hardcoded Secret Key issues.</w:t>
      </w:r>
    </w:p>
    <w:p w:rsidR="00093CDA" w:rsidRPr="008E6F87" w:rsidRDefault="008E6F87">
      <w:pPr>
        <w:pStyle w:val="a0"/>
        <w:rPr>
          <w:rFonts w:asciiTheme="majorHAnsi" w:hAnsiTheme="majorHAnsi" w:cstheme="majorHAnsi"/>
        </w:rPr>
      </w:pPr>
      <w:r w:rsidRPr="008E6F87">
        <w:rPr>
          <w:rFonts w:asciiTheme="majorHAnsi" w:hAnsiTheme="majorHAnsi" w:cstheme="majorHAnsi"/>
          <w:b/>
        </w:rPr>
        <w:t>Mis</w:t>
      </w:r>
      <w:r w:rsidRPr="008E6F87">
        <w:rPr>
          <w:rFonts w:asciiTheme="majorHAnsi" w:hAnsiTheme="majorHAnsi" w:cstheme="majorHAnsi"/>
          <w:b/>
        </w:rPr>
        <w:t xml:space="preserve">ses (FN): </w:t>
      </w:r>
      <w:r w:rsidRPr="008E6F87">
        <w:rPr>
          <w:rFonts w:asciiTheme="majorHAnsi" w:hAnsiTheme="majorHAnsi" w:cstheme="majorHAnsi"/>
        </w:rPr>
        <w:t>The SAST failed to detect 17 Ground Truth vulnerabilities, particularly access control issues, IDOR vulnerabilities, CSRF weaknesses, XSS flaws, path traversal vulnerabilities, sensitive information disclosure, and insecure configuration problems</w:t>
      </w:r>
      <w:r w:rsidRPr="008E6F87">
        <w:rPr>
          <w:rFonts w:asciiTheme="majorHAnsi" w:hAnsiTheme="majorHAnsi" w:cstheme="majorHAnsi"/>
        </w:rPr>
        <w:t>.</w:t>
      </w:r>
    </w:p>
    <w:p w:rsidR="00093CDA" w:rsidRPr="008E6F87" w:rsidRDefault="008E6F87">
      <w:pPr>
        <w:pStyle w:val="a0"/>
        <w:rPr>
          <w:rFonts w:asciiTheme="majorHAnsi" w:hAnsiTheme="majorHAnsi" w:cstheme="majorHAnsi"/>
        </w:rPr>
      </w:pPr>
      <w:r w:rsidRPr="008E6F87">
        <w:rPr>
          <w:rFonts w:asciiTheme="majorHAnsi" w:hAnsiTheme="majorHAnsi" w:cstheme="majorHAnsi"/>
          <w:b/>
        </w:rPr>
        <w:t xml:space="preserve">Extra Findings (FP): </w:t>
      </w:r>
      <w:r w:rsidRPr="008E6F87">
        <w:rPr>
          <w:rFonts w:asciiTheme="majorHAnsi" w:hAnsiTheme="majorHAnsi" w:cstheme="majorHAnsi"/>
        </w:rPr>
        <w:t>The SAST reported two additional findings outside the defined Ground Truth scope: an insecure temporary directory (S-008) and a detected Mailgun API key (S-024), both of which may represent legitimate security concerns.</w:t>
      </w:r>
    </w:p>
    <w:p w:rsidR="00093CDA" w:rsidRPr="008E6F87" w:rsidRDefault="008E6F87">
      <w:pPr>
        <w:pStyle w:val="a0"/>
        <w:rPr>
          <w:rFonts w:asciiTheme="majorHAnsi" w:hAnsiTheme="majorHAnsi" w:cstheme="majorHAnsi"/>
        </w:rPr>
      </w:pPr>
      <w:r w:rsidRPr="008E6F87">
        <w:rPr>
          <w:rFonts w:asciiTheme="majorHAnsi" w:hAnsiTheme="majorHAnsi" w:cstheme="majorHAnsi"/>
          <w:b/>
        </w:rPr>
        <w:t>Detection Per</w:t>
      </w:r>
      <w:r w:rsidRPr="008E6F87">
        <w:rPr>
          <w:rFonts w:asciiTheme="majorHAnsi" w:hAnsiTheme="majorHAnsi" w:cstheme="majorHAnsi"/>
          <w:b/>
        </w:rPr>
        <w:t xml:space="preserve">formance: </w:t>
      </w:r>
      <w:r w:rsidRPr="008E6F87">
        <w:rPr>
          <w:rFonts w:asciiTheme="majorHAnsi" w:hAnsiTheme="majorHAnsi" w:cstheme="majorHAnsi"/>
        </w:rPr>
        <w:t>The SAST achieved a Precision of 86.67% but a Recall of 43.33%, indicating that while most findings were accurate, coverage of the complete vulnerability set remains limited.</w:t>
      </w:r>
    </w:p>
    <w:p w:rsidR="00093CDA" w:rsidRPr="008E6F87" w:rsidRDefault="008E6F87">
      <w:pPr>
        <w:pStyle w:val="21"/>
        <w:rPr>
          <w:rFonts w:cstheme="majorHAnsi"/>
        </w:rPr>
      </w:pPr>
      <w:r w:rsidRPr="008E6F87">
        <w:rPr>
          <w:rFonts w:cstheme="majorHAnsi"/>
        </w:rPr>
        <w:t>Common Scope - Key Observations</w:t>
      </w:r>
    </w:p>
    <w:p w:rsidR="00093CDA" w:rsidRPr="008E6F87" w:rsidRDefault="008E6F87">
      <w:pPr>
        <w:pStyle w:val="a0"/>
        <w:rPr>
          <w:rFonts w:asciiTheme="majorHAnsi" w:hAnsiTheme="majorHAnsi" w:cstheme="majorHAnsi"/>
        </w:rPr>
      </w:pPr>
      <w:r w:rsidRPr="008E6F87">
        <w:rPr>
          <w:rFonts w:asciiTheme="majorHAnsi" w:hAnsiTheme="majorHAnsi" w:cstheme="majorHAnsi"/>
          <w:b/>
        </w:rPr>
        <w:t xml:space="preserve">Misses (FN): </w:t>
      </w:r>
      <w:r w:rsidRPr="008E6F87">
        <w:rPr>
          <w:rFonts w:asciiTheme="majorHAnsi" w:hAnsiTheme="majorHAnsi" w:cstheme="majorHAnsi"/>
        </w:rPr>
        <w:t xml:space="preserve">The SAST failed to detect </w:t>
      </w:r>
      <w:r w:rsidRPr="008E6F87">
        <w:rPr>
          <w:rFonts w:asciiTheme="majorHAnsi" w:hAnsiTheme="majorHAnsi" w:cstheme="majorHAnsi"/>
        </w:rPr>
        <w:t>seven Ground Truth vulnerabilities: Sensitive Data Exposure (GT-03), Reflected XSS (GT-08), Path Traversal in Product Image handling (GT-09), Stored XSS in Comments (GT-11), SSTI Injection (GT-12), Path Traversal in the Log Reader (GT-21), and Sensitive In</w:t>
      </w:r>
      <w:r w:rsidRPr="008E6F87">
        <w:rPr>
          <w:rFonts w:asciiTheme="majorHAnsi" w:hAnsiTheme="majorHAnsi" w:cstheme="majorHAnsi"/>
        </w:rPr>
        <w:t>formation Disclosure (GT-23).</w:t>
      </w:r>
    </w:p>
    <w:p w:rsidR="00093CDA" w:rsidRPr="008E6F87" w:rsidRDefault="008E6F87">
      <w:pPr>
        <w:pStyle w:val="a0"/>
        <w:rPr>
          <w:rFonts w:asciiTheme="majorHAnsi" w:hAnsiTheme="majorHAnsi" w:cstheme="majorHAnsi"/>
        </w:rPr>
      </w:pPr>
      <w:r w:rsidRPr="008E6F87">
        <w:rPr>
          <w:rFonts w:asciiTheme="majorHAnsi" w:hAnsiTheme="majorHAnsi" w:cstheme="majorHAnsi"/>
          <w:b/>
        </w:rPr>
        <w:t xml:space="preserve">Successful Detections (TP): </w:t>
      </w:r>
      <w:r w:rsidRPr="008E6F87">
        <w:rPr>
          <w:rFonts w:asciiTheme="majorHAnsi" w:hAnsiTheme="majorHAnsi" w:cstheme="majorHAnsi"/>
        </w:rPr>
        <w:t>The SAST successfully identified 9 of the 16 Ground Truth vulnerabilities, including multiple instances of SQL Injection, Command Injection, XXE Injection, and Code Injection across different applic</w:t>
      </w:r>
      <w:r w:rsidRPr="008E6F87">
        <w:rPr>
          <w:rFonts w:asciiTheme="majorHAnsi" w:hAnsiTheme="majorHAnsi" w:cstheme="majorHAnsi"/>
        </w:rPr>
        <w:t>ation components.</w:t>
      </w:r>
    </w:p>
    <w:p w:rsidR="00093CDA" w:rsidRPr="008E6F87" w:rsidRDefault="008E6F87">
      <w:pPr>
        <w:pStyle w:val="a0"/>
        <w:rPr>
          <w:rFonts w:asciiTheme="majorHAnsi" w:hAnsiTheme="majorHAnsi" w:cstheme="majorHAnsi"/>
        </w:rPr>
      </w:pPr>
      <w:r w:rsidRPr="008E6F87">
        <w:rPr>
          <w:rFonts w:asciiTheme="majorHAnsi" w:hAnsiTheme="majorHAnsi" w:cstheme="majorHAnsi"/>
          <w:b/>
        </w:rPr>
        <w:t xml:space="preserve">Extra Findings (FP): </w:t>
      </w:r>
      <w:r w:rsidRPr="008E6F87">
        <w:rPr>
          <w:rFonts w:asciiTheme="majorHAnsi" w:hAnsiTheme="majorHAnsi" w:cstheme="majorHAnsi"/>
        </w:rPr>
        <w:t>The SAST reported two findings that are not included in the common-scope Ground Truth. Although classified as False Positives for metric calculations, these findings may still represent legitimate security concerns an</w:t>
      </w:r>
      <w:r w:rsidRPr="008E6F87">
        <w:rPr>
          <w:rFonts w:asciiTheme="majorHAnsi" w:hAnsiTheme="majorHAnsi" w:cstheme="majorHAnsi"/>
        </w:rPr>
        <w:t>d should be reviewed.</w:t>
      </w:r>
    </w:p>
    <w:p w:rsidR="00093CDA" w:rsidRPr="008E6F87" w:rsidRDefault="008E6F87">
      <w:pPr>
        <w:pStyle w:val="a0"/>
        <w:rPr>
          <w:rFonts w:asciiTheme="majorHAnsi" w:hAnsiTheme="majorHAnsi" w:cstheme="majorHAnsi"/>
        </w:rPr>
      </w:pPr>
      <w:r w:rsidRPr="008E6F87">
        <w:rPr>
          <w:rFonts w:asciiTheme="majorHAnsi" w:hAnsiTheme="majorHAnsi" w:cstheme="majorHAnsi"/>
          <w:b/>
        </w:rPr>
        <w:lastRenderedPageBreak/>
        <w:t xml:space="preserve">Detection Performance: </w:t>
      </w:r>
      <w:r w:rsidRPr="008E6F87">
        <w:rPr>
          <w:rFonts w:asciiTheme="majorHAnsi" w:hAnsiTheme="majorHAnsi" w:cstheme="majorHAnsi"/>
        </w:rPr>
        <w:t>The SAST achieved a Precision of 81.81% and a Recall of 56.25%, indicating good alert accuracy but moderate vulnerabi</w:t>
      </w:r>
      <w:bookmarkStart w:id="0" w:name="_GoBack"/>
      <w:bookmarkEnd w:id="0"/>
      <w:r w:rsidRPr="008E6F87">
        <w:rPr>
          <w:rFonts w:asciiTheme="majorHAnsi" w:hAnsiTheme="majorHAnsi" w:cstheme="majorHAnsi"/>
        </w:rPr>
        <w:t>lity coverage.</w:t>
      </w:r>
    </w:p>
    <w:sectPr w:rsidR="00093CDA" w:rsidRPr="008E6F87" w:rsidSect="008E6F87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93CDA"/>
    <w:rsid w:val="0015074B"/>
    <w:rsid w:val="0029639D"/>
    <w:rsid w:val="00326F90"/>
    <w:rsid w:val="008E6F8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D81E016-E87A-407A-BDA1-81242C5B59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331</Words>
  <Characters>1891</Characters>
  <Application>Microsoft Office Word</Application>
  <DocSecurity>0</DocSecurity>
  <Lines>15</Lines>
  <Paragraphs>4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2218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acer</cp:lastModifiedBy>
  <cp:revision>2</cp:revision>
  <dcterms:created xsi:type="dcterms:W3CDTF">2026-07-27T21:57:00Z</dcterms:created>
  <dcterms:modified xsi:type="dcterms:W3CDTF">2026-07-27T21:57:00Z</dcterms:modified>
</cp:coreProperties>
</file>