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jc w:val="center"/>
      </w:pPr>
      <w:r>
        <w:t>(Example Client) ISO 42001 Project Brief</w:t>
      </w:r>
    </w:p>
    <w:p>
      <w:pPr>
        <w:spacing w:after="200"/>
      </w:pPr>
      <w:r>
        <w:rPr>
          <w:b/>
          <w:color w:val="183B4E"/>
          <w:sz w:val="22"/>
        </w:rPr>
        <w:t>Analyst Orientation | Certification readiness and gap closure | 2026-2027</w:t>
      </w:r>
    </w:p>
    <w:p/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TLDR: Help (Example Client) turn an existing set of AI practices and technical controls into a complete, auditable AI management system (AIMS).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1. Client Overview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 160+ person digital-services company founded in 2017. It researches, designs, builds, and modernizes digital products and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Its work spans government, nonprofit, and selected commercial partners, with a strong focus on public-interest technology, healthcare, and Veterans services.</w:t>
      </w:r>
    </w:p>
    <w:p>
      <w:pPr>
        <w:numPr>
          <w:ilvl w:val="0"/>
          <w:numId w:val="1"/>
        </w:numPr>
        <w:spacing w:after="0"/>
        <w:ind w:left="259"/>
      </w:pPr>
      <w:r>
        <w:rPr/>
        <w:t>Publicly identified government customers and partners include the Department of Veterans Affairs, CMS/HHS, IRS, OPM, and other federal programs.</w:t>
      </w:r>
    </w:p>
    <w:p>
      <w:pPr>
        <w:numPr>
          <w:ilvl w:val="0"/>
          <w:numId w:val="1"/>
        </w:numPr>
        <w:spacing w:after="40"/>
        <w:ind w:left="259"/>
      </w:pPr>
      <w:r>
        <w:rPr/>
        <w:t>The company combines product management, research, design, engineering, strategy, and delivery services.</w:t>
      </w:r>
    </w:p>
    <w:p>
      <w:pPr>
        <w:pStyle w:val="Heading1"/>
        <w:keepNext/>
      </w:pPr>
      <w:r>
        <w:t>2. AI Usage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is actively adopting and designing AI technology and has published Responsible AI principles centered on stewardship, intentionality, human agency, impact, accountability, privacy, and security.</w:t>
      </w:r>
    </w:p>
    <w:p>
      <w:pPr>
        <w:numPr>
          <w:ilvl w:val="0"/>
          <w:numId w:val="1"/>
        </w:numPr>
        <w:spacing w:after="0"/>
        <w:ind w:left="259"/>
      </w:pPr>
      <w:r>
        <w:rPr/>
        <w:t>The certification scope is focused on the Innovation and Platform teams' building and provision of AI products - not the entire company's general end-user AI use.</w:t>
      </w:r>
    </w:p>
    <w:p>
      <w:pPr>
        <w:numPr>
          <w:ilvl w:val="0"/>
          <w:numId w:val="1"/>
        </w:numPr>
        <w:spacing w:after="0"/>
        <w:ind w:left="259"/>
      </w:pPr>
      <w:r>
        <w:rPr/>
        <w:t>Their documents describe 4 AI systems, 9 SDLC AI tools, 10 infrastructure services, a model registry, and a 19-item gap register.</w:t>
      </w:r>
    </w:p>
    <w:p>
      <w:pPr>
        <w:numPr>
          <w:ilvl w:val="0"/>
          <w:numId w:val="1"/>
        </w:numPr>
        <w:spacing w:after="40"/>
        <w:ind w:left="259"/>
      </w:pPr>
      <w:r>
        <w:rPr/>
        <w:t>Engineering controls already described include gated evaluation metrics, human approval gates, provenance hashing, fail-closed defaults, production telemetry, PR/CI review, prompt/version controls, and immutable image digests.</w:t>
      </w:r>
    </w:p>
    <w:p>
      <w:pPr>
        <w:pStyle w:val="Heading1"/>
        <w:keepNext/>
      </w:pPr>
      <w:r>
        <w:t>3. What is already in place</w:t>
      </w:r>
    </w:p>
    <w:p/>
    <w:tbl>
      <w:tblPr>
        <w:tblStyle w:val="a0"/>
        <w:tblW w:w="10368" w:type="dxa"/>
        <w:jc w:val="center"/>
        <w:tblLayout w:type="fixed"/>
      </w:tblPr>
      <w:tblGrid>
        <w:gridCol w:w="5184"/>
        <w:gridCol w:w="5184"/>
      </w:tblGrid>
      <w:tr>
        <w:trPr>
          <w:cantSplit/>
          <w:tblHeader/>
          <w:jc w:val="center"/>
        </w:trPr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FOUNDATION</w:t>
            </w:r>
          </w:p>
        </w:tc>
        <w:tc>
          <w:tcPr>
            <w:tcW w:type="dxa" w:w="5184"/>
            <w:tcW w:w="5184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EXAMPLES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Scope &amp; inventory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Draft AIMS scope; AI systems/tools/infrastructure inventory; model registry.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Risk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20 AI-category risks in Drata with owners, treatments, residual scores, and open actions.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Engineering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Lifecycle testing, monitoring, change controls, human approval, agent authority limits.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Existing governance</w:t>
            </w:r>
          </w:p>
        </w:tc>
        <w:tc>
          <w:tcPr>
            <w:tcW w:type="dxa" w:w="5184"/>
            <w:tcW w:w="5184" w:type="dxa"/>
            <w:tcMar>
              <w:top w:w="75" w:type="dxa"/>
              <w:bottom w:w="75" w:type="dxa"/>
            </w:tcMar>
          </w:tcPr>
          <w:p>
            <w:r>
              <w:rPr/>
              <w:t>SOC 2 policy suite, enterprise risk process, incident management, vendor program, quarterly leadership review.</w:t>
            </w:r>
          </w:p>
        </w:tc>
      </w:tr>
      <w:tr>
        <w:trPr>
          <w:cantSplit/>
          <w:jc w:val="center"/>
        </w:trPr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Corporate AI baseline</w:t>
            </w:r>
          </w:p>
        </w:tc>
        <w:tc>
          <w:tcPr>
            <w:tcW w:type="dxa" w:w="5184"/>
            <w:tcW w:w="5184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Responsible AI Principles and company-wide AI Use Policy for end-user use.</w:t>
            </w:r>
          </w:p>
        </w:tc>
      </w:tr>
    </w:tbl>
    <w:p/>
    <w:p>
      <w:pPr>
        <w:pStyle w:val="Heading1"/>
        <w:keepNext/>
      </w:pPr>
      <w:r>
        <w:t>4. Gap Analysis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Treat client readiness statements as hypotheses until evidence shows the control is documented, implemented, evidenced, and operating.</w:t>
            </w:r>
          </w:p>
        </w:tc>
      </w:tr>
    </w:tbl>
    <w:p>
      <w:pPr>
        <w:spacing w:after="20"/>
      </w:pPr>
    </w:p>
    <w:tbl>
      <w:tblPr>
        <w:tblStyle w:val="a0"/>
        <w:tblW w:w="10380" w:type="dxa"/>
        <w:jc w:val="center"/>
        <w:tblLayout w:type="fixed"/>
      </w:tblPr>
      <w:tblGrid>
        <w:gridCol w:w="3305"/>
        <w:gridCol w:w="7075"/>
      </w:tblGrid>
      <w:tr>
        <w:trPr>
          <w:cantSplit/>
          <w:tblHeader/>
          <w:jc w:val="center"/>
        </w:trPr>
        <w:tc>
          <w:tcPr>
            <w:tcW w:type="dxa" w:w="3305"/>
            <w:tcW w:w="330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7075"/>
            <w:tcW w:w="7075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WHAT TO VERIFY / CLOSE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AIMS governance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No producer-scope AIMS AI policy yet; scope draft still needs leadership approval.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Impact assessment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AI impact assessments have been completed; methodology/template must be established and used.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Training &amp; competence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training is planned but not yet operating.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Data governance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Existing classification taxonomy does not yet cover AI artifacts such as corpora, datasets, checkpoints, and delivered models.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AI suppliers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AI-specific suppliers have not yet been run through the existing vendor program; supplier contract/DPA requirements are incomplete.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Control codification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Some human-review and engineering practices operate in code/process but are not fully reflected in policy text.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Regulatory mapping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Formal per-market AI regulatory/contractual mapping has not yet been performed.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Internal audit</w:t>
            </w:r>
          </w:p>
        </w:tc>
        <w:tc>
          <w:tcPr>
            <w:tcW w:type="dxa" w:w="7075"/>
            <w:tcW w:w="7075" w:type="dxa"/>
            <w:tcMar>
              <w:top w:w="75" w:type="dxa"/>
              <w:bottom w:w="75" w:type="dxa"/>
            </w:tcMar>
          </w:tcPr>
          <w:p>
            <w:r>
              <w:rPr/>
              <w:t>No standalone AI/AIMS internal audit program or completed AI-scoped internal audit exists.</w:t>
            </w:r>
          </w:p>
        </w:tc>
      </w:tr>
      <w:tr>
        <w:trPr>
          <w:cantSplit/>
          <w:jc w:val="center"/>
        </w:trPr>
        <w:tc>
          <w:tcPr>
            <w:tcW w:type="dxa" w:w="3305"/>
            <w:tcW w:w="330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Management review</w:t>
            </w:r>
          </w:p>
        </w:tc>
        <w:tc>
          <w:tcPr>
            <w:tcW w:type="dxa" w:w="7075"/>
            <w:tcW w:w="7075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AI is discussed in quarterly leadership review, but a dedicated standing AI/AIMS review structure needs to be formalized.</w:t>
            </w:r>
          </w:p>
        </w:tc>
      </w:tr>
    </w:tbl>
    <w:p/>
    <w:p>
      <w:pPr>
        <w:pStyle w:val="Heading2"/>
        <w:keepNext/>
      </w:pPr>
      <w:r>
        <w:t>Analyst evidence test</w:t>
      </w:r>
    </w:p>
    <w:p>
      <w:pPr>
        <w:numPr>
          <w:ilvl w:val="0"/>
          <w:numId w:val="1"/>
        </w:numPr>
        <w:spacing w:after="0"/>
        <w:ind w:left="259"/>
      </w:pPr>
      <w:r>
        <w:rPr/>
        <w:t>Documented — Is the requirement formally defined?</w:t>
      </w:r>
    </w:p>
    <w:p>
      <w:pPr>
        <w:numPr>
          <w:ilvl w:val="0"/>
          <w:numId w:val="1"/>
        </w:numPr>
        <w:spacing w:after="0"/>
        <w:ind w:left="259"/>
      </w:pPr>
      <w:r>
        <w:rPr/>
        <w:t>Implemented — Is the process actually in use?</w:t>
      </w:r>
    </w:p>
    <w:p>
      <w:pPr>
        <w:numPr>
          <w:ilvl w:val="0"/>
          <w:numId w:val="1"/>
        </w:numPr>
        <w:spacing w:after="0"/>
        <w:ind w:left="259"/>
      </w:pPr>
      <w:r>
        <w:rPr/>
        <w:t>Evidence exists — Can (Example Client) produce records showing execution?</w:t>
      </w:r>
    </w:p>
    <w:p>
      <w:pPr>
        <w:numPr>
          <w:ilvl w:val="0"/>
          <w:numId w:val="1"/>
        </w:numPr>
        <w:spacing w:after="40"/>
        <w:ind w:left="259"/>
      </w:pPr>
      <w:r>
        <w:rPr/>
        <w:t>Tested — Does sampling/interview evidence support consistent operation?</w:t>
      </w:r>
    </w:p>
    <w:p>
      <w:pPr>
        <w:pStyle w:val="Heading2"/>
        <w:keepNext/>
      </w:pPr>
      <w:r>
        <w:t>Readiness snapshot (as of 2026-10-18)</w:t>
      </w:r>
    </w:p>
    <w:p>
      <w:pPr>
        <w:keepNext/>
      </w:pPr>
      <w:r>
        <w:rPr/>
        <w:t>0 of 65 applicable requirements pass all four tests; 12 gaps open; 5.8% of evidence-test legs verified. Generated from the engagement repository - do not edit by hand.</w:t>
      </w:r>
    </w:p>
    <w:tbl>
      <w:tblPr>
        <w:tblStyle w:val="a0"/>
        <w:tblW w:w="10368" w:type="dxa"/>
        <w:jc w:val="center"/>
        <w:tblLayout w:type="fixed"/>
      </w:tblPr>
      <w:tblGrid>
        <w:gridCol w:w="3168"/>
        <w:gridCol w:w="1800"/>
        <w:gridCol w:w="1800"/>
        <w:gridCol w:w="1800"/>
        <w:gridCol w:w="1800"/>
      </w:tblGrid>
      <w:tr>
        <w:trPr>
          <w:cantSplit/>
          <w:tblHeader/>
          <w:jc w:val="center"/>
        </w:trPr>
        <w:tc>
          <w:tcPr>
            <w:tcW w:type="dxa" w:w="3168"/>
            <w:tcW w:w="3168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TEST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VERIFIED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PARTIAL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CLAIMED</w:t>
            </w:r>
          </w:p>
        </w:tc>
        <w:tc>
          <w:tcPr>
            <w:tcW w:type="dxa" w:w="1800"/>
            <w:tcW w:w="1800" w:type="dxa"/>
            <w:shd w:val="clear" w:color="auto" w:fill="183B4E"/>
          </w:tcPr>
          <w:p>
            <w:pPr>
              <w:keepNext/>
            </w:pPr>
            <w:r>
              <w:rPr>
                <w:b/>
                <w:color w:val="FFFFFF"/>
              </w:rPr>
              <w:t>NOT STARTED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Documented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2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13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9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41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Implemented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8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39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Evidence exists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3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shd w:val="clear" w:color="auto" w:fill="F3F3F3"/>
            <w:tcMar>
              <w:top w:w="75" w:type="dxa"/>
              <w:bottom w:w="75" w:type="dxa"/>
            </w:tcMar>
          </w:tcPr>
          <w:p>
            <w:r>
              <w:rPr/>
              <w:t>57</w:t>
            </w:r>
          </w:p>
        </w:tc>
      </w:tr>
      <w:tr>
        <w:trPr>
          <w:cantSplit/>
          <w:jc w:val="center"/>
        </w:trPr>
        <w:tc>
          <w:tcPr>
            <w:tcW w:type="dxa" w:w="3168"/>
            <w:tcW w:w="3168" w:type="dxa"/>
            <w:tcMar>
              <w:top w:w="75" w:type="dxa"/>
              <w:bottom w:w="75" w:type="dxa"/>
            </w:tcMar>
          </w:tcPr>
          <w:p>
            <w:r>
              <w:rPr>
                <w:b/>
              </w:rPr>
              <w:t>Tested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1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0</w:t>
            </w:r>
          </w:p>
        </w:tc>
        <w:tc>
          <w:tcPr>
            <w:tcW w:type="dxa" w:w="1800"/>
            <w:tcW w:w="1800" w:type="dxa"/>
            <w:tcMar>
              <w:top w:w="75" w:type="dxa"/>
              <w:bottom w:w="75" w:type="dxa"/>
            </w:tcMar>
          </w:tcPr>
          <w:p>
            <w:r>
              <w:rPr/>
              <w:t>64</w:t>
            </w:r>
          </w:p>
        </w:tc>
      </w:tr>
    </w:tbl>
    <w:p/>
    <w:p>
      <w:pPr>
        <w:pStyle w:val="Heading1"/>
        <w:keepNext/>
      </w:pPr>
      <w:r>
        <w:t>5. Timeline</w:t>
      </w:r>
    </w:p>
    <w:tbl>
      <w:tblPr>
        <w:tblStyle w:val="a0"/>
        <w:tblW w:w="10296" w:type="dxa"/>
        <w:jc w:val="center"/>
        <w:tblLayout w:type="fixed"/>
      </w:tblPr>
      <w:tblGrid>
        <w:gridCol w:w="1656"/>
        <w:gridCol w:w="2232"/>
        <w:gridCol w:w="6408"/>
      </w:tblGrid>
      <w:tr>
        <w:trPr>
          <w:cantSplit/>
          <w:tblHeader/>
          <w:jc w:val="center"/>
        </w:trPr>
        <w:tc>
          <w:tcPr>
            <w:tcW w:type="dxa" w:w="1656"/>
            <w:tcW w:w="1656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MONTH</w:t>
            </w:r>
          </w:p>
        </w:tc>
        <w:tc>
          <w:tcPr>
            <w:tcW w:type="dxa" w:w="2232"/>
            <w:tcW w:w="2232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OBJECTIVE</w:t>
            </w:r>
          </w:p>
        </w:tc>
        <w:tc>
          <w:tcPr>
            <w:tcW w:type="dxa" w:w="6408"/>
            <w:tcW w:w="6408" w:type="dxa"/>
            <w:shd w:val="clear" w:color="auto" w:fill="183B4E"/>
            <w:tcMar>
              <w:top w:w="90" w:type="dxa"/>
              <w:bottom w:w="90" w:type="dxa"/>
            </w:tcMar>
          </w:tcPr>
          <w:p>
            <w:pPr>
              <w:keepNext/>
            </w:pPr>
            <w:r>
              <w:rPr>
                <w:b/>
                <w:color w:val="FFFFFF"/>
              </w:rPr>
              <w:t>DELIVERABLES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OCT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Validate &amp; establish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Kickoff and owner alignment</w:t>
            </w:r>
          </w:p>
          <w:p>
            <w:pPr>
              <w:spacing w:after="20"/>
              <w:ind w:left="115"/>
            </w:pPr>
            <w:r>
              <w:rPr/>
              <w:t>• Validate gap-analysis claims and evidence</w:t>
            </w:r>
          </w:p>
          <w:p>
            <w:pPr>
              <w:spacing w:after="20"/>
              <w:ind w:left="115"/>
            </w:pPr>
            <w:r>
              <w:rPr/>
              <w:t>• Finalize AIMS/certification scope</w:t>
            </w:r>
          </w:p>
          <w:p>
            <w:pPr>
              <w:spacing w:after="20"/>
              <w:ind w:left="115"/>
            </w:pPr>
            <w:r>
              <w:rPr/>
              <w:t>• Build clause/control matrix and remediation tracker</w:t>
            </w:r>
          </w:p>
          <w:p>
            <w:pPr>
              <w:spacing w:after="20"/>
              <w:ind w:left="115"/>
            </w:pPr>
            <w:r>
              <w:rPr/>
              <w:t>• Confirm certification-body milestones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NOV 2026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Build governance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Approve AIMS/AI policy</w:t>
            </w:r>
          </w:p>
          <w:p>
            <w:pPr>
              <w:spacing w:after="20"/>
              <w:ind w:left="115"/>
            </w:pPr>
            <w:r>
              <w:rPr/>
              <w:t>• Formalize roles, objectives, risk and impact methodology</w:t>
            </w:r>
          </w:p>
          <w:p>
            <w:pPr>
              <w:spacing w:after="20"/>
              <w:ind w:left="115"/>
            </w:pPr>
            <w:r>
              <w:rPr/>
              <w:t>• Define AI data classification and supplier requirements</w:t>
            </w:r>
          </w:p>
          <w:p>
            <w:pPr>
              <w:spacing w:after="20"/>
              <w:ind w:left="115"/>
            </w:pPr>
            <w:r>
              <w:rPr/>
              <w:t>• Codify lifecycle and human-oversight requirements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DEC 2026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Implement &amp; evidence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Complete initial AI impact assessments</w:t>
            </w:r>
          </w:p>
          <w:p>
            <w:pPr>
              <w:spacing w:after="20"/>
              <w:ind w:left="115"/>
            </w:pPr>
            <w:r>
              <w:rPr/>
              <w:t>• Run AI supplier reviews and address contract gaps</w:t>
            </w:r>
          </w:p>
          <w:p>
            <w:pPr>
              <w:spacing w:after="20"/>
              <w:ind w:left="115"/>
            </w:pPr>
            <w:r>
              <w:rPr/>
              <w:t>• Launch AI-specific training</w:t>
            </w:r>
          </w:p>
          <w:p>
            <w:pPr>
              <w:spacing w:after="20"/>
              <w:ind w:left="115"/>
            </w:pPr>
            <w:r>
              <w:rPr/>
              <w:t>• Operationalize governance cadence and collect evidence</w:t>
            </w:r>
          </w:p>
          <w:p>
            <w:pPr>
              <w:spacing w:after="20"/>
              <w:ind w:left="115"/>
            </w:pPr>
            <w:r>
              <w:rPr/>
              <w:t>• Close implementation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JAN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Test the AIMS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Perform ISO 42001 internal audit</w:t>
            </w:r>
          </w:p>
          <w:p>
            <w:pPr>
              <w:spacing w:after="20"/>
              <w:ind w:left="115"/>
            </w:pPr>
            <w:r>
              <w:rPr/>
              <w:t>• Verify inventory, risk register and impact assessments</w:t>
            </w:r>
          </w:p>
          <w:p>
            <w:pPr>
              <w:spacing w:after="20"/>
              <w:ind w:left="115"/>
            </w:pPr>
            <w:r>
              <w:rPr/>
              <w:t>• Complete corrective actions</w:t>
            </w:r>
          </w:p>
          <w:p>
            <w:pPr>
              <w:spacing w:after="20"/>
              <w:ind w:left="115"/>
            </w:pPr>
            <w:r>
              <w:rPr/>
              <w:t>• Conduct formal management review</w:t>
            </w:r>
          </w:p>
          <w:p>
            <w:pPr>
              <w:spacing w:after="20"/>
              <w:ind w:left="115"/>
            </w:pPr>
            <w:r>
              <w:rPr/>
              <w:t>• Prepare certification evidence package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FEB 2027</w:t>
            </w:r>
          </w:p>
        </w:tc>
        <w:tc>
          <w:tcPr>
            <w:tcW w:type="dxa" w:w="2232"/>
            <w:tcW w:w="2232" w:type="dxa"/>
            <w:shd w:val="clear" w:color="auto" w:fill="F3F3F3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1</w:t>
            </w:r>
          </w:p>
        </w:tc>
        <w:tc>
          <w:tcPr>
            <w:tcW w:type="dxa" w:w="6408"/>
            <w:tcW w:w="6408" w:type="dxa"/>
            <w:shd w:val="clear" w:color="auto" w:fill="F3F3F3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Run readiness/mock audit</w:t>
            </w:r>
          </w:p>
          <w:p>
            <w:pPr>
              <w:spacing w:after="20"/>
              <w:ind w:left="115"/>
            </w:pPr>
            <w:r>
              <w:rPr/>
              <w:t>• Close internal-audit findings</w:t>
            </w:r>
          </w:p>
          <w:p>
            <w:pPr>
              <w:spacing w:after="20"/>
              <w:ind w:left="115"/>
            </w:pPr>
            <w:r>
              <w:rPr/>
              <w:t>• Evidence cleanup and owner preparation</w:t>
            </w:r>
          </w:p>
          <w:p>
            <w:pPr>
              <w:spacing w:after="20"/>
              <w:ind w:left="115"/>
            </w:pPr>
            <w:r>
              <w:rPr/>
              <w:t>• Support Stage 1 audit</w:t>
            </w:r>
          </w:p>
          <w:p>
            <w:pPr>
              <w:spacing w:after="20"/>
              <w:ind w:left="115"/>
            </w:pPr>
            <w:r>
              <w:rPr/>
              <w:t>• Triage Stage 1 findings</w:t>
            </w:r>
          </w:p>
        </w:tc>
      </w:tr>
      <w:tr>
        <w:trPr>
          <w:cantSplit/>
          <w:jc w:val="center"/>
        </w:trPr>
        <w:tc>
          <w:tcPr>
            <w:tcW w:type="dxa" w:w="1656"/>
            <w:tcW w:w="1656" w:type="dxa"/>
            <w:tcMar>
              <w:top w:w="80" w:type="dxa"/>
              <w:bottom w:w="80" w:type="dxa"/>
            </w:tcMar>
          </w:tcPr>
          <w:p>
            <w:r>
              <w:rPr>
                <w:b/>
                <w:color w:val="183B4E"/>
              </w:rPr>
              <w:t>MAR–APR 2027</w:t>
            </w:r>
          </w:p>
        </w:tc>
        <w:tc>
          <w:tcPr>
            <w:tcW w:type="dxa" w:w="2232"/>
            <w:tcW w:w="2232" w:type="dxa"/>
            <w:tcMar>
              <w:top w:w="80" w:type="dxa"/>
              <w:bottom w:w="80" w:type="dxa"/>
            </w:tcMar>
          </w:tcPr>
          <w:p>
            <w:r>
              <w:rPr>
                <w:b/>
              </w:rPr>
              <w:t>Stage 2 &amp; closure</w:t>
            </w:r>
          </w:p>
        </w:tc>
        <w:tc>
          <w:tcPr>
            <w:tcW w:type="dxa" w:w="6408"/>
            <w:tcW w:w="6408" w:type="dxa"/>
            <w:tcMar>
              <w:top w:w="80" w:type="dxa"/>
              <w:bottom w:w="80" w:type="dxa"/>
            </w:tcMar>
          </w:tcPr>
          <w:p>
            <w:pPr>
              <w:spacing w:after="20"/>
              <w:ind w:left="115"/>
            </w:pPr>
            <w:r>
              <w:rPr/>
              <w:t>• Close Stage 1 findings</w:t>
            </w:r>
          </w:p>
          <w:p>
            <w:pPr>
              <w:spacing w:after="20"/>
              <w:ind w:left="115"/>
            </w:pPr>
            <w:r>
              <w:rPr/>
              <w:t>• Prepare process owners for interviews</w:t>
            </w:r>
          </w:p>
          <w:p>
            <w:pPr>
              <w:spacing w:after="20"/>
              <w:ind w:left="115"/>
            </w:pPr>
            <w:r>
              <w:rPr/>
              <w:t>• Support Stage 2 audit</w:t>
            </w:r>
          </w:p>
          <w:p>
            <w:pPr>
              <w:spacing w:after="20"/>
              <w:ind w:left="115"/>
            </w:pPr>
            <w:r>
              <w:rPr/>
              <w:t>• Respond to findings and corrective actions</w:t>
            </w:r>
          </w:p>
          <w:p>
            <w:pPr>
              <w:spacing w:after="20"/>
              <w:ind w:left="115"/>
            </w:pPr>
            <w:r>
              <w:rPr/>
              <w:t>• Certification-body closure / issuance contingency</w:t>
            </w:r>
          </w:p>
        </w:tc>
      </w:tr>
    </w:tbl>
    <w:p/>
    <w:p>
      <w:pPr>
        <w:pStyle w:val="Heading1"/>
        <w:keepNext/>
      </w:pPr>
      <w:r>
        <w:t>6. Needs</w:t>
      </w:r>
    </w:p>
    <w:p>
      <w:pPr>
        <w:numPr>
          <w:ilvl w:val="0"/>
          <w:numId w:val="1"/>
        </w:numPr>
        <w:spacing w:after="0"/>
        <w:ind w:left="259"/>
      </w:pPr>
      <w:r>
        <w:rPr/>
        <w:t>Maintain the clause/control mapping, evidence index, remediation tracker, owner, due date, and status.</w:t>
      </w:r>
    </w:p>
    <w:p>
      <w:pPr>
        <w:numPr>
          <w:ilvl w:val="0"/>
          <w:numId w:val="1"/>
        </w:numPr>
        <w:spacing w:after="0"/>
        <w:ind w:left="259"/>
      </w:pPr>
      <w:r>
        <w:rPr/>
        <w:t>Review submitted evidence against the four-part evidence test; flag unsupported or ambiguous readiness claims.</w:t>
      </w:r>
    </w:p>
    <w:p>
      <w:pPr>
        <w:numPr>
          <w:ilvl w:val="0"/>
          <w:numId w:val="1"/>
        </w:numPr>
        <w:spacing w:after="0"/>
        <w:ind w:left="259"/>
      </w:pPr>
      <w:r>
        <w:rPr/>
        <w:t>Draft and revise policies, procedures, templates, and workpapers for lead review - do not invent operating practices.</w:t>
      </w:r>
    </w:p>
    <w:p>
      <w:pPr>
        <w:numPr>
          <w:ilvl w:val="0"/>
          <w:numId w:val="1"/>
        </w:numPr>
        <w:spacing w:after="0"/>
        <w:ind w:left="259"/>
      </w:pPr>
      <w:r>
        <w:rPr/>
        <w:t>Support AI impact assessments and supplier reviews by gathering evidence, pre-populating factual sections, and tracking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Prepare test samples, record objective evidence, and document exceptions for the internal audit.</w:t>
      </w:r>
    </w:p>
    <w:p>
      <w:pPr>
        <w:numPr>
          <w:ilvl w:val="0"/>
          <w:numId w:val="1"/>
        </w:numPr>
        <w:spacing w:after="40"/>
        <w:ind w:left="259"/>
      </w:pPr>
      <w:r>
        <w:rPr/>
        <w:t>Organize Stage 1/Stage 2 evidence so an auditor can trace each requirement to a current, approved artifact or record.</w:t>
      </w:r>
    </w:p>
    <w:p>
      <w:pPr>
        <w:pStyle w:val="Heading2"/>
        <w:keepNext/>
      </w:pPr>
      <w:r>
        <w:t>Working rule</w:t>
      </w:r>
    </w:p>
    <w:tbl>
      <w:tblPr>
        <w:tblStyle w:val="a"/>
        <w:tblW w:w="10080" w:type="dxa"/>
        <w:jc w:val="center"/>
        <w:tblLayout w:type="fixed"/>
      </w:tblPr>
      <w:tblGrid>
        <w:gridCol w:w="10080"/>
      </w:tblGrid>
      <w:tr>
        <w:trPr>
          <w:cantSplit/>
          <w:jc w:val="center"/>
        </w:trPr>
        <w:tc>
          <w:tcPr>
            <w:tcW w:type="dxa" w:w="10080"/>
            <w:tcW w:w="10080" w:type="dxa"/>
            <w:shd w:val="clear" w:color="auto" w:fill="EAF2F3"/>
            <w:tcMar>
              <w:top w:w="120" w:type="dxa"/>
              <w:bottom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83B4E"/>
              </w:rPr>
              <w:t>If a control is described but you cannot trace it to an owner, current artifact, and operating evidence, treat it as unresolved and escalate it to the engagement lead.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7. ISO Requirements</w:t>
      </w:r>
    </w:p>
    <w:p>
      <w:pPr>
        <w:numPr>
          <w:ilvl w:val="0"/>
          <w:numId w:val="1"/>
        </w:numPr>
        <w:spacing w:after="0"/>
        <w:ind w:left="259"/>
      </w:pPr>
      <w:r>
        <w:rPr/>
        <w:t>AIMS scope, governance, objectives, policies, roles, and responsibilities are approved and understood.</w:t>
      </w:r>
    </w:p>
    <w:p>
      <w:pPr>
        <w:numPr>
          <w:ilvl w:val="0"/>
          <w:numId w:val="1"/>
        </w:numPr>
        <w:spacing w:after="0"/>
        <w:ind w:left="259"/>
      </w:pPr>
      <w:r>
        <w:rPr/>
        <w:t>AI inventory, risks, impact assessments, supplier controls, lifecycle controls, and training are current and evidenced.</w:t>
      </w:r>
    </w:p>
    <w:p>
      <w:pPr>
        <w:numPr>
          <w:ilvl w:val="0"/>
          <w:numId w:val="1"/>
        </w:numPr>
        <w:spacing w:after="0"/>
        <w:ind w:left="259"/>
      </w:pPr>
      <w:r>
        <w:rPr/>
        <w:t>Required processes have operated long enough to produce credible records for auditor sampling.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 audit has tested the AIMS; findings have owners and corrective actions.</w:t>
      </w:r>
    </w:p>
    <w:p>
      <w:pPr>
        <w:numPr>
          <w:ilvl w:val="0"/>
          <w:numId w:val="1"/>
        </w:numPr>
        <w:spacing w:after="0"/>
        <w:ind w:left="259"/>
      </w:pPr>
      <w:r>
        <w:rPr/>
        <w:t>Management review has considered AIMS performance, risks, audit results, changes, resources, and improvement actions.</w:t>
      </w:r>
    </w:p>
    <w:p>
      <w:pPr>
        <w:numPr>
          <w:ilvl w:val="0"/>
          <w:numId w:val="1"/>
        </w:numPr>
        <w:spacing w:after="40"/>
        <w:ind w:left="259"/>
      </w:pPr>
      <w:r>
        <w:rPr/>
        <w:t>Stage 1 findings are closed or controlled before Stage 2; process owners can explain what they do and show evidence.</w:t>
      </w:r>
    </w:p>
    <w:p>
      <w:pPr>
        <w:pStyle w:val="Heading1"/>
        <w:keepNext/>
      </w:pPr>
      <w:r>
        <w:t>8. Engagement Guardrails</w:t>
      </w:r>
    </w:p>
    <w:p>
      <w:pPr>
        <w:numPr>
          <w:ilvl w:val="0"/>
          <w:numId w:val="1"/>
        </w:numPr>
        <w:spacing w:after="0"/>
        <w:ind w:left="259"/>
      </w:pPr>
      <w:r>
        <w:rPr/>
        <w:t>200 total consulting hours: protect time for January testing and certification support.</w:t>
      </w:r>
    </w:p>
    <w:p>
      <w:pPr>
        <w:numPr>
          <w:ilvl w:val="0"/>
          <w:numId w:val="1"/>
        </w:numPr>
        <w:spacing w:after="0"/>
        <w:ind w:left="259"/>
      </w:pPr>
      <w:r>
        <w:rPr/>
        <w:t>(Example Client) owns implementation and evidence production; our team structures, reviews, tests, and challenges.</w:t>
      </w:r>
    </w:p>
    <w:p>
      <w:pPr>
        <w:numPr>
          <w:ilvl w:val="0"/>
          <w:numId w:val="1"/>
        </w:numPr>
        <w:spacing w:after="0"/>
        <w:ind w:left="259"/>
      </w:pPr>
      <w:r>
        <w:rPr/>
        <w:t>Use existing SOC 2 processes where they genuinely satisfy AIMS requirements rather than creating parallel processes.</w:t>
      </w:r>
    </w:p>
    <w:p>
      <w:pPr>
        <w:numPr>
          <w:ilvl w:val="0"/>
          <w:numId w:val="1"/>
        </w:numPr>
        <w:spacing w:after="0"/>
        <w:ind w:left="259"/>
      </w:pPr>
      <w:r>
        <w:rPr/>
        <w:t>Prefer durable, auditable processes over one-time documents created solely for certification.</w:t>
      </w:r>
    </w:p>
    <w:p>
      <w:pPr>
        <w:numPr>
          <w:ilvl w:val="0"/>
          <w:numId w:val="1"/>
        </w:numPr>
        <w:spacing w:after="40"/>
        <w:ind w:left="259"/>
      </w:pPr>
      <w:r>
        <w:rPr/>
        <w:t>Escalate scope changes, major control redesign, legal/contract questions, or unsupported high-risk claims to the engagement lead.</w:t>
      </w:r>
    </w:p>
    <w:p>
      <w:pPr>
        <w:pStyle w:val="Heading1"/>
        <w:keepNext/>
      </w:pPr>
      <w:r>
        <w:t>9. Key Risks</w:t>
      </w:r>
    </w:p>
    <w:p>
      <w:pPr>
        <w:numPr>
          <w:ilvl w:val="0"/>
          <w:numId w:val="1"/>
        </w:numPr>
        <w:spacing w:after="0"/>
        <w:ind w:left="259"/>
      </w:pPr>
      <w:r>
        <w:rPr/>
        <w:t>Overstated readiness or evidence that reflects design rather than operation.</w:t>
      </w:r>
    </w:p>
    <w:p>
      <w:pPr>
        <w:numPr>
          <w:ilvl w:val="0"/>
          <w:numId w:val="1"/>
        </w:numPr>
        <w:spacing w:after="0"/>
        <w:ind w:left="259"/>
      </w:pPr>
      <w:r>
        <w:rPr/>
        <w:t>Late implementation that leaves too little operating history before Stage 2.</w:t>
      </w:r>
    </w:p>
    <w:p>
      <w:pPr>
        <w:numPr>
          <w:ilvl w:val="0"/>
          <w:numId w:val="1"/>
        </w:numPr>
        <w:spacing w:after="0"/>
        <w:ind w:left="259"/>
      </w:pPr>
      <w:r>
        <w:rPr/>
        <w:t>Slow SME responses, policy approvals, vendor reviews, or contract decisions.</w:t>
      </w:r>
    </w:p>
    <w:p>
      <w:pPr>
        <w:numPr>
          <w:ilvl w:val="0"/>
          <w:numId w:val="1"/>
        </w:numPr>
        <w:spacing w:after="0"/>
        <w:ind w:left="259"/>
      </w:pPr>
      <w:r>
        <w:rPr/>
        <w:t>Internal-audit or management-review slippage.</w:t>
      </w:r>
    </w:p>
    <w:p>
      <w:pPr>
        <w:numPr>
          <w:ilvl w:val="0"/>
          <w:numId w:val="1"/>
        </w:numPr>
        <w:spacing w:after="0"/>
        <w:ind w:left="259"/>
      </w:pPr>
      <w:r>
        <w:rPr/>
        <w:t>Scope creep consuming the 200-hour budget.</w:t>
      </w:r>
    </w:p>
    <w:p>
      <w:pPr>
        <w:numPr>
          <w:ilvl w:val="0"/>
          <w:numId w:val="1"/>
        </w:numPr>
        <w:spacing w:after="40"/>
        <w:ind w:left="259"/>
      </w:pPr>
      <w:r>
        <w:rPr/>
        <w:t>Certification-body scheduling or findings pushing issuance into April.</w:t>
      </w:r>
    </w:p>
    <w:sectPr w:rsidR="00EE3679">
      <w:footerReference w:type="default" r:id="rId7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058C" w14:textId="77777777" w:rsidR="00964F6B" w:rsidRDefault="00964F6B">
      <w:pPr>
        <w:spacing w:after="0" w:line="240" w:lineRule="auto"/>
      </w:pPr>
      <w:r>
        <w:separator/>
      </w:r>
    </w:p>
  </w:endnote>
  <w:endnote w:type="continuationSeparator" w:id="0">
    <w:p w14:paraId="6A5910EE" w14:textId="77777777" w:rsidR="00964F6B" w:rsidRDefault="00964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5EFE1CDC-5F46-4879-B0DD-0F34E5B4B1F7}"/>
  </w:font>
  <w:font w:name="Inter">
    <w:charset w:val="00"/>
    <w:family w:val="auto"/>
    <w:pitch w:val="default"/>
    <w:embedRegular r:id="rId2" w:fontKey="{8CC39F90-7495-4911-AD9F-59B4675C6F84}"/>
    <w:embedBold r:id="rId3" w:fontKey="{810287AF-7C4E-4D7F-8EFB-B02650423880}"/>
    <w:embedItalic r:id="rId4" w:fontKey="{EEEB3C13-F45B-4AB1-BAC5-1154FC36342D}"/>
    <w:embedBoldItalic r:id="rId5" w:fontKey="{977F24E6-AED6-4161-9965-21C20514E34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9FD88821-5931-4D9A-AAEC-5AE9CCF5596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5FB4DB12-8987-45DC-B38A-EE8F9F25D84A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447CF5C-DB7B-41C2-89B8-CD1709CD0E7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A5EB9" w14:textId="77777777" w:rsidR="00EE36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rFonts w:ascii="Aptos" w:eastAsia="Aptos" w:hAnsi="Aptos" w:cs="Aptos"/>
        <w:sz w:val="18"/>
        <w:szCs w:val="18"/>
      </w:rPr>
    </w:pPr>
    <w:r>
      <w:rPr>
        <w:rFonts w:ascii="Aptos" w:eastAsia="Aptos" w:hAnsi="Aptos" w:cs="Aptos"/>
        <w:color w:val="5F6B70"/>
        <w:sz w:val="16"/>
        <w:szCs w:val="16"/>
      </w:rPr>
      <w:t xml:space="preserve">Page </w:t>
    </w:r>
    <w:r>
      <w:rPr>
        <w:rFonts w:ascii="Aptos" w:eastAsia="Aptos" w:hAnsi="Aptos" w:cs="Aptos"/>
        <w:sz w:val="18"/>
        <w:szCs w:val="18"/>
      </w:rPr>
      <w:fldChar w:fldCharType="begin"/>
    </w:r>
    <w:r>
      <w:rPr>
        <w:rFonts w:ascii="Aptos" w:eastAsia="Aptos" w:hAnsi="Aptos" w:cs="Aptos"/>
        <w:sz w:val="18"/>
        <w:szCs w:val="18"/>
      </w:rPr>
      <w:instrText>PAGE</w:instrText>
    </w:r>
    <w:r>
      <w:rPr>
        <w:rFonts w:ascii="Aptos" w:eastAsia="Aptos" w:hAnsi="Aptos" w:cs="Aptos"/>
        <w:sz w:val="18"/>
        <w:szCs w:val="18"/>
      </w:rPr>
      <w:fldChar w:fldCharType="separate"/>
    </w:r>
    <w:r w:rsidR="0017298B">
      <w:rPr>
        <w:rFonts w:ascii="Aptos" w:eastAsia="Aptos" w:hAnsi="Aptos" w:cs="Aptos"/>
        <w:noProof/>
        <w:sz w:val="18"/>
        <w:szCs w:val="18"/>
      </w:rPr>
      <w:t>1</w:t>
    </w:r>
    <w:r>
      <w:rPr>
        <w:rFonts w:ascii="Aptos" w:eastAsia="Aptos" w:hAnsi="Aptos" w:cs="Aptos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8F469" w14:textId="77777777" w:rsidR="00964F6B" w:rsidRDefault="00964F6B">
      <w:pPr>
        <w:spacing w:after="0" w:line="240" w:lineRule="auto"/>
      </w:pPr>
      <w:r>
        <w:separator/>
      </w:r>
    </w:p>
  </w:footnote>
  <w:footnote w:type="continuationSeparator" w:id="0">
    <w:p w14:paraId="471D2A5A" w14:textId="77777777" w:rsidR="00964F6B" w:rsidRDefault="00964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8436F"/>
    <w:multiLevelType w:val="multilevel"/>
    <w:tmpl w:val="98F6B94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64438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3679"/>
    <w:rsid w:val="0017298B"/>
    <w:rsid w:val="00964F6B"/>
    <w:rsid w:val="00E54790"/>
    <w:rsid w:val="00EE3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34A03"/>
  <w15:docId w15:val="{A741E58B-F5CE-431C-925A-3D4CBE480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263238"/>
        <w:lang w:val="en" w:eastAsia="ja-JP" w:bidi="ar-SA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120" w:after="100"/>
      <w:outlineLvl w:val="0"/>
    </w:pPr>
    <w:rPr>
      <w:b/>
      <w:bCs/>
      <w:color w:val="183B4E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20" w:after="100"/>
      <w:outlineLvl w:val="1"/>
    </w:pPr>
    <w:rPr>
      <w:b/>
      <w:bCs/>
      <w:color w:val="183B4E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20" w:after="100" w:line="240" w:lineRule="auto"/>
    </w:pPr>
    <w:rPr>
      <w:b/>
      <w:bCs/>
      <w:color w:val="183B4E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1122</Words>
  <Characters>6402</Characters>
  <Application>Microsoft Office Word</Application>
  <DocSecurity>0</DocSecurity>
  <Lines>53</Lines>
  <Paragraphs>15</Paragraphs>
  <ScaleCrop>false</ScaleCrop>
  <Company/>
  <LinksUpToDate>false</LinksUpToDate>
  <CharactersWithSpaces>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grc-readiness</cp:lastModifiedBy>
  <cp:revision>1</cp:revision>
  <dcterms:created xsi:type="dcterms:W3CDTF">2026-10-18T12:00:00Z</dcterms:created>
  <dcterms:modified xsi:type="dcterms:W3CDTF">2026-10-18T12:00:00Z</dcterms:modified>
  <dc:title>(Example Client) ISO 42001 Project Brief</dc:title>
  <dc:creator>grc-readiness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