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</w:pPr>
      <w:r>
        <w:t>(Example Client) ISO 42001 Project Brief</w:t>
      </w:r>
    </w:p>
    <w:p>
      <w:pPr>
        <w:spacing w:after="200"/>
      </w:pPr>
      <w:r>
        <w:rPr>
          <w:b/>
          <w:color w:val="183B4E"/>
          <w:sz w:val="22"/>
        </w:rPr>
        <w:t>Analyst Orientation | Certification readiness and gap closure | 2026-2027</w:t>
      </w:r>
    </w:p>
    <w:p/>
    <w:tbl>
      <w:tblPr>
        <w:tblStyle w:val="a"/>
        <w:tblW w:w="10080" w:type="dxa"/>
        <w:jc w:val="center"/>
        <w:tblLayout w:type="fixed"/>
      </w:tblPr>
      <w:tblGrid>
        <w:gridCol w:w="10080"/>
      </w:tblGrid>
      <w:tr>
        <w:trPr>
          <w:cantSplit/>
          <w:jc w:val="center"/>
        </w:trPr>
        <w:tc>
          <w:tcPr>
            <w:tcW w:type="dxa" w:w="10080"/>
            <w:tcW w:w="10080" w:type="dxa"/>
            <w:shd w:val="clear" w:color="auto" w:fill="EAF2F3"/>
            <w:tcMar>
              <w:top w:w="120" w:type="dxa"/>
              <w:bottom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B4E"/>
              </w:rPr>
              <w:t>TLDR: Help (Example Client) turn an existing set of AI practices and technical controls into a complete, auditable AI management system (AIMS).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Client Overview</w:t>
      </w:r>
    </w:p>
    <w:p>
      <w:pPr>
        <w:numPr>
          <w:ilvl w:val="0"/>
          <w:numId w:val="1"/>
        </w:numPr>
        <w:spacing w:after="0"/>
        <w:ind w:left="259"/>
      </w:pPr>
      <w:r>
        <w:rPr/>
        <w:t>(Example Client) is a 160+ person digital-services company founded in 2017. It researches, designs, builds, and modernizes digital products and services.</w:t>
      </w:r>
    </w:p>
    <w:p>
      <w:pPr>
        <w:numPr>
          <w:ilvl w:val="0"/>
          <w:numId w:val="1"/>
        </w:numPr>
        <w:spacing w:after="0"/>
        <w:ind w:left="259"/>
      </w:pPr>
      <w:r>
        <w:rPr/>
        <w:t>Its work spans government, nonprofit, and selected commercial partners, with a strong focus on public-interest technology, healthcare, and Veterans services.</w:t>
      </w:r>
    </w:p>
    <w:p>
      <w:pPr>
        <w:numPr>
          <w:ilvl w:val="0"/>
          <w:numId w:val="1"/>
        </w:numPr>
        <w:spacing w:after="0"/>
        <w:ind w:left="259"/>
      </w:pPr>
      <w:r>
        <w:rPr/>
        <w:t>Publicly identified government customers and partners include the Department of Veterans Affairs, CMS/HHS, IRS, OPM, and other federal programs.</w:t>
      </w:r>
    </w:p>
    <w:p>
      <w:pPr>
        <w:numPr>
          <w:ilvl w:val="0"/>
          <w:numId w:val="1"/>
        </w:numPr>
        <w:spacing w:after="40"/>
        <w:ind w:left="259"/>
      </w:pPr>
      <w:r>
        <w:rPr/>
        <w:t>The company combines product management, research, design, engineering, strategy, and delivery services.</w:t>
      </w:r>
    </w:p>
    <w:p>
      <w:pPr>
        <w:pStyle w:val="Heading1"/>
        <w:keepNext/>
      </w:pPr>
      <w:r>
        <w:t>2. AI Usage</w:t>
      </w:r>
    </w:p>
    <w:p>
      <w:pPr>
        <w:numPr>
          <w:ilvl w:val="0"/>
          <w:numId w:val="1"/>
        </w:numPr>
        <w:spacing w:after="0"/>
        <w:ind w:left="259"/>
      </w:pPr>
      <w:r>
        <w:rPr/>
        <w:t>(Example Client) is actively adopting and designing AI technology and has published Responsible AI principles centered on stewardship, intentionality, human agency, impact, accountability, privacy, and security.</w:t>
      </w:r>
    </w:p>
    <w:p>
      <w:pPr>
        <w:numPr>
          <w:ilvl w:val="0"/>
          <w:numId w:val="1"/>
        </w:numPr>
        <w:spacing w:after="0"/>
        <w:ind w:left="259"/>
      </w:pPr>
      <w:r>
        <w:rPr/>
        <w:t>The certification scope is focused on the Innovation and Platform teams' building and provision of AI products - not the entire company's general end-user AI use.</w:t>
      </w:r>
    </w:p>
    <w:p>
      <w:pPr>
        <w:numPr>
          <w:ilvl w:val="0"/>
          <w:numId w:val="1"/>
        </w:numPr>
        <w:spacing w:after="0"/>
        <w:ind w:left="259"/>
      </w:pPr>
      <w:r>
        <w:rPr/>
        <w:t>Their documents describe 4 AI systems, 9 SDLC AI tools, 10 infrastructure services, a model registry, and a 19-item gap register.</w:t>
      </w:r>
    </w:p>
    <w:p>
      <w:pPr>
        <w:numPr>
          <w:ilvl w:val="0"/>
          <w:numId w:val="1"/>
        </w:numPr>
        <w:spacing w:after="40"/>
        <w:ind w:left="259"/>
      </w:pPr>
      <w:r>
        <w:rPr/>
        <w:t>Engineering controls already described include gated evaluation metrics, human approval gates, provenance hashing, fail-closed defaults, production telemetry, PR/CI review, prompt/version controls, and immutable image digests.</w:t>
      </w:r>
    </w:p>
    <w:p>
      <w:pPr>
        <w:pStyle w:val="Heading1"/>
        <w:keepNext/>
      </w:pPr>
      <w:r>
        <w:t>3. What is already in place</w:t>
      </w:r>
    </w:p>
    <w:p/>
    <w:tbl>
      <w:tblPr>
        <w:tblStyle w:val="a0"/>
        <w:tblW w:w="10368" w:type="dxa"/>
        <w:jc w:val="center"/>
        <w:tblLayout w:type="fixed"/>
      </w:tblPr>
      <w:tblGrid>
        <w:gridCol w:w="5184"/>
        <w:gridCol w:w="5184"/>
      </w:tblGrid>
      <w:tr>
        <w:trPr>
          <w:cantSplit/>
          <w:tblHeader/>
          <w:jc w:val="center"/>
        </w:trPr>
        <w:tc>
          <w:tcPr>
            <w:tcW w:type="dxa" w:w="5184"/>
            <w:tcW w:w="5184" w:type="dxa"/>
            <w:shd w:val="clear" w:color="auto" w:fill="183B4E"/>
          </w:tcPr>
          <w:p>
            <w:pPr>
              <w:keepNext/>
            </w:pPr>
            <w:r>
              <w:rPr>
                <w:b/>
                <w:color w:val="FFFFFF"/>
              </w:rPr>
              <w:t>FOUNDATION</w:t>
            </w:r>
          </w:p>
        </w:tc>
        <w:tc>
          <w:tcPr>
            <w:tcW w:type="dxa" w:w="5184"/>
            <w:tcW w:w="5184" w:type="dxa"/>
            <w:shd w:val="clear" w:color="auto" w:fill="183B4E"/>
          </w:tcPr>
          <w:p>
            <w:pPr>
              <w:keepNext/>
            </w:pPr>
            <w:r>
              <w:rPr>
                <w:b/>
                <w:color w:val="FFFFFF"/>
              </w:rPr>
              <w:t>EXAMPLES</w:t>
            </w:r>
          </w:p>
        </w:tc>
      </w:tr>
      <w:tr>
        <w:trPr>
          <w:cantSplit/>
          <w:jc w:val="center"/>
        </w:trPr>
        <w:tc>
          <w:tcPr>
            <w:tcW w:type="dxa" w:w="5184"/>
            <w:tcW w:w="5184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Scope &amp; inventory</w:t>
            </w:r>
          </w:p>
        </w:tc>
        <w:tc>
          <w:tcPr>
            <w:tcW w:type="dxa" w:w="5184"/>
            <w:tcW w:w="5184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Draft AIMS scope; AI systems/tools/infrastructure inventory; model registry.</w:t>
            </w:r>
          </w:p>
        </w:tc>
      </w:tr>
      <w:tr>
        <w:trPr>
          <w:cantSplit/>
          <w:jc w:val="center"/>
        </w:trPr>
        <w:tc>
          <w:tcPr>
            <w:tcW w:type="dxa" w:w="5184"/>
            <w:tcW w:w="5184" w:type="dxa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Risk</w:t>
            </w:r>
          </w:p>
        </w:tc>
        <w:tc>
          <w:tcPr>
            <w:tcW w:type="dxa" w:w="5184"/>
            <w:tcW w:w="5184" w:type="dxa"/>
            <w:tcMar>
              <w:top w:w="75" w:type="dxa"/>
              <w:bottom w:w="75" w:type="dxa"/>
            </w:tcMar>
          </w:tcPr>
          <w:p>
            <w:r>
              <w:rPr/>
              <w:t>20 AI-category risks in Drata with owners, treatments, residual scores, and open actions.</w:t>
            </w:r>
          </w:p>
        </w:tc>
      </w:tr>
      <w:tr>
        <w:trPr>
          <w:cantSplit/>
          <w:jc w:val="center"/>
        </w:trPr>
        <w:tc>
          <w:tcPr>
            <w:tcW w:type="dxa" w:w="5184"/>
            <w:tcW w:w="5184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Engineering</w:t>
            </w:r>
          </w:p>
        </w:tc>
        <w:tc>
          <w:tcPr>
            <w:tcW w:type="dxa" w:w="5184"/>
            <w:tcW w:w="5184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Lifecycle testing, monitoring, change controls, human approval, agent authority limits.</w:t>
            </w:r>
          </w:p>
        </w:tc>
      </w:tr>
      <w:tr>
        <w:trPr>
          <w:cantSplit/>
          <w:jc w:val="center"/>
        </w:trPr>
        <w:tc>
          <w:tcPr>
            <w:tcW w:type="dxa" w:w="5184"/>
            <w:tcW w:w="5184" w:type="dxa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Existing governance</w:t>
            </w:r>
          </w:p>
        </w:tc>
        <w:tc>
          <w:tcPr>
            <w:tcW w:type="dxa" w:w="5184"/>
            <w:tcW w:w="5184" w:type="dxa"/>
            <w:tcMar>
              <w:top w:w="75" w:type="dxa"/>
              <w:bottom w:w="75" w:type="dxa"/>
            </w:tcMar>
          </w:tcPr>
          <w:p>
            <w:r>
              <w:rPr/>
              <w:t>SOC 2 policy suite, enterprise risk process, incident management, vendor program, quarterly leadership review.</w:t>
            </w:r>
          </w:p>
        </w:tc>
      </w:tr>
      <w:tr>
        <w:trPr>
          <w:cantSplit/>
          <w:jc w:val="center"/>
        </w:trPr>
        <w:tc>
          <w:tcPr>
            <w:tcW w:type="dxa" w:w="5184"/>
            <w:tcW w:w="5184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Corporate AI baseline</w:t>
            </w:r>
          </w:p>
        </w:tc>
        <w:tc>
          <w:tcPr>
            <w:tcW w:type="dxa" w:w="5184"/>
            <w:tcW w:w="5184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Responsible AI Principles and company-wide AI Use Policy for end-user use.</w:t>
            </w:r>
          </w:p>
        </w:tc>
      </w:tr>
    </w:tbl>
    <w:p/>
    <w:p>
      <w:pPr>
        <w:pStyle w:val="Heading1"/>
        <w:keepNext/>
      </w:pPr>
      <w:r>
        <w:t>4. Gap Analysis</w:t>
      </w:r>
    </w:p>
    <w:tbl>
      <w:tblPr>
        <w:tblStyle w:val="a"/>
        <w:tblW w:w="10080" w:type="dxa"/>
        <w:jc w:val="center"/>
        <w:tblLayout w:type="fixed"/>
      </w:tblPr>
      <w:tblGrid>
        <w:gridCol w:w="10080"/>
      </w:tblGrid>
      <w:tr>
        <w:trPr>
          <w:cantSplit/>
          <w:jc w:val="center"/>
        </w:trPr>
        <w:tc>
          <w:tcPr>
            <w:tcW w:type="dxa" w:w="10080"/>
            <w:tcW w:w="10080" w:type="dxa"/>
            <w:shd w:val="clear" w:color="auto" w:fill="EAF2F3"/>
            <w:tcMar>
              <w:top w:w="120" w:type="dxa"/>
              <w:bottom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B4E"/>
              </w:rPr>
              <w:t>Treat client readiness statements as hypotheses until evidence shows the control is documented, implemented, evidenced, and operating.</w:t>
            </w:r>
          </w:p>
        </w:tc>
      </w:tr>
    </w:tbl>
    <w:p>
      <w:pPr>
        <w:spacing w:after="20"/>
      </w:pPr>
    </w:p>
    <w:tbl>
      <w:tblPr>
        <w:tblStyle w:val="a0"/>
        <w:tblW w:w="10380" w:type="dxa"/>
        <w:jc w:val="center"/>
        <w:tblLayout w:type="fixed"/>
      </w:tblPr>
      <w:tblGrid>
        <w:gridCol w:w="3305"/>
        <w:gridCol w:w="7075"/>
      </w:tblGrid>
      <w:tr>
        <w:trPr>
          <w:cantSplit/>
          <w:tblHeader/>
          <w:jc w:val="center"/>
        </w:trPr>
        <w:tc>
          <w:tcPr>
            <w:tcW w:type="dxa" w:w="3305"/>
            <w:tcW w:w="3305" w:type="dxa"/>
            <w:shd w:val="clear" w:color="auto" w:fill="183B4E"/>
          </w:tcPr>
          <w:p>
            <w:pPr>
              <w:keepNext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075"/>
            <w:tcW w:w="7075" w:type="dxa"/>
            <w:shd w:val="clear" w:color="auto" w:fill="183B4E"/>
          </w:tcPr>
          <w:p>
            <w:pPr>
              <w:keepNext/>
            </w:pPr>
            <w:r>
              <w:rPr>
                <w:b/>
                <w:color w:val="FFFFFF"/>
              </w:rPr>
              <w:t>WHAT TO VERIFY / CLOSE</w:t>
            </w:r>
          </w:p>
        </w:tc>
      </w:tr>
      <w:tr>
        <w:trPr>
          <w:cantSplit/>
          <w:jc w:val="center"/>
        </w:trPr>
        <w:tc>
          <w:tcPr>
            <w:tcW w:type="dxa" w:w="3305"/>
            <w:tcW w:w="3305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AIMS governance</w:t>
            </w:r>
          </w:p>
        </w:tc>
        <w:tc>
          <w:tcPr>
            <w:tcW w:type="dxa" w:w="7075"/>
            <w:tcW w:w="7075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No producer-scope AIMS AI policy yet; scope draft still needs leadership approval.</w:t>
            </w:r>
          </w:p>
        </w:tc>
      </w:tr>
      <w:tr>
        <w:trPr>
          <w:cantSplit/>
          <w:jc w:val="center"/>
        </w:trPr>
        <w:tc>
          <w:tcPr>
            <w:tcW w:type="dxa" w:w="3305"/>
            <w:tcW w:w="3305" w:type="dxa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Impact assessment</w:t>
            </w:r>
          </w:p>
        </w:tc>
        <w:tc>
          <w:tcPr>
            <w:tcW w:type="dxa" w:w="7075"/>
            <w:tcW w:w="7075" w:type="dxa"/>
            <w:tcMar>
              <w:top w:w="75" w:type="dxa"/>
              <w:bottom w:w="75" w:type="dxa"/>
            </w:tcMar>
          </w:tcPr>
          <w:p>
            <w:r>
              <w:rPr/>
              <w:t>No AI impact assessments have been completed; methodology/template must be established and used.</w:t>
            </w:r>
          </w:p>
        </w:tc>
      </w:tr>
      <w:tr>
        <w:trPr>
          <w:cantSplit/>
          <w:jc w:val="center"/>
        </w:trPr>
        <w:tc>
          <w:tcPr>
            <w:tcW w:type="dxa" w:w="3305"/>
            <w:tcW w:w="3305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Training &amp; competence</w:t>
            </w:r>
          </w:p>
        </w:tc>
        <w:tc>
          <w:tcPr>
            <w:tcW w:type="dxa" w:w="7075"/>
            <w:tcW w:w="7075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AI-specific training is planned but not yet operating.</w:t>
            </w:r>
          </w:p>
        </w:tc>
      </w:tr>
      <w:tr>
        <w:trPr>
          <w:cantSplit/>
          <w:jc w:val="center"/>
        </w:trPr>
        <w:tc>
          <w:tcPr>
            <w:tcW w:type="dxa" w:w="3305"/>
            <w:tcW w:w="3305" w:type="dxa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Data governance</w:t>
            </w:r>
          </w:p>
        </w:tc>
        <w:tc>
          <w:tcPr>
            <w:tcW w:type="dxa" w:w="7075"/>
            <w:tcW w:w="7075" w:type="dxa"/>
            <w:tcMar>
              <w:top w:w="75" w:type="dxa"/>
              <w:bottom w:w="75" w:type="dxa"/>
            </w:tcMar>
          </w:tcPr>
          <w:p>
            <w:r>
              <w:rPr/>
              <w:t>Existing classification taxonomy does not yet cover AI artifacts such as corpora, datasets, checkpoints, and delivered models.</w:t>
            </w:r>
          </w:p>
        </w:tc>
      </w:tr>
      <w:tr>
        <w:trPr>
          <w:cantSplit/>
          <w:jc w:val="center"/>
        </w:trPr>
        <w:tc>
          <w:tcPr>
            <w:tcW w:type="dxa" w:w="3305"/>
            <w:tcW w:w="3305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AI suppliers</w:t>
            </w:r>
          </w:p>
        </w:tc>
        <w:tc>
          <w:tcPr>
            <w:tcW w:type="dxa" w:w="7075"/>
            <w:tcW w:w="7075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AI-specific suppliers have not yet been run through the existing vendor program; supplier contract/DPA requirements are incomplete.</w:t>
            </w:r>
          </w:p>
        </w:tc>
      </w:tr>
      <w:tr>
        <w:trPr>
          <w:cantSplit/>
          <w:jc w:val="center"/>
        </w:trPr>
        <w:tc>
          <w:tcPr>
            <w:tcW w:type="dxa" w:w="3305"/>
            <w:tcW w:w="3305" w:type="dxa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Control codification</w:t>
            </w:r>
          </w:p>
        </w:tc>
        <w:tc>
          <w:tcPr>
            <w:tcW w:type="dxa" w:w="7075"/>
            <w:tcW w:w="7075" w:type="dxa"/>
            <w:tcMar>
              <w:top w:w="75" w:type="dxa"/>
              <w:bottom w:w="75" w:type="dxa"/>
            </w:tcMar>
          </w:tcPr>
          <w:p>
            <w:r>
              <w:rPr/>
              <w:t>Some human-review and engineering practices operate in code/process but are not fully reflected in policy text.</w:t>
            </w:r>
          </w:p>
        </w:tc>
      </w:tr>
      <w:tr>
        <w:trPr>
          <w:cantSplit/>
          <w:jc w:val="center"/>
        </w:trPr>
        <w:tc>
          <w:tcPr>
            <w:tcW w:type="dxa" w:w="3305"/>
            <w:tcW w:w="3305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Regulatory mapping</w:t>
            </w:r>
          </w:p>
        </w:tc>
        <w:tc>
          <w:tcPr>
            <w:tcW w:type="dxa" w:w="7075"/>
            <w:tcW w:w="7075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Formal per-market AI regulatory/contractual mapping has not yet been performed.</w:t>
            </w:r>
          </w:p>
        </w:tc>
      </w:tr>
      <w:tr>
        <w:trPr>
          <w:cantSplit/>
          <w:jc w:val="center"/>
        </w:trPr>
        <w:tc>
          <w:tcPr>
            <w:tcW w:type="dxa" w:w="3305"/>
            <w:tcW w:w="3305" w:type="dxa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Internal audit</w:t>
            </w:r>
          </w:p>
        </w:tc>
        <w:tc>
          <w:tcPr>
            <w:tcW w:type="dxa" w:w="7075"/>
            <w:tcW w:w="7075" w:type="dxa"/>
            <w:tcMar>
              <w:top w:w="75" w:type="dxa"/>
              <w:bottom w:w="75" w:type="dxa"/>
            </w:tcMar>
          </w:tcPr>
          <w:p>
            <w:r>
              <w:rPr/>
              <w:t>No standalone AI/AIMS internal audit program or completed AI-scoped internal audit exists.</w:t>
            </w:r>
          </w:p>
        </w:tc>
      </w:tr>
      <w:tr>
        <w:trPr>
          <w:cantSplit/>
          <w:jc w:val="center"/>
        </w:trPr>
        <w:tc>
          <w:tcPr>
            <w:tcW w:type="dxa" w:w="3305"/>
            <w:tcW w:w="3305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Management review</w:t>
            </w:r>
          </w:p>
        </w:tc>
        <w:tc>
          <w:tcPr>
            <w:tcW w:type="dxa" w:w="7075"/>
            <w:tcW w:w="7075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AI is discussed in quarterly leadership review, but a dedicated standing AI/AIMS review structure needs to be formalized.</w:t>
            </w:r>
          </w:p>
        </w:tc>
      </w:tr>
    </w:tbl>
    <w:p/>
    <w:p>
      <w:pPr>
        <w:pStyle w:val="Heading2"/>
        <w:keepNext/>
      </w:pPr>
      <w:r>
        <w:t>Analyst evidence test</w:t>
      </w:r>
    </w:p>
    <w:p>
      <w:pPr>
        <w:numPr>
          <w:ilvl w:val="0"/>
          <w:numId w:val="1"/>
        </w:numPr>
        <w:spacing w:after="0"/>
        <w:ind w:left="259"/>
      </w:pPr>
      <w:r>
        <w:rPr/>
        <w:t>Documented — Is the requirement formally defined?</w:t>
      </w:r>
    </w:p>
    <w:p>
      <w:pPr>
        <w:numPr>
          <w:ilvl w:val="0"/>
          <w:numId w:val="1"/>
        </w:numPr>
        <w:spacing w:after="0"/>
        <w:ind w:left="259"/>
      </w:pPr>
      <w:r>
        <w:rPr/>
        <w:t>Implemented — Is the process actually in use?</w:t>
      </w:r>
    </w:p>
    <w:p>
      <w:pPr>
        <w:numPr>
          <w:ilvl w:val="0"/>
          <w:numId w:val="1"/>
        </w:numPr>
        <w:spacing w:after="0"/>
        <w:ind w:left="259"/>
      </w:pPr>
      <w:r>
        <w:rPr/>
        <w:t>Evidence exists — Can (Example Client) produce records showing execution?</w:t>
      </w:r>
    </w:p>
    <w:p>
      <w:pPr>
        <w:numPr>
          <w:ilvl w:val="0"/>
          <w:numId w:val="1"/>
        </w:numPr>
        <w:spacing w:after="40"/>
        <w:ind w:left="259"/>
      </w:pPr>
      <w:r>
        <w:rPr/>
        <w:t>Tested — Does sampling/interview evidence support consistent operation?</w:t>
      </w:r>
    </w:p>
    <w:p>
      <w:pPr>
        <w:pStyle w:val="Heading2"/>
        <w:keepNext/>
      </w:pPr>
      <w:r>
        <w:t>Readiness snapshot (as of 2026-10-22)</w:t>
      </w:r>
    </w:p>
    <w:p>
      <w:pPr>
        <w:keepNext/>
      </w:pPr>
      <w:r>
        <w:rPr/>
        <w:t>0 of 65 applicable requirements pass all four tests; 12 gaps open; 5.8% of evidence-test legs verified. Generated from the engagement repository - do not edit by hand.</w:t>
      </w:r>
    </w:p>
    <w:tbl>
      <w:tblPr>
        <w:tblStyle w:val="a0"/>
        <w:tblW w:w="10368" w:type="dxa"/>
        <w:jc w:val="center"/>
        <w:tblLayout w:type="fixed"/>
      </w:tblPr>
      <w:tblGrid>
        <w:gridCol w:w="3168"/>
        <w:gridCol w:w="1800"/>
        <w:gridCol w:w="1800"/>
        <w:gridCol w:w="1800"/>
        <w:gridCol w:w="1800"/>
      </w:tblGrid>
      <w:tr>
        <w:trPr>
          <w:cantSplit/>
          <w:tblHeader/>
          <w:jc w:val="center"/>
        </w:trPr>
        <w:tc>
          <w:tcPr>
            <w:tcW w:type="dxa" w:w="3168"/>
            <w:tcW w:w="3168" w:type="dxa"/>
            <w:shd w:val="clear" w:color="auto" w:fill="183B4E"/>
          </w:tcPr>
          <w:p>
            <w:pPr>
              <w:keepNext/>
            </w:pPr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1800"/>
            <w:tcW w:w="1800" w:type="dxa"/>
            <w:shd w:val="clear" w:color="auto" w:fill="183B4E"/>
          </w:tcPr>
          <w:p>
            <w:pPr>
              <w:keepNext/>
            </w:pPr>
            <w:r>
              <w:rPr>
                <w:b/>
                <w:color w:val="FFFFFF"/>
              </w:rPr>
              <w:t>VERIFIED</w:t>
            </w:r>
          </w:p>
        </w:tc>
        <w:tc>
          <w:tcPr>
            <w:tcW w:type="dxa" w:w="1800"/>
            <w:tcW w:w="1800" w:type="dxa"/>
            <w:shd w:val="clear" w:color="auto" w:fill="183B4E"/>
          </w:tcPr>
          <w:p>
            <w:pPr>
              <w:keepNext/>
            </w:pPr>
            <w:r>
              <w:rPr>
                <w:b/>
                <w:color w:val="FFFFFF"/>
              </w:rPr>
              <w:t>PARTIAL</w:t>
            </w:r>
          </w:p>
        </w:tc>
        <w:tc>
          <w:tcPr>
            <w:tcW w:type="dxa" w:w="1800"/>
            <w:tcW w:w="1800" w:type="dxa"/>
            <w:shd w:val="clear" w:color="auto" w:fill="183B4E"/>
          </w:tcPr>
          <w:p>
            <w:pPr>
              <w:keepNext/>
            </w:pPr>
            <w:r>
              <w:rPr>
                <w:b/>
                <w:color w:val="FFFFFF"/>
              </w:rPr>
              <w:t>CLAIMED</w:t>
            </w:r>
          </w:p>
        </w:tc>
        <w:tc>
          <w:tcPr>
            <w:tcW w:type="dxa" w:w="1800"/>
            <w:tcW w:w="1800" w:type="dxa"/>
            <w:shd w:val="clear" w:color="auto" w:fill="183B4E"/>
          </w:tcPr>
          <w:p>
            <w:pPr>
              <w:keepNext/>
            </w:pPr>
            <w:r>
              <w:rPr>
                <w:b/>
                <w:color w:val="FFFFFF"/>
              </w:rPr>
              <w:t>NOT STARTED</w:t>
            </w:r>
          </w:p>
        </w:tc>
      </w:tr>
      <w:tr>
        <w:trPr>
          <w:cantSplit/>
          <w:jc w:val="center"/>
        </w:trPr>
        <w:tc>
          <w:tcPr>
            <w:tcW w:type="dxa" w:w="3168"/>
            <w:tcW w:w="3168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Documented</w:t>
            </w:r>
          </w:p>
        </w:tc>
        <w:tc>
          <w:tcPr>
            <w:tcW w:type="dxa" w:w="1800"/>
            <w:tcW w:w="1800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2</w:t>
            </w:r>
          </w:p>
        </w:tc>
        <w:tc>
          <w:tcPr>
            <w:tcW w:type="dxa" w:w="1800"/>
            <w:tcW w:w="1800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13</w:t>
            </w:r>
          </w:p>
        </w:tc>
        <w:tc>
          <w:tcPr>
            <w:tcW w:type="dxa" w:w="1800"/>
            <w:tcW w:w="1800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9</w:t>
            </w:r>
          </w:p>
        </w:tc>
        <w:tc>
          <w:tcPr>
            <w:tcW w:type="dxa" w:w="1800"/>
            <w:tcW w:w="1800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41</w:t>
            </w:r>
          </w:p>
        </w:tc>
      </w:tr>
      <w:tr>
        <w:trPr>
          <w:cantSplit/>
          <w:jc w:val="center"/>
        </w:trPr>
        <w:tc>
          <w:tcPr>
            <w:tcW w:type="dxa" w:w="3168"/>
            <w:tcW w:w="3168" w:type="dxa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1800"/>
            <w:tcW w:w="1800" w:type="dxa"/>
            <w:tcMar>
              <w:top w:w="75" w:type="dxa"/>
              <w:bottom w:w="75" w:type="dxa"/>
            </w:tcMar>
          </w:tcPr>
          <w:p>
            <w:r>
              <w:rPr/>
              <w:t>8</w:t>
            </w:r>
          </w:p>
        </w:tc>
        <w:tc>
          <w:tcPr>
            <w:tcW w:type="dxa" w:w="1800"/>
            <w:tcW w:w="1800" w:type="dxa"/>
            <w:tcMar>
              <w:top w:w="75" w:type="dxa"/>
              <w:bottom w:w="75" w:type="dxa"/>
            </w:tcMar>
          </w:tcPr>
          <w:p>
            <w:r>
              <w:rPr/>
              <w:t>10</w:t>
            </w:r>
          </w:p>
        </w:tc>
        <w:tc>
          <w:tcPr>
            <w:tcW w:type="dxa" w:w="1800"/>
            <w:tcW w:w="1800" w:type="dxa"/>
            <w:tcMar>
              <w:top w:w="75" w:type="dxa"/>
              <w:bottom w:w="75" w:type="dxa"/>
            </w:tcMar>
          </w:tcPr>
          <w:p>
            <w:r>
              <w:rPr/>
              <w:t>8</w:t>
            </w:r>
          </w:p>
        </w:tc>
        <w:tc>
          <w:tcPr>
            <w:tcW w:type="dxa" w:w="1800"/>
            <w:tcW w:w="1800" w:type="dxa"/>
            <w:tcMar>
              <w:top w:w="75" w:type="dxa"/>
              <w:bottom w:w="75" w:type="dxa"/>
            </w:tcMar>
          </w:tcPr>
          <w:p>
            <w:r>
              <w:rPr/>
              <w:t>39</w:t>
            </w:r>
          </w:p>
        </w:tc>
      </w:tr>
      <w:tr>
        <w:trPr>
          <w:cantSplit/>
          <w:jc w:val="center"/>
        </w:trPr>
        <w:tc>
          <w:tcPr>
            <w:tcW w:type="dxa" w:w="3168"/>
            <w:tcW w:w="3168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Evidence exists</w:t>
            </w:r>
          </w:p>
        </w:tc>
        <w:tc>
          <w:tcPr>
            <w:tcW w:type="dxa" w:w="1800"/>
            <w:tcW w:w="1800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5</w:t>
            </w:r>
          </w:p>
        </w:tc>
        <w:tc>
          <w:tcPr>
            <w:tcW w:type="dxa" w:w="1800"/>
            <w:tcW w:w="1800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3</w:t>
            </w:r>
          </w:p>
        </w:tc>
        <w:tc>
          <w:tcPr>
            <w:tcW w:type="dxa" w:w="1800"/>
            <w:tcW w:w="1800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0</w:t>
            </w:r>
          </w:p>
        </w:tc>
        <w:tc>
          <w:tcPr>
            <w:tcW w:type="dxa" w:w="1800"/>
            <w:tcW w:w="1800" w:type="dxa"/>
            <w:shd w:val="clear" w:color="auto" w:fill="F3F3F3"/>
            <w:tcMar>
              <w:top w:w="75" w:type="dxa"/>
              <w:bottom w:w="75" w:type="dxa"/>
            </w:tcMar>
          </w:tcPr>
          <w:p>
            <w:r>
              <w:rPr/>
              <w:t>57</w:t>
            </w:r>
          </w:p>
        </w:tc>
      </w:tr>
      <w:tr>
        <w:trPr>
          <w:cantSplit/>
          <w:jc w:val="center"/>
        </w:trPr>
        <w:tc>
          <w:tcPr>
            <w:tcW w:type="dxa" w:w="3168"/>
            <w:tcW w:w="3168" w:type="dxa"/>
            <w:tcMar>
              <w:top w:w="75" w:type="dxa"/>
              <w:bottom w:w="75" w:type="dxa"/>
            </w:tcMar>
          </w:tcPr>
          <w:p>
            <w:r>
              <w:rPr>
                <w:b/>
              </w:rPr>
              <w:t>Tested</w:t>
            </w:r>
          </w:p>
        </w:tc>
        <w:tc>
          <w:tcPr>
            <w:tcW w:type="dxa" w:w="1800"/>
            <w:tcW w:w="1800" w:type="dxa"/>
            <w:tcMar>
              <w:top w:w="75" w:type="dxa"/>
              <w:bottom w:w="75" w:type="dxa"/>
            </w:tcMar>
          </w:tcPr>
          <w:p>
            <w:r>
              <w:rPr/>
              <w:t>0</w:t>
            </w:r>
          </w:p>
        </w:tc>
        <w:tc>
          <w:tcPr>
            <w:tcW w:type="dxa" w:w="1800"/>
            <w:tcW w:w="1800" w:type="dxa"/>
            <w:tcMar>
              <w:top w:w="75" w:type="dxa"/>
              <w:bottom w:w="75" w:type="dxa"/>
            </w:tcMar>
          </w:tcPr>
          <w:p>
            <w:r>
              <w:rPr/>
              <w:t>1</w:t>
            </w:r>
          </w:p>
        </w:tc>
        <w:tc>
          <w:tcPr>
            <w:tcW w:type="dxa" w:w="1800"/>
            <w:tcW w:w="1800" w:type="dxa"/>
            <w:tcMar>
              <w:top w:w="75" w:type="dxa"/>
              <w:bottom w:w="75" w:type="dxa"/>
            </w:tcMar>
          </w:tcPr>
          <w:p>
            <w:r>
              <w:rPr/>
              <w:t>0</w:t>
            </w:r>
          </w:p>
        </w:tc>
        <w:tc>
          <w:tcPr>
            <w:tcW w:type="dxa" w:w="1800"/>
            <w:tcW w:w="1800" w:type="dxa"/>
            <w:tcMar>
              <w:top w:w="75" w:type="dxa"/>
              <w:bottom w:w="75" w:type="dxa"/>
            </w:tcMar>
          </w:tcPr>
          <w:p>
            <w:r>
              <w:rPr/>
              <w:t>64</w:t>
            </w:r>
          </w:p>
        </w:tc>
      </w:tr>
    </w:tbl>
    <w:p/>
    <w:p>
      <w:pPr>
        <w:pStyle w:val="Heading1"/>
        <w:keepNext/>
      </w:pPr>
      <w:r>
        <w:t>5. Timeline</w:t>
      </w:r>
    </w:p>
    <w:tbl>
      <w:tblPr>
        <w:tblStyle w:val="a0"/>
        <w:tblW w:w="10296" w:type="dxa"/>
        <w:jc w:val="center"/>
        <w:tblLayout w:type="fixed"/>
      </w:tblPr>
      <w:tblGrid>
        <w:gridCol w:w="1656"/>
        <w:gridCol w:w="2232"/>
        <w:gridCol w:w="6408"/>
      </w:tblGrid>
      <w:tr>
        <w:trPr>
          <w:cantSplit/>
          <w:tblHeader/>
          <w:jc w:val="center"/>
        </w:trPr>
        <w:tc>
          <w:tcPr>
            <w:tcW w:type="dxa" w:w="1656"/>
            <w:tcW w:w="1656" w:type="dxa"/>
            <w:shd w:val="clear" w:color="auto" w:fill="183B4E"/>
            <w:tcMar>
              <w:top w:w="90" w:type="dxa"/>
              <w:bottom w:w="90" w:type="dxa"/>
            </w:tcMar>
          </w:tcPr>
          <w:p>
            <w:pPr>
              <w:keepNext/>
            </w:pPr>
            <w:r>
              <w:rPr>
                <w:b/>
                <w:color w:val="FFFFFF"/>
              </w:rPr>
              <w:t>MONTH</w:t>
            </w:r>
          </w:p>
        </w:tc>
        <w:tc>
          <w:tcPr>
            <w:tcW w:type="dxa" w:w="2232"/>
            <w:tcW w:w="2232" w:type="dxa"/>
            <w:shd w:val="clear" w:color="auto" w:fill="183B4E"/>
            <w:tcMar>
              <w:top w:w="90" w:type="dxa"/>
              <w:bottom w:w="90" w:type="dxa"/>
            </w:tcMar>
          </w:tcPr>
          <w:p>
            <w:pPr>
              <w:keepNext/>
            </w:pPr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6408"/>
            <w:tcW w:w="6408" w:type="dxa"/>
            <w:shd w:val="clear" w:color="auto" w:fill="183B4E"/>
            <w:tcMar>
              <w:top w:w="90" w:type="dxa"/>
              <w:bottom w:w="90" w:type="dxa"/>
            </w:tcMar>
          </w:tcPr>
          <w:p>
            <w:pPr>
              <w:keepNext/>
            </w:pPr>
            <w:r>
              <w:rPr>
                <w:b/>
                <w:color w:val="FFFFFF"/>
              </w:rPr>
              <w:t>DELIVERABLES</w:t>
            </w:r>
          </w:p>
        </w:tc>
      </w:tr>
      <w:tr>
        <w:trPr>
          <w:cantSplit/>
          <w:jc w:val="center"/>
        </w:trPr>
        <w:tc>
          <w:tcPr>
            <w:tcW w:type="dxa" w:w="1656"/>
            <w:tcW w:w="1656" w:type="dxa"/>
            <w:shd w:val="clear" w:color="auto" w:fill="F3F3F3"/>
            <w:tcMar>
              <w:top w:w="80" w:type="dxa"/>
              <w:bottom w:w="80" w:type="dxa"/>
            </w:tcMar>
          </w:tcPr>
          <w:p>
            <w:r>
              <w:rPr>
                <w:b/>
                <w:color w:val="183B4E"/>
              </w:rPr>
              <w:t>OCT 2026</w:t>
            </w:r>
          </w:p>
        </w:tc>
        <w:tc>
          <w:tcPr>
            <w:tcW w:type="dxa" w:w="2232"/>
            <w:tcW w:w="2232" w:type="dxa"/>
            <w:shd w:val="clear" w:color="auto" w:fill="F3F3F3"/>
            <w:tcMar>
              <w:top w:w="80" w:type="dxa"/>
              <w:bottom w:w="80" w:type="dxa"/>
            </w:tcMar>
          </w:tcPr>
          <w:p>
            <w:r>
              <w:rPr>
                <w:b/>
              </w:rPr>
              <w:t>Validate &amp; establish</w:t>
            </w:r>
          </w:p>
        </w:tc>
        <w:tc>
          <w:tcPr>
            <w:tcW w:type="dxa" w:w="6408"/>
            <w:tcW w:w="6408" w:type="dxa"/>
            <w:shd w:val="clear" w:color="auto" w:fill="F3F3F3"/>
            <w:tcMar>
              <w:top w:w="80" w:type="dxa"/>
              <w:bottom w:w="80" w:type="dxa"/>
            </w:tcMar>
          </w:tcPr>
          <w:p>
            <w:pPr>
              <w:spacing w:after="20"/>
              <w:ind w:left="115"/>
            </w:pPr>
            <w:r>
              <w:rPr/>
              <w:t>• Kickoff and owner alignment</w:t>
            </w:r>
          </w:p>
          <w:p>
            <w:pPr>
              <w:spacing w:after="20"/>
              <w:ind w:left="115"/>
            </w:pPr>
            <w:r>
              <w:rPr/>
              <w:t>• Validate gap-analysis claims and evidence</w:t>
            </w:r>
          </w:p>
          <w:p>
            <w:pPr>
              <w:spacing w:after="20"/>
              <w:ind w:left="115"/>
            </w:pPr>
            <w:r>
              <w:rPr/>
              <w:t>• Finalize AIMS/certification scope</w:t>
            </w:r>
          </w:p>
          <w:p>
            <w:pPr>
              <w:spacing w:after="20"/>
              <w:ind w:left="115"/>
            </w:pPr>
            <w:r>
              <w:rPr/>
              <w:t>• Build clause/control matrix and remediation tracker</w:t>
            </w:r>
          </w:p>
          <w:p>
            <w:pPr>
              <w:spacing w:after="20"/>
              <w:ind w:left="115"/>
            </w:pPr>
            <w:r>
              <w:rPr/>
              <w:t>• Confirm certification-body milestones</w:t>
            </w:r>
          </w:p>
        </w:tc>
      </w:tr>
      <w:tr>
        <w:trPr>
          <w:cantSplit/>
          <w:jc w:val="center"/>
        </w:trPr>
        <w:tc>
          <w:tcPr>
            <w:tcW w:type="dxa" w:w="1656"/>
            <w:tcW w:w="1656" w:type="dxa"/>
            <w:tcMar>
              <w:top w:w="80" w:type="dxa"/>
              <w:bottom w:w="80" w:type="dxa"/>
            </w:tcMar>
          </w:tcPr>
          <w:p>
            <w:r>
              <w:rPr>
                <w:b/>
                <w:color w:val="183B4E"/>
              </w:rPr>
              <w:t>NOV 2026</w:t>
            </w:r>
          </w:p>
        </w:tc>
        <w:tc>
          <w:tcPr>
            <w:tcW w:type="dxa" w:w="2232"/>
            <w:tcW w:w="2232" w:type="dxa"/>
            <w:tcMar>
              <w:top w:w="80" w:type="dxa"/>
              <w:bottom w:w="80" w:type="dxa"/>
            </w:tcMar>
          </w:tcPr>
          <w:p>
            <w:r>
              <w:rPr>
                <w:b/>
              </w:rPr>
              <w:t>Build governance</w:t>
            </w:r>
          </w:p>
        </w:tc>
        <w:tc>
          <w:tcPr>
            <w:tcW w:type="dxa" w:w="6408"/>
            <w:tcW w:w="6408" w:type="dxa"/>
            <w:tcMar>
              <w:top w:w="80" w:type="dxa"/>
              <w:bottom w:w="80" w:type="dxa"/>
            </w:tcMar>
          </w:tcPr>
          <w:p>
            <w:pPr>
              <w:spacing w:after="20"/>
              <w:ind w:left="115"/>
            </w:pPr>
            <w:r>
              <w:rPr/>
              <w:t>• Approve AIMS/AI policy</w:t>
            </w:r>
          </w:p>
          <w:p>
            <w:pPr>
              <w:spacing w:after="20"/>
              <w:ind w:left="115"/>
            </w:pPr>
            <w:r>
              <w:rPr/>
              <w:t>• Formalize roles, objectives, risk and impact methodology</w:t>
            </w:r>
          </w:p>
          <w:p>
            <w:pPr>
              <w:spacing w:after="20"/>
              <w:ind w:left="115"/>
            </w:pPr>
            <w:r>
              <w:rPr/>
              <w:t>• Define AI data classification and supplier requirements</w:t>
            </w:r>
          </w:p>
          <w:p>
            <w:pPr>
              <w:spacing w:after="20"/>
              <w:ind w:left="115"/>
            </w:pPr>
            <w:r>
              <w:rPr/>
              <w:t>• Codify lifecycle and human-oversight requirements</w:t>
            </w:r>
          </w:p>
        </w:tc>
      </w:tr>
      <w:tr>
        <w:trPr>
          <w:cantSplit/>
          <w:jc w:val="center"/>
        </w:trPr>
        <w:tc>
          <w:tcPr>
            <w:tcW w:type="dxa" w:w="1656"/>
            <w:tcW w:w="1656" w:type="dxa"/>
            <w:shd w:val="clear" w:color="auto" w:fill="F3F3F3"/>
            <w:tcMar>
              <w:top w:w="80" w:type="dxa"/>
              <w:bottom w:w="80" w:type="dxa"/>
            </w:tcMar>
          </w:tcPr>
          <w:p>
            <w:r>
              <w:rPr>
                <w:b/>
                <w:color w:val="183B4E"/>
              </w:rPr>
              <w:t>DEC 2026</w:t>
            </w:r>
          </w:p>
        </w:tc>
        <w:tc>
          <w:tcPr>
            <w:tcW w:type="dxa" w:w="2232"/>
            <w:tcW w:w="2232" w:type="dxa"/>
            <w:shd w:val="clear" w:color="auto" w:fill="F3F3F3"/>
            <w:tcMar>
              <w:top w:w="80" w:type="dxa"/>
              <w:bottom w:w="80" w:type="dxa"/>
            </w:tcMar>
          </w:tcPr>
          <w:p>
            <w:r>
              <w:rPr>
                <w:b/>
              </w:rPr>
              <w:t>Implement &amp; evidence</w:t>
            </w:r>
          </w:p>
        </w:tc>
        <w:tc>
          <w:tcPr>
            <w:tcW w:type="dxa" w:w="6408"/>
            <w:tcW w:w="6408" w:type="dxa"/>
            <w:shd w:val="clear" w:color="auto" w:fill="F3F3F3"/>
            <w:tcMar>
              <w:top w:w="80" w:type="dxa"/>
              <w:bottom w:w="80" w:type="dxa"/>
            </w:tcMar>
          </w:tcPr>
          <w:p>
            <w:pPr>
              <w:spacing w:after="20"/>
              <w:ind w:left="115"/>
            </w:pPr>
            <w:r>
              <w:rPr/>
              <w:t>• Complete initial AI impact assessments</w:t>
            </w:r>
          </w:p>
          <w:p>
            <w:pPr>
              <w:spacing w:after="20"/>
              <w:ind w:left="115"/>
            </w:pPr>
            <w:r>
              <w:rPr/>
              <w:t>• Run AI supplier reviews and address contract gaps</w:t>
            </w:r>
          </w:p>
          <w:p>
            <w:pPr>
              <w:spacing w:after="20"/>
              <w:ind w:left="115"/>
            </w:pPr>
            <w:r>
              <w:rPr/>
              <w:t>• Launch AI-specific training</w:t>
            </w:r>
          </w:p>
          <w:p>
            <w:pPr>
              <w:spacing w:after="20"/>
              <w:ind w:left="115"/>
            </w:pPr>
            <w:r>
              <w:rPr/>
              <w:t>• Operationalize governance cadence and collect evidence</w:t>
            </w:r>
          </w:p>
          <w:p>
            <w:pPr>
              <w:spacing w:after="20"/>
              <w:ind w:left="115"/>
            </w:pPr>
            <w:r>
              <w:rPr/>
              <w:t>• Close implementation findings</w:t>
            </w:r>
          </w:p>
        </w:tc>
      </w:tr>
      <w:tr>
        <w:trPr>
          <w:cantSplit/>
          <w:jc w:val="center"/>
        </w:trPr>
        <w:tc>
          <w:tcPr>
            <w:tcW w:type="dxa" w:w="1656"/>
            <w:tcW w:w="1656" w:type="dxa"/>
            <w:tcMar>
              <w:top w:w="80" w:type="dxa"/>
              <w:bottom w:w="80" w:type="dxa"/>
            </w:tcMar>
          </w:tcPr>
          <w:p>
            <w:r>
              <w:rPr>
                <w:b/>
                <w:color w:val="183B4E"/>
              </w:rPr>
              <w:t>JAN 2027</w:t>
            </w:r>
          </w:p>
        </w:tc>
        <w:tc>
          <w:tcPr>
            <w:tcW w:type="dxa" w:w="2232"/>
            <w:tcW w:w="2232" w:type="dxa"/>
            <w:tcMar>
              <w:top w:w="80" w:type="dxa"/>
              <w:bottom w:w="80" w:type="dxa"/>
            </w:tcMar>
          </w:tcPr>
          <w:p>
            <w:r>
              <w:rPr>
                <w:b/>
              </w:rPr>
              <w:t>Test the AIMS</w:t>
            </w:r>
          </w:p>
        </w:tc>
        <w:tc>
          <w:tcPr>
            <w:tcW w:type="dxa" w:w="6408"/>
            <w:tcW w:w="6408" w:type="dxa"/>
            <w:tcMar>
              <w:top w:w="80" w:type="dxa"/>
              <w:bottom w:w="80" w:type="dxa"/>
            </w:tcMar>
          </w:tcPr>
          <w:p>
            <w:pPr>
              <w:spacing w:after="20"/>
              <w:ind w:left="115"/>
            </w:pPr>
            <w:r>
              <w:rPr/>
              <w:t>• Perform ISO 42001 internal audit</w:t>
            </w:r>
          </w:p>
          <w:p>
            <w:pPr>
              <w:spacing w:after="20"/>
              <w:ind w:left="115"/>
            </w:pPr>
            <w:r>
              <w:rPr/>
              <w:t>• Verify inventory, risk register and impact assessments</w:t>
            </w:r>
          </w:p>
          <w:p>
            <w:pPr>
              <w:spacing w:after="20"/>
              <w:ind w:left="115"/>
            </w:pPr>
            <w:r>
              <w:rPr/>
              <w:t>• Complete corrective actions</w:t>
            </w:r>
          </w:p>
          <w:p>
            <w:pPr>
              <w:spacing w:after="20"/>
              <w:ind w:left="115"/>
            </w:pPr>
            <w:r>
              <w:rPr/>
              <w:t>• Conduct formal management review</w:t>
            </w:r>
          </w:p>
          <w:p>
            <w:pPr>
              <w:spacing w:after="20"/>
              <w:ind w:left="115"/>
            </w:pPr>
            <w:r>
              <w:rPr/>
              <w:t>• Prepare certification evidence package</w:t>
            </w:r>
          </w:p>
        </w:tc>
      </w:tr>
      <w:tr>
        <w:trPr>
          <w:cantSplit/>
          <w:jc w:val="center"/>
        </w:trPr>
        <w:tc>
          <w:tcPr>
            <w:tcW w:type="dxa" w:w="1656"/>
            <w:tcW w:w="1656" w:type="dxa"/>
            <w:shd w:val="clear" w:color="auto" w:fill="F3F3F3"/>
            <w:tcMar>
              <w:top w:w="80" w:type="dxa"/>
              <w:bottom w:w="80" w:type="dxa"/>
            </w:tcMar>
          </w:tcPr>
          <w:p>
            <w:r>
              <w:rPr>
                <w:b/>
                <w:color w:val="183B4E"/>
              </w:rPr>
              <w:t>FEB 2027</w:t>
            </w:r>
          </w:p>
        </w:tc>
        <w:tc>
          <w:tcPr>
            <w:tcW w:type="dxa" w:w="2232"/>
            <w:tcW w:w="2232" w:type="dxa"/>
            <w:shd w:val="clear" w:color="auto" w:fill="F3F3F3"/>
            <w:tcMar>
              <w:top w:w="80" w:type="dxa"/>
              <w:bottom w:w="80" w:type="dxa"/>
            </w:tcMar>
          </w:tcPr>
          <w:p>
            <w:r>
              <w:rPr>
                <w:b/>
              </w:rPr>
              <w:t>Stage 1</w:t>
            </w:r>
          </w:p>
        </w:tc>
        <w:tc>
          <w:tcPr>
            <w:tcW w:type="dxa" w:w="6408"/>
            <w:tcW w:w="6408" w:type="dxa"/>
            <w:shd w:val="clear" w:color="auto" w:fill="F3F3F3"/>
            <w:tcMar>
              <w:top w:w="80" w:type="dxa"/>
              <w:bottom w:w="80" w:type="dxa"/>
            </w:tcMar>
          </w:tcPr>
          <w:p>
            <w:pPr>
              <w:spacing w:after="20"/>
              <w:ind w:left="115"/>
            </w:pPr>
            <w:r>
              <w:rPr/>
              <w:t>• Run readiness/mock audit</w:t>
            </w:r>
          </w:p>
          <w:p>
            <w:pPr>
              <w:spacing w:after="20"/>
              <w:ind w:left="115"/>
            </w:pPr>
            <w:r>
              <w:rPr/>
              <w:t>• Close internal-audit findings</w:t>
            </w:r>
          </w:p>
          <w:p>
            <w:pPr>
              <w:spacing w:after="20"/>
              <w:ind w:left="115"/>
            </w:pPr>
            <w:r>
              <w:rPr/>
              <w:t>• Evidence cleanup and owner preparation</w:t>
            </w:r>
          </w:p>
          <w:p>
            <w:pPr>
              <w:spacing w:after="20"/>
              <w:ind w:left="115"/>
            </w:pPr>
            <w:r>
              <w:rPr/>
              <w:t>• Support Stage 1 audit</w:t>
            </w:r>
          </w:p>
          <w:p>
            <w:pPr>
              <w:spacing w:after="20"/>
              <w:ind w:left="115"/>
            </w:pPr>
            <w:r>
              <w:rPr/>
              <w:t>• Triage Stage 1 findings</w:t>
            </w:r>
          </w:p>
        </w:tc>
      </w:tr>
      <w:tr>
        <w:trPr>
          <w:cantSplit/>
          <w:jc w:val="center"/>
        </w:trPr>
        <w:tc>
          <w:tcPr>
            <w:tcW w:type="dxa" w:w="1656"/>
            <w:tcW w:w="1656" w:type="dxa"/>
            <w:tcMar>
              <w:top w:w="80" w:type="dxa"/>
              <w:bottom w:w="80" w:type="dxa"/>
            </w:tcMar>
          </w:tcPr>
          <w:p>
            <w:r>
              <w:rPr>
                <w:b/>
                <w:color w:val="183B4E"/>
              </w:rPr>
              <w:t>MAR–APR 2027</w:t>
            </w:r>
          </w:p>
        </w:tc>
        <w:tc>
          <w:tcPr>
            <w:tcW w:type="dxa" w:w="2232"/>
            <w:tcW w:w="2232" w:type="dxa"/>
            <w:tcMar>
              <w:top w:w="80" w:type="dxa"/>
              <w:bottom w:w="80" w:type="dxa"/>
            </w:tcMar>
          </w:tcPr>
          <w:p>
            <w:r>
              <w:rPr>
                <w:b/>
              </w:rPr>
              <w:t>Stage 2 &amp; closure</w:t>
            </w:r>
          </w:p>
        </w:tc>
        <w:tc>
          <w:tcPr>
            <w:tcW w:type="dxa" w:w="6408"/>
            <w:tcW w:w="6408" w:type="dxa"/>
            <w:tcMar>
              <w:top w:w="80" w:type="dxa"/>
              <w:bottom w:w="80" w:type="dxa"/>
            </w:tcMar>
          </w:tcPr>
          <w:p>
            <w:pPr>
              <w:spacing w:after="20"/>
              <w:ind w:left="115"/>
            </w:pPr>
            <w:r>
              <w:rPr/>
              <w:t>• Close Stage 1 findings</w:t>
            </w:r>
          </w:p>
          <w:p>
            <w:pPr>
              <w:spacing w:after="20"/>
              <w:ind w:left="115"/>
            </w:pPr>
            <w:r>
              <w:rPr/>
              <w:t>• Prepare process owners for interviews</w:t>
            </w:r>
          </w:p>
          <w:p>
            <w:pPr>
              <w:spacing w:after="20"/>
              <w:ind w:left="115"/>
            </w:pPr>
            <w:r>
              <w:rPr/>
              <w:t>• Support Stage 2 audit</w:t>
            </w:r>
          </w:p>
          <w:p>
            <w:pPr>
              <w:spacing w:after="20"/>
              <w:ind w:left="115"/>
            </w:pPr>
            <w:r>
              <w:rPr/>
              <w:t>• Respond to findings and corrective actions</w:t>
            </w:r>
          </w:p>
          <w:p>
            <w:pPr>
              <w:spacing w:after="20"/>
              <w:ind w:left="115"/>
            </w:pPr>
            <w:r>
              <w:rPr/>
              <w:t>• Certification-body closure / issuance contingency</w:t>
            </w:r>
          </w:p>
        </w:tc>
      </w:tr>
    </w:tbl>
    <w:p/>
    <w:p>
      <w:pPr>
        <w:pStyle w:val="Heading1"/>
        <w:keepNext/>
      </w:pPr>
      <w:r>
        <w:t>6. Needs</w:t>
      </w:r>
    </w:p>
    <w:p>
      <w:pPr>
        <w:numPr>
          <w:ilvl w:val="0"/>
          <w:numId w:val="1"/>
        </w:numPr>
        <w:spacing w:after="0"/>
        <w:ind w:left="259"/>
      </w:pPr>
      <w:r>
        <w:rPr/>
        <w:t>Maintain the clause/control mapping, evidence index, remediation tracker, owner, due date, and status.</w:t>
      </w:r>
    </w:p>
    <w:p>
      <w:pPr>
        <w:numPr>
          <w:ilvl w:val="0"/>
          <w:numId w:val="1"/>
        </w:numPr>
        <w:spacing w:after="0"/>
        <w:ind w:left="259"/>
      </w:pPr>
      <w:r>
        <w:rPr/>
        <w:t>Review submitted evidence against the four-part evidence test; flag unsupported or ambiguous readiness claims.</w:t>
      </w:r>
    </w:p>
    <w:p>
      <w:pPr>
        <w:numPr>
          <w:ilvl w:val="0"/>
          <w:numId w:val="1"/>
        </w:numPr>
        <w:spacing w:after="0"/>
        <w:ind w:left="259"/>
      </w:pPr>
      <w:r>
        <w:rPr/>
        <w:t>Draft and revise policies, procedures, templates, and workpapers for lead review - do not invent operating practices.</w:t>
      </w:r>
    </w:p>
    <w:p>
      <w:pPr>
        <w:numPr>
          <w:ilvl w:val="0"/>
          <w:numId w:val="1"/>
        </w:numPr>
        <w:spacing w:after="0"/>
        <w:ind w:left="259"/>
      </w:pPr>
      <w:r>
        <w:rPr/>
        <w:t>Support AI impact assessments and supplier reviews by gathering evidence, pre-populating factual sections, and tracking actions.</w:t>
      </w:r>
    </w:p>
    <w:p>
      <w:pPr>
        <w:numPr>
          <w:ilvl w:val="0"/>
          <w:numId w:val="1"/>
        </w:numPr>
        <w:spacing w:after="0"/>
        <w:ind w:left="259"/>
      </w:pPr>
      <w:r>
        <w:rPr/>
        <w:t>Prepare test samples, record objective evidence, and document exceptions for the internal audit.</w:t>
      </w:r>
    </w:p>
    <w:p>
      <w:pPr>
        <w:numPr>
          <w:ilvl w:val="0"/>
          <w:numId w:val="1"/>
        </w:numPr>
        <w:spacing w:after="40"/>
        <w:ind w:left="259"/>
      </w:pPr>
      <w:r>
        <w:rPr/>
        <w:t>Organize Stage 1/Stage 2 evidence so an auditor can trace each requirement to a current, approved artifact or record.</w:t>
      </w:r>
    </w:p>
    <w:p>
      <w:pPr>
        <w:pStyle w:val="Heading2"/>
        <w:keepNext/>
      </w:pPr>
      <w:r>
        <w:t>Working rule</w:t>
      </w:r>
    </w:p>
    <w:tbl>
      <w:tblPr>
        <w:tblStyle w:val="a"/>
        <w:tblW w:w="10080" w:type="dxa"/>
        <w:jc w:val="center"/>
        <w:tblLayout w:type="fixed"/>
      </w:tblPr>
      <w:tblGrid>
        <w:gridCol w:w="10080"/>
      </w:tblGrid>
      <w:tr>
        <w:trPr>
          <w:cantSplit/>
          <w:jc w:val="center"/>
        </w:trPr>
        <w:tc>
          <w:tcPr>
            <w:tcW w:type="dxa" w:w="10080"/>
            <w:tcW w:w="10080" w:type="dxa"/>
            <w:shd w:val="clear" w:color="auto" w:fill="EAF2F3"/>
            <w:tcMar>
              <w:top w:w="120" w:type="dxa"/>
              <w:bottom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B4E"/>
              </w:rPr>
              <w:t>If a control is described but you cannot trace it to an owner, current artifact, and operating evidence, treat it as unresolved and escalate it to the engagement lead.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ISO Requirements</w:t>
      </w:r>
    </w:p>
    <w:p>
      <w:pPr>
        <w:numPr>
          <w:ilvl w:val="0"/>
          <w:numId w:val="1"/>
        </w:numPr>
        <w:spacing w:after="0"/>
        <w:ind w:left="259"/>
      </w:pPr>
      <w:r>
        <w:rPr/>
        <w:t>AIMS scope, governance, objectives, policies, roles, and responsibilities are approved and understood.</w:t>
      </w:r>
    </w:p>
    <w:p>
      <w:pPr>
        <w:numPr>
          <w:ilvl w:val="0"/>
          <w:numId w:val="1"/>
        </w:numPr>
        <w:spacing w:after="0"/>
        <w:ind w:left="259"/>
      </w:pPr>
      <w:r>
        <w:rPr/>
        <w:t>AI inventory, risks, impact assessments, supplier controls, lifecycle controls, and training are current and evidenced.</w:t>
      </w:r>
    </w:p>
    <w:p>
      <w:pPr>
        <w:numPr>
          <w:ilvl w:val="0"/>
          <w:numId w:val="1"/>
        </w:numPr>
        <w:spacing w:after="0"/>
        <w:ind w:left="259"/>
      </w:pPr>
      <w:r>
        <w:rPr/>
        <w:t>Required processes have operated long enough to produce credible records for auditor sampling.</w:t>
      </w:r>
    </w:p>
    <w:p>
      <w:pPr>
        <w:numPr>
          <w:ilvl w:val="0"/>
          <w:numId w:val="1"/>
        </w:numPr>
        <w:spacing w:after="0"/>
        <w:ind w:left="259"/>
      </w:pPr>
      <w:r>
        <w:rPr/>
        <w:t>Internal audit has tested the AIMS; findings have owners and corrective actions.</w:t>
      </w:r>
    </w:p>
    <w:p>
      <w:pPr>
        <w:numPr>
          <w:ilvl w:val="0"/>
          <w:numId w:val="1"/>
        </w:numPr>
        <w:spacing w:after="0"/>
        <w:ind w:left="259"/>
      </w:pPr>
      <w:r>
        <w:rPr/>
        <w:t>Management review has considered AIMS performance, risks, audit results, changes, resources, and improvement actions.</w:t>
      </w:r>
    </w:p>
    <w:p>
      <w:pPr>
        <w:numPr>
          <w:ilvl w:val="0"/>
          <w:numId w:val="1"/>
        </w:numPr>
        <w:spacing w:after="40"/>
        <w:ind w:left="259"/>
      </w:pPr>
      <w:r>
        <w:rPr/>
        <w:t>Stage 1 findings are closed or controlled before Stage 2; process owners can explain what they do and show evidence.</w:t>
      </w:r>
    </w:p>
    <w:p>
      <w:pPr>
        <w:pStyle w:val="Heading1"/>
        <w:keepNext/>
      </w:pPr>
      <w:r>
        <w:t>8. Engagement Guardrails</w:t>
      </w:r>
    </w:p>
    <w:p>
      <w:pPr>
        <w:numPr>
          <w:ilvl w:val="0"/>
          <w:numId w:val="1"/>
        </w:numPr>
        <w:spacing w:after="0"/>
        <w:ind w:left="259"/>
      </w:pPr>
      <w:r>
        <w:rPr/>
        <w:t>200 total consulting hours: protect time for January testing and certification support.</w:t>
      </w:r>
    </w:p>
    <w:p>
      <w:pPr>
        <w:numPr>
          <w:ilvl w:val="0"/>
          <w:numId w:val="1"/>
        </w:numPr>
        <w:spacing w:after="0"/>
        <w:ind w:left="259"/>
      </w:pPr>
      <w:r>
        <w:rPr/>
        <w:t>(Example Client) owns implementation and evidence production; our team structures, reviews, tests, and challenges.</w:t>
      </w:r>
    </w:p>
    <w:p>
      <w:pPr>
        <w:numPr>
          <w:ilvl w:val="0"/>
          <w:numId w:val="1"/>
        </w:numPr>
        <w:spacing w:after="0"/>
        <w:ind w:left="259"/>
      </w:pPr>
      <w:r>
        <w:rPr/>
        <w:t>Use existing SOC 2 processes where they genuinely satisfy AIMS requirements rather than creating parallel processes.</w:t>
      </w:r>
    </w:p>
    <w:p>
      <w:pPr>
        <w:numPr>
          <w:ilvl w:val="0"/>
          <w:numId w:val="1"/>
        </w:numPr>
        <w:spacing w:after="0"/>
        <w:ind w:left="259"/>
      </w:pPr>
      <w:r>
        <w:rPr/>
        <w:t>Prefer durable, auditable processes over one-time documents created solely for certification.</w:t>
      </w:r>
    </w:p>
    <w:p>
      <w:pPr>
        <w:numPr>
          <w:ilvl w:val="0"/>
          <w:numId w:val="1"/>
        </w:numPr>
        <w:spacing w:after="40"/>
        <w:ind w:left="259"/>
      </w:pPr>
      <w:r>
        <w:rPr/>
        <w:t>Escalate scope changes, major control redesign, legal/contract questions, or unsupported high-risk claims to the engagement lead.</w:t>
      </w:r>
    </w:p>
    <w:p>
      <w:pPr>
        <w:pStyle w:val="Heading1"/>
        <w:keepNext/>
      </w:pPr>
      <w:r>
        <w:t>9. Key Risks</w:t>
      </w:r>
    </w:p>
    <w:p>
      <w:pPr>
        <w:numPr>
          <w:ilvl w:val="0"/>
          <w:numId w:val="1"/>
        </w:numPr>
        <w:spacing w:after="0"/>
        <w:ind w:left="259"/>
      </w:pPr>
      <w:r>
        <w:rPr/>
        <w:t>Overstated readiness or evidence that reflects design rather than operation.</w:t>
      </w:r>
    </w:p>
    <w:p>
      <w:pPr>
        <w:numPr>
          <w:ilvl w:val="0"/>
          <w:numId w:val="1"/>
        </w:numPr>
        <w:spacing w:after="0"/>
        <w:ind w:left="259"/>
      </w:pPr>
      <w:r>
        <w:rPr/>
        <w:t>Late implementation that leaves too little operating history before Stage 2.</w:t>
      </w:r>
    </w:p>
    <w:p>
      <w:pPr>
        <w:numPr>
          <w:ilvl w:val="0"/>
          <w:numId w:val="1"/>
        </w:numPr>
        <w:spacing w:after="0"/>
        <w:ind w:left="259"/>
      </w:pPr>
      <w:r>
        <w:rPr/>
        <w:t>Slow SME responses, policy approvals, vendor reviews, or contract decisions.</w:t>
      </w:r>
    </w:p>
    <w:p>
      <w:pPr>
        <w:numPr>
          <w:ilvl w:val="0"/>
          <w:numId w:val="1"/>
        </w:numPr>
        <w:spacing w:after="0"/>
        <w:ind w:left="259"/>
      </w:pPr>
      <w:r>
        <w:rPr/>
        <w:t>Internal-audit or management-review slippage.</w:t>
      </w:r>
    </w:p>
    <w:p>
      <w:pPr>
        <w:numPr>
          <w:ilvl w:val="0"/>
          <w:numId w:val="1"/>
        </w:numPr>
        <w:spacing w:after="0"/>
        <w:ind w:left="259"/>
      </w:pPr>
      <w:r>
        <w:rPr/>
        <w:t>Scope creep consuming the 200-hour budget.</w:t>
      </w:r>
    </w:p>
    <w:p>
      <w:pPr>
        <w:numPr>
          <w:ilvl w:val="0"/>
          <w:numId w:val="1"/>
        </w:numPr>
        <w:spacing w:after="40"/>
        <w:ind w:left="259"/>
      </w:pPr>
      <w:r>
        <w:rPr/>
        <w:t>Certification-body scheduling or findings pushing issuance into April.</w:t>
      </w:r>
    </w:p>
    <w:sectPr w:rsidR="00EE3679">
      <w:footerReference w:type="default" r:id="rId7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7058C" w14:textId="77777777" w:rsidR="00964F6B" w:rsidRDefault="00964F6B">
      <w:pPr>
        <w:spacing w:after="0" w:line="240" w:lineRule="auto"/>
      </w:pPr>
      <w:r>
        <w:separator/>
      </w:r>
    </w:p>
  </w:endnote>
  <w:endnote w:type="continuationSeparator" w:id="0">
    <w:p w14:paraId="6A5910EE" w14:textId="77777777" w:rsidR="00964F6B" w:rsidRDefault="00964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EFE1CDC-5F46-4879-B0DD-0F34E5B4B1F7}"/>
  </w:font>
  <w:font w:name="Inter">
    <w:charset w:val="00"/>
    <w:family w:val="auto"/>
    <w:pitch w:val="default"/>
    <w:embedRegular r:id="rId2" w:fontKey="{8CC39F90-7495-4911-AD9F-59B4675C6F84}"/>
    <w:embedBold r:id="rId3" w:fontKey="{810287AF-7C4E-4D7F-8EFB-B02650423880}"/>
    <w:embedItalic r:id="rId4" w:fontKey="{EEEB3C13-F45B-4AB1-BAC5-1154FC36342D}"/>
    <w:embedBoldItalic r:id="rId5" w:fontKey="{977F24E6-AED6-4161-9965-21C20514E3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A5EB9" w14:textId="77777777" w:rsidR="00EE367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ptos" w:eastAsia="Aptos" w:hAnsi="Aptos" w:cs="Aptos"/>
        <w:sz w:val="18"/>
        <w:szCs w:val="18"/>
      </w:rPr>
    </w:pPr>
    <w:r>
      <w:rPr>
        <w:rFonts w:ascii="Aptos" w:eastAsia="Aptos" w:hAnsi="Aptos" w:cs="Aptos"/>
        <w:color w:val="5F6B70"/>
        <w:sz w:val="16"/>
        <w:szCs w:val="16"/>
      </w:rPr>
      <w:t xml:space="preserve">Page </w:t>
    </w:r>
    <w:r>
      <w:rPr>
        <w:rFonts w:ascii="Aptos" w:eastAsia="Aptos" w:hAnsi="Aptos" w:cs="Aptos"/>
        <w:sz w:val="18"/>
        <w:szCs w:val="18"/>
      </w:rPr>
      <w:fldChar w:fldCharType="begin"/>
    </w:r>
    <w:r>
      <w:rPr>
        <w:rFonts w:ascii="Aptos" w:eastAsia="Aptos" w:hAnsi="Aptos" w:cs="Aptos"/>
        <w:sz w:val="18"/>
        <w:szCs w:val="18"/>
      </w:rPr>
      <w:instrText>PAGE</w:instrText>
    </w:r>
    <w:r>
      <w:rPr>
        <w:rFonts w:ascii="Aptos" w:eastAsia="Aptos" w:hAnsi="Aptos" w:cs="Aptos"/>
        <w:sz w:val="18"/>
        <w:szCs w:val="18"/>
      </w:rPr>
      <w:fldChar w:fldCharType="separate"/>
    </w:r>
    <w:r w:rsidR="0017298B">
      <w:rPr>
        <w:rFonts w:ascii="Aptos" w:eastAsia="Aptos" w:hAnsi="Aptos" w:cs="Aptos"/>
        <w:noProof/>
        <w:sz w:val="18"/>
        <w:szCs w:val="18"/>
      </w:rPr>
      <w:t>1</w:t>
    </w:r>
    <w:r>
      <w:rPr>
        <w:rFonts w:ascii="Aptos" w:eastAsia="Aptos" w:hAnsi="Aptos" w:cs="Aptos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8F469" w14:textId="77777777" w:rsidR="00964F6B" w:rsidRDefault="00964F6B">
      <w:pPr>
        <w:spacing w:after="0" w:line="240" w:lineRule="auto"/>
      </w:pPr>
      <w:r>
        <w:separator/>
      </w:r>
    </w:p>
  </w:footnote>
  <w:footnote w:type="continuationSeparator" w:id="0">
    <w:p w14:paraId="471D2A5A" w14:textId="77777777" w:rsidR="00964F6B" w:rsidRDefault="00964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8436F"/>
    <w:multiLevelType w:val="multilevel"/>
    <w:tmpl w:val="98F6B9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4438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679"/>
    <w:rsid w:val="0017298B"/>
    <w:rsid w:val="00964F6B"/>
    <w:rsid w:val="00E54790"/>
    <w:rsid w:val="00EE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4A03"/>
  <w15:docId w15:val="{A741E58B-F5CE-431C-925A-3D4CBE48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63238"/>
        <w:lang w:val="en" w:eastAsia="ja-JP" w:bidi="ar-SA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00"/>
      <w:outlineLvl w:val="0"/>
    </w:pPr>
    <w:rPr>
      <w:b/>
      <w:bCs/>
      <w:color w:val="183B4E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100"/>
      <w:outlineLvl w:val="1"/>
    </w:pPr>
    <w:rPr>
      <w:b/>
      <w:bCs/>
      <w:color w:val="183B4E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120" w:after="100" w:line="240" w:lineRule="auto"/>
    </w:pPr>
    <w:rPr>
      <w:b/>
      <w:bCs/>
      <w:color w:val="183B4E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1122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grc-readiness</cp:lastModifiedBy>
  <cp:revision>1</cp:revision>
  <dcterms:created xsi:type="dcterms:W3CDTF">2026-10-22T12:00:00Z</dcterms:created>
  <dcterms:modified xsi:type="dcterms:W3CDTF">2026-10-22T12:00:00Z</dcterms:modified>
  <dc:title>(Example Client) ISO 42001 Project Brief</dc:title>
  <dc:creator>grc-readiness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