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b/>
          <w:color w:val="2E74B5"/>
          <w:sz w:val="22"/>
        </w:rPr>
        <w:t>PROJECT EDGE / UKACTIVE RESEARCH PROGRAMME</w:t>
      </w:r>
    </w:p>
    <w:p>
      <w:pPr>
        <w:spacing w:before="500" w:after="240"/>
        <w:jc w:val="left"/>
      </w:pPr>
      <w:r>
        <w:rPr>
          <w:rFonts w:ascii="Calibri" w:hAnsi="Calibri"/>
          <w:b/>
          <w:color w:val="1F4D78"/>
          <w:sz w:val="50"/>
        </w:rPr>
        <w:t>Development and Freeze of a Point-in-Time</w:t>
        <w:br/>
        <w:t>Multi-Horizon ETF Rotation Strategy for a UK SIPP</w:t>
      </w:r>
    </w:p>
    <w:p>
      <w:pPr>
        <w:spacing w:after="520"/>
      </w:pPr>
      <w:r>
        <w:rPr>
          <w:rFonts w:ascii="Calibri" w:hAnsi="Calibri"/>
          <w:color w:val="5B6573"/>
          <w:sz w:val="30"/>
        </w:rPr>
        <w:t>Evidence from a Causal Industry-and-Theme ETF Universe, 2017–2026</w:t>
      </w:r>
    </w:p>
    <w:tbl>
      <w:tblPr>
        <w:tblW w:type="auto" w:w="0"/>
        <w:jc w:val="left"/>
        <w:tblLayout w:type="fixed"/>
        <w:tblLook w:firstColumn="1" w:firstRow="1" w:lastColumn="0" w:lastRow="0" w:noHBand="0" w:noVBand="1" w:val="04A0"/>
      </w:tblPr>
      <w:tblGrid>
        <w:gridCol w:w="2381"/>
        <w:gridCol w:w="6803"/>
      </w:tblGrid>
      <w:tr>
        <w:tc>
          <w:tcPr>
            <w:tcW w:type="dxa" w:w="4876"/>
            <w:shd w:fill="F4F6F9"/>
            <w:tcMar>
              <w:top w:w="80" w:type="dxa"/>
              <w:start w:w="120" w:type="dxa"/>
              <w:bottom w:w="80" w:type="dxa"/>
              <w:end w:w="120" w:type="dxa"/>
            </w:tcMar>
            <w:vAlign w:val="center"/>
          </w:tcPr>
          <w:p>
            <w:pPr>
              <w:spacing w:after="40"/>
            </w:pPr>
            <w:r>
              <w:rPr>
                <w:rFonts w:ascii="Calibri" w:hAnsi="Calibri"/>
                <w:b/>
                <w:sz w:val="18"/>
              </w:rPr>
              <w:t>Paper version</w:t>
            </w:r>
          </w:p>
        </w:tc>
        <w:tc>
          <w:tcPr>
            <w:tcW w:type="dxa" w:w="4876"/>
            <w:tcMar>
              <w:top w:w="80" w:type="dxa"/>
              <w:start w:w="120" w:type="dxa"/>
              <w:bottom w:w="80" w:type="dxa"/>
              <w:end w:w="120" w:type="dxa"/>
            </w:tcMar>
            <w:vAlign w:val="center"/>
          </w:tcPr>
          <w:p>
            <w:pPr>
              <w:spacing w:after="40"/>
            </w:pPr>
            <w:r>
              <w:rPr>
                <w:rFonts w:ascii="Calibri" w:hAnsi="Calibri"/>
                <w:sz w:val="18"/>
              </w:rPr>
              <w:t>1.0</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Generation date</w:t>
            </w:r>
          </w:p>
        </w:tc>
        <w:tc>
          <w:tcPr>
            <w:tcW w:type="dxa" w:w="4876"/>
            <w:tcMar>
              <w:top w:w="80" w:type="dxa"/>
              <w:start w:w="120" w:type="dxa"/>
              <w:bottom w:w="80" w:type="dxa"/>
              <w:end w:w="120" w:type="dxa"/>
            </w:tcMar>
            <w:vAlign w:val="center"/>
          </w:tcPr>
          <w:p>
            <w:pPr>
              <w:spacing w:after="40"/>
            </w:pPr>
            <w:r>
              <w:rPr>
                <w:rFonts w:ascii="Calibri" w:hAnsi="Calibri"/>
                <w:sz w:val="18"/>
              </w:rPr>
              <w:t>2026-08-27</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Historical cutoff</w:t>
            </w:r>
          </w:p>
        </w:tc>
        <w:tc>
          <w:tcPr>
            <w:tcW w:type="dxa" w:w="4876"/>
            <w:tcMar>
              <w:top w:w="80" w:type="dxa"/>
              <w:start w:w="120" w:type="dxa"/>
              <w:bottom w:w="80" w:type="dxa"/>
              <w:end w:w="120" w:type="dxa"/>
            </w:tcMar>
            <w:vAlign w:val="center"/>
          </w:tcPr>
          <w:p>
            <w:pPr>
              <w:spacing w:after="40"/>
            </w:pPr>
            <w:r>
              <w:rPr>
                <w:rFonts w:ascii="Calibri" w:hAnsi="Calibri"/>
                <w:sz w:val="18"/>
              </w:rPr>
              <w:t>2026-08-21</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Frozen model</w:t>
            </w:r>
          </w:p>
        </w:tc>
        <w:tc>
          <w:tcPr>
            <w:tcW w:type="dxa" w:w="4876"/>
            <w:tcMar>
              <w:top w:w="80" w:type="dxa"/>
              <w:start w:w="120" w:type="dxa"/>
              <w:bottom w:w="80" w:type="dxa"/>
              <w:end w:w="120" w:type="dxa"/>
            </w:tcMar>
            <w:vAlign w:val="center"/>
          </w:tcPr>
          <w:p>
            <w:pPr>
              <w:spacing w:after="40"/>
            </w:pPr>
            <w:r>
              <w:rPr>
                <w:rFonts w:ascii="Calibri" w:hAnsi="Calibri"/>
                <w:sz w:val="18"/>
              </w:rPr>
              <w:t>INDUSTRY_PLUS_THEME | M2_BASE | TOP7 | MONTHLY | CASH0_ALWAYS_INVESTED | EQUAL</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Evidence classification</w:t>
            </w:r>
          </w:p>
        </w:tc>
        <w:tc>
          <w:tcPr>
            <w:tcW w:type="dxa" w:w="4876"/>
            <w:tcMar>
              <w:top w:w="80" w:type="dxa"/>
              <w:start w:w="120" w:type="dxa"/>
              <w:bottom w:w="80" w:type="dxa"/>
              <w:end w:w="120" w:type="dxa"/>
            </w:tcMar>
            <w:vAlign w:val="center"/>
          </w:tcPr>
          <w:p>
            <w:pPr>
              <w:spacing w:after="40"/>
            </w:pPr>
            <w:r>
              <w:rPr>
                <w:rFonts w:ascii="Calibri" w:hAnsi="Calibri"/>
                <w:sz w:val="18"/>
              </w:rPr>
              <w:t>E2_DEVELOPMENTAL</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Repository source</w:t>
            </w:r>
          </w:p>
        </w:tc>
        <w:tc>
          <w:tcPr>
            <w:tcW w:type="dxa" w:w="4876"/>
            <w:tcMar>
              <w:top w:w="80" w:type="dxa"/>
              <w:start w:w="120" w:type="dxa"/>
              <w:bottom w:w="80" w:type="dxa"/>
              <w:end w:w="120" w:type="dxa"/>
            </w:tcMar>
            <w:vAlign w:val="center"/>
          </w:tcPr>
          <w:p>
            <w:pPr>
              <w:spacing w:after="40"/>
            </w:pPr>
            <w:r>
              <w:rPr>
                <w:rFonts w:ascii="Calibri" w:hAnsi="Calibri"/>
                <w:sz w:val="18"/>
              </w:rPr>
              <w:t>df30c9be430c4a746a6e3ec0d97690612badd4fa</w:t>
            </w:r>
          </w:p>
        </w:tc>
      </w:tr>
      <w:tr>
        <w:tc>
          <w:tcPr>
            <w:tcW w:type="dxa" w:w="4876"/>
            <w:shd w:fill="F4F6F9"/>
            <w:tcMar>
              <w:top w:w="80" w:type="dxa"/>
              <w:start w:w="120" w:type="dxa"/>
              <w:bottom w:w="80" w:type="dxa"/>
              <w:end w:w="120" w:type="dxa"/>
            </w:tcMar>
            <w:vAlign w:val="center"/>
          </w:tcPr>
          <w:p>
            <w:pPr>
              <w:spacing w:after="40"/>
            </w:pPr>
            <w:r>
              <w:rPr>
                <w:rFonts w:ascii="Calibri" w:hAnsi="Calibri"/>
                <w:b/>
                <w:sz w:val="18"/>
              </w:rPr>
              <w:t>Live readiness</w:t>
            </w:r>
          </w:p>
        </w:tc>
        <w:tc>
          <w:tcPr>
            <w:tcW w:type="dxa" w:w="4876"/>
            <w:tcMar>
              <w:top w:w="80" w:type="dxa"/>
              <w:start w:w="120" w:type="dxa"/>
              <w:bottom w:w="80" w:type="dxa"/>
              <w:end w:w="120" w:type="dxa"/>
            </w:tcMar>
            <w:vAlign w:val="center"/>
          </w:tcPr>
          <w:p>
            <w:pPr>
              <w:spacing w:after="40"/>
            </w:pPr>
            <w:r>
              <w:rPr>
                <w:rFonts w:ascii="Calibri" w:hAnsi="Calibri"/>
                <w:sz w:val="18"/>
              </w:rPr>
              <w:t>AWAITING_CURRENT_HOLDINGS_INPUT; pilot_operationally_ready=false</w:t>
            </w:r>
          </w:p>
        </w:tc>
      </w:tr>
    </w:tbl>
    <w:p>
      <w:pPr>
        <w:spacing w:before="480" w:after="0"/>
        <w:ind w:left="255" w:right="255"/>
        <w:shd w:fill="EAF2F8"/>
      </w:pPr>
      <w:r>
        <w:rPr>
          <w:b/>
          <w:color w:val="1F4D78"/>
          <w:sz w:val="20"/>
        </w:rPr>
        <w:t>NON-DEPLOYMENT STATEMENT  —  This paper documents a frozen developmental research model and a conditional pilot design. It is not an investment recommendation, does not create broker orders, and does not establish operational readiness.</w:t>
      </w:r>
    </w:p>
    <w:p>
      <w:r>
        <w:br w:type="page"/>
      </w:r>
    </w:p>
    <w:p>
      <w:pPr>
        <w:pStyle w:val="Heading1"/>
        <w:spacing w:before="0"/>
      </w:pPr>
      <w:r>
        <w:t>Contents</w:t>
      </w:r>
    </w:p>
    <w:p>
      <w:r>
        <w:fldChar w:fldCharType="begin"/>
        <w:instrText xml:space="preserve"> TOC \o "1-1" \h \z </w:instrText>
        <w:fldChar w:fldCharType="separate">
          <w:t>Update field to display table of contents.</w:t>
        </w:fldChar>
        <w:fldChar w:fldCharType="end"/>
      </w:r>
    </w:p>
    <w:p>
      <w:r>
        <w:br w:type="page"/>
      </w:r>
    </w:p>
    <w:p>
      <w:pPr>
        <w:pStyle w:val="Heading1"/>
      </w:pPr>
      <w:r>
        <w:t>Abstract</w:t>
      </w:r>
    </w:p>
    <w:p>
      <w:r>
        <w:t>This paper documents the development and freeze of UKACTIVE, a long-only exchange-traded-fund rotation model intended for possible use as a limited active sleeve in a United Kingdom self-invested personal pension. The investigation asked whether benchmark-relative price history could rank economically distinct industry and thematic ETF exposure families in a causal, implementable way; whether any ranking information could survive realistic costs; and whether cash, trend or regime controls could improve the result. The historical evidence ends on 2026-08-21. A reconstructed London Stock Exchange session calendar, launch-aware eligibility, non-filled missing data, economic-family mappings and next-session execution rules produced a common executable comparison window from 2017-03-01 to 2026-08-21.</w:t>
      </w:r>
    </w:p>
    <w:p>
      <w:r>
        <w:t>The frozen signal, M2, combines cross-sectional percentiles of benchmark-relative total returns over 21, 42, 63, 126 and 252 sessions with weights 0.10, 0.15, 0.25, 0.30 and 0.20. It selects seven eligible families monthly, weights them equally and remains invested. Historical results are net of 20 basis points one-way friction and fixed dealing charges. On the common window, standalone M2 compounded at 13.14% per year, versus 11.60% for global developed equities and 11.53% for the contemporaneous equal-weight opportunity pool; its maximum drawdown was −23.53%, Ulcer Index 8.20%, annualised volatility 18.49% and longest underwater period 857 days. Over the latest five years, M2 compounded at 13.62%, 2.10 percentage points above global developed equities. These point estimates are economically interesting but uncertain: six-month block-bootstrap intervals for annualised excess included zero.</w:t>
      </w:r>
    </w:p>
    <w:p>
      <w:r>
        <w:t>Matched random selection and rank shuffling placed the historical candidate above the 99th percentile for diagnostic CAGR, indicating meaningful ranking information relative to random choice. Adverse evidence is equally important. No broad false-discovery-adjusted signal result survived; pre-2020 and ex-2025 comparisons reversed; deleting the three largest holding spells reversed the incremental result; daily and weekly implementations were cost-fragile; CASH1 failed on full history despite favourable recent results; and no dynamic defensive or regime policy passed. M2 was therefore frozen to stop further exposed-history optimisation and proposed only as a 10% whole-SIPP pilot sleeve within a 65% global-core / 25% defensive wrapper, subject to operational readiness and explicit approval. It is not classified as independently confirmed alpha. Prospective evidence is required.</w:t>
      </w:r>
    </w:p>
    <w:p>
      <w:r>
        <w:rPr>
          <w:b/>
        </w:rPr>
        <w:t>Keywords:</w:t>
      </w:r>
      <w:r>
        <w:t xml:space="preserve"> ETF rotation; industry momentum; thematic investing; cross-sectional momentum; point-in-time data; UK SIPP; transaction costs; drawdown; right-tail returns; backtest overfitting.</w:t>
      </w:r>
    </w:p>
    <w:p>
      <w:pPr>
        <w:pStyle w:val="Heading1"/>
      </w:pPr>
      <w:r>
        <w:t>Evidence and citation convention</w:t>
      </w:r>
    </w:p>
    <w:p>
      <w:r>
        <w:t xml:space="preserve">Internal citations use an evidence-matrix identifier followed by stage, exact artefact, commit and row or field. For example, “Internal source [BR-7]: A4D, </w:t>
      </w:r>
      <w:r>
        <w:rPr>
          <w:rFonts w:ascii="Consolas" w:hAnsi="Consolas"/>
          <w:color w:val="1F4D78"/>
        </w:rPr>
        <w:t>UKACTIVE_A4D_BREADTH_RESULTS.csv</w:t>
      </w:r>
      <w:r>
        <w:t xml:space="preserve">, commit </w:t>
      </w:r>
      <w:r>
        <w:rPr>
          <w:rFonts w:ascii="Consolas" w:hAnsi="Consolas"/>
          <w:color w:val="1F4D78"/>
        </w:rPr>
        <w:t>f411e0d169640a5120decee6940dc8a5769c3b5e</w:t>
      </w:r>
      <w:r>
        <w:t xml:space="preserve">, </w:t>
      </w:r>
      <w:r>
        <w:rPr>
          <w:rFonts w:ascii="Consolas" w:hAnsi="Consolas"/>
          <w:color w:val="1F4D78"/>
        </w:rPr>
        <w:t>TOP7</w:t>
      </w:r>
      <w:r>
        <w:t xml:space="preserve">, full-history and latest-five-year rows.” The complete mapping, including sample and metric definition, is in </w:t>
      </w:r>
      <w:r>
        <w:rPr>
          <w:rFonts w:ascii="Consolas" w:hAnsi="Consolas"/>
          <w:color w:val="1F4D78"/>
        </w:rPr>
        <w:t>UKACTIVE_PAPER_SOURCE_EVIDENCE_MATRIX.csv</w:t>
      </w:r>
      <w:r>
        <w:t xml:space="preserve">. Where a machine-readable decision or scorecard exists it takes precedence over a narrative report. External literature uses citation keys from </w:t>
      </w:r>
      <w:r>
        <w:rPr>
          <w:rFonts w:ascii="Consolas" w:hAnsi="Consolas"/>
          <w:color w:val="1F4D78"/>
        </w:rPr>
        <w:t>UKACTIVE_ETF_ROTATION_REFERENCES.bib</w:t>
      </w:r>
      <w:r>
        <w:t>.</w:t>
      </w:r>
    </w:p>
    <w:p>
      <w:pPr>
        <w:pStyle w:val="Heading1"/>
      </w:pPr>
      <w:r>
        <w:t>1. Introduction</w:t>
      </w:r>
    </w:p>
    <w:p>
      <w:r>
        <w:t>UKACTIVE began with a practical retirement-portfolio question rather than with a preferred signal. A UK self-invested personal pension (SIPP) can hold a broad global equity core cheaply, but a static global index cannot deliberately tilt toward industries or themes experiencing persistent relative leadership. Exchange-traded funds make such exposures accessible in discrete, auditable holdings. They also introduce complications: many funds are young; one economic exposure can have several listings or share classes; current broker availability says little about historical availability; London trading dates differ from vendor calendars; apparently small turnover differences can dominate a retail-scale signal; and thematic returns may be concentrated in a few exceptional trends.</w:t>
      </w:r>
    </w:p>
    <w:p>
      <w:r>
        <w:t>The research objective was consequently dual. The first objective was to test whether historical relative strength contains causal cross-sectional ranking information among investable economic exposures. The second was to determine whether that information can become a defensible pension implementation after costs and path risk. These are different propositions. A signal can rank future returns better than chance yet be too concentrated, intermittent or costly to deserve a large allocation. Conversely, a static reduction in equity exposure can reduce drawdown without demonstrating any timing ability.</w:t>
      </w:r>
    </w:p>
    <w:p>
      <w:r>
        <w:t>Cash was admitted from the outset as a genuine alternative because a long-only pension design need not remain fully exposed when evidence supports defence. Daily, weekly and monthly reviews were also initially allowed: higher frequency can react sooner, while lower frequency can suppress noise and cost. The research did not assume which trade-off would prevail. It tested frequency only after narrowing the signal and breadth questions, then evaluated cash rules, weighting, exits, matched-exposure controls and causal regimes.</w:t>
      </w:r>
    </w:p>
    <w:p>
      <w:r>
        <w:t>The practical focus ultimately shifted from an all-or-nothing active portfolio to a bounded sleeve. That shift did not redefine the scientific object. Three objects must remain separate throughout:</w:t>
      </w:r>
    </w:p>
    <w:p>
      <w:pPr>
        <w:pStyle w:val="ListNumber"/>
      </w:pPr>
      <w:r>
        <w:rPr>
          <w:b/>
        </w:rPr>
        <w:t>Scientific active strategy:</w:t>
      </w:r>
      <w:r>
        <w:t xml:space="preserve"> </w:t>
      </w:r>
      <w:r>
        <w:rPr>
          <w:rFonts w:ascii="Consolas" w:hAnsi="Consolas"/>
          <w:color w:val="1F4D78"/>
        </w:rPr>
        <w:t>M2_BASE | TOP7 | MONTHLY | CASH0_ALWAYS_INVESTED | EQUAL</w:t>
      </w:r>
      <w:r>
        <w:t>, a 100% standalone diagnostic portfolio used to study the ranking process.</w:t>
      </w:r>
    </w:p>
    <w:p>
      <w:pPr>
        <w:pStyle w:val="ListNumber"/>
      </w:pPr>
      <w:r>
        <w:rPr>
          <w:b/>
        </w:rPr>
        <w:t>Initial whole-SIPP pilot wrapper:</w:t>
      </w:r>
      <w:r>
        <w:t xml:space="preserve"> 65% SWDA/global developed equity core, 10% frozen M2 rotation and 25% strategic/tactical defensive assets. This is a risk budget, not part of M2.</w:t>
      </w:r>
    </w:p>
    <w:p>
      <w:pPr>
        <w:pStyle w:val="ListNumber"/>
      </w:pPr>
      <w:r>
        <w:rPr>
          <w:b/>
        </w:rPr>
        <w:t>Capital-continuity control:</w:t>
      </w:r>
      <w:r>
        <w:t xml:space="preserve"> 75% SWDA, 25% defensive assets and 0% M2. This is the static fallback and contains no active edge claim.</w:t>
      </w:r>
    </w:p>
    <w:p>
      <w:r>
        <w:t>The paper’s contribution is narrow: it gives a self-contained, traceable account of how one causal ETF-family ranking model was constructed, subjected to adverse tests, selected from preregistered developmental alternatives, frozen, and bounded for prospective observation. It does not claim that momentum is generally profitable, that the M2 mechanism is proven, or that the historical result will persist. Published evidence supplies an external prior and mechanism context; it is not UKACTIVE evidence.</w:t>
      </w:r>
    </w:p>
    <w:p>
      <w:pPr>
        <w:pStyle w:val="Heading1"/>
      </w:pPr>
      <w:r>
        <w:t>2. Research aims and questions</w:t>
      </w:r>
    </w:p>
    <w:p>
      <w:r>
        <w:t>The programme’s original question—whether relative momentum could identify attractive ETF exposures—evolved as data defects and implementation constraints became visible. The final questions and dispositions were:</w:t>
      </w:r>
    </w:p>
    <w:p>
      <w:pPr>
        <w:pStyle w:val="ListNumber"/>
      </w:pPr>
      <w:r>
        <w:rPr>
          <w:b/>
        </w:rPr>
        <w:t>Does benchmark-relative, multi-horizon ETF momentum contain causal cross-sectional ranking information?</w:t>
      </w:r>
      <w:r>
        <w:t xml:space="preserve"> Developmental answer: yes relative to matched random choice and in several IC/top-tail diagnostics, but not as a broad false-discovery-adjusted statistical result.</w:t>
      </w:r>
    </w:p>
    <w:p>
      <w:pPr>
        <w:pStyle w:val="ListNumber"/>
      </w:pPr>
      <w:r>
        <w:rPr>
          <w:b/>
        </w:rPr>
        <w:t>Is the ranking economically monetisable after realistic costs?</w:t>
      </w:r>
      <w:r>
        <w:t xml:space="preserve"> Developmental answer: historically yes for the frozen monthly TOP7 portfolio at baseline costs; the margin materially weakens at doubled costs.</w:t>
      </w:r>
    </w:p>
    <w:p>
      <w:pPr>
        <w:pStyle w:val="ListNumber"/>
      </w:pPr>
      <w:r>
        <w:rPr>
          <w:b/>
        </w:rPr>
        <w:t>What breadth captures the effect without excessive concentration or dilution?</w:t>
      </w:r>
      <w:r>
        <w:t xml:space="preserve"> Answer: a TOP6–TOP9 region, with TOP7 selected as its representative rather than its maximum-return cell.</w:t>
      </w:r>
    </w:p>
    <w:p>
      <w:pPr>
        <w:pStyle w:val="ListNumber"/>
      </w:pPr>
      <w:r>
        <w:rPr>
          <w:b/>
        </w:rPr>
        <w:t>Which rebalance frequency provides the best after-cost balance?</w:t>
      </w:r>
      <w:r>
        <w:t xml:space="preserve"> Answer: monthly. Daily was dominated by friction and noise; weekly remained plausible but fragile.</w:t>
      </w:r>
    </w:p>
    <w:p>
      <w:pPr>
        <w:pStyle w:val="ListNumber"/>
      </w:pPr>
      <w:r>
        <w:rPr>
          <w:b/>
        </w:rPr>
        <w:t>Can cash or regime rules reduce drawdown without destroying compounded return?</w:t>
      </w:r>
      <w:r>
        <w:t xml:space="preserve"> Answer: none of the tested rules passed. Reduced exposure sometimes lowered MDD, but timing value was not established.</w:t>
      </w:r>
    </w:p>
    <w:p>
      <w:pPr>
        <w:pStyle w:val="ListNumber"/>
      </w:pPr>
      <w:r>
        <w:rPr>
          <w:b/>
        </w:rPr>
        <w:t>Is the result persistent or driven by a small number of years, themes or holding spells?</w:t>
      </w:r>
      <w:r>
        <w:t xml:space="preserve"> Answer: materially episodic and right-tail dependent. Single-family removal did not reverse the full result, but joint removal of leading contributors and exclusion of 2025 did.</w:t>
      </w:r>
    </w:p>
    <w:p>
      <w:pPr>
        <w:pStyle w:val="ListNumber"/>
      </w:pPr>
      <w:r>
        <w:rPr>
          <w:b/>
        </w:rPr>
        <w:t>Does the strategy beat random selection from the same opportunity set?</w:t>
      </w:r>
      <w:r>
        <w:t xml:space="preserve"> Answer: yes in the completed matched-count and rank-shuffle falsifications, at above the 99th diagnostic CAGR percentile.</w:t>
      </w:r>
    </w:p>
    <w:p>
      <w:pPr>
        <w:pStyle w:val="ListNumber"/>
      </w:pPr>
      <w:r>
        <w:rPr>
          <w:b/>
        </w:rPr>
        <w:t>Does a limited M2 sleeve add value to a global-equity core?</w:t>
      </w:r>
      <w:r>
        <w:t xml:space="preserve"> Historical answer: a 10% sleeve added a small after-cost CAGR increment to the static 75/25 control, concentrated in leadership years; prospective usefulness remains unconfirmed.</w:t>
      </w:r>
    </w:p>
    <w:p>
      <w:pPr>
        <w:pStyle w:val="ListNumber"/>
      </w:pPr>
      <w:r>
        <w:rPr>
          <w:b/>
        </w:rPr>
        <w:t>What is the most defensible frozen implementation for a UK SIPP?</w:t>
      </w:r>
      <w:r>
        <w:t xml:space="preserve"> Answer: the exact M2 monthly TOP7 equal-weight signal, used only within the 65/10/25 wrapper after operational readiness and explicit approval.</w:t>
      </w:r>
    </w:p>
    <w:p>
      <w:r>
        <w:t>Several questions remain unresolved: the out-of-sample persistence of the ranking; actual execution shortfall; whether the right-tail process recurs across independent leadership episodes; whether current implementation lines remain continuously available; and whether 15% or 25% whole-SIPP allocations would be justified. No untouched historical holdout or independent E3 confirmation exists.</w:t>
      </w:r>
    </w:p>
    <w:p>
      <w:pPr>
        <w:pStyle w:val="Heading1"/>
      </w:pPr>
      <w:r>
        <w:t>3. Research lineage and decision chronology</w:t>
      </w:r>
    </w:p>
    <w:p>
      <w:r>
        <w:t>The lineage is a sequence of corrections and falsifications, not a single backtest. Table 1 condenses the complete path. Stage labels group closely related remediations where their scientific function was the same; the supplement provides individual manifests and hashes.</w:t>
      </w:r>
    </w:p>
    <w:p>
      <w:pPr>
        <w:keepNext/>
        <w:spacing w:before="160" w:after="80"/>
      </w:pPr>
      <w:r>
        <w:rPr>
          <w:b/>
        </w:rPr>
        <w:t>Table 1. Research lineage and stage decisions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Stage</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Objective and new capability</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Principal test or defect</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Decision</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Consequence</w:t>
            </w:r>
          </w:p>
        </w:tc>
      </w:tr>
      <w:tr>
        <w:tc>
          <w:tcPr>
            <w:tcW w:type="dxa" w:w="1950"/>
            <w:tcMar>
              <w:top w:w="70" w:type="dxa"/>
              <w:start w:w="85" w:type="dxa"/>
              <w:bottom w:w="70" w:type="dxa"/>
              <w:end w:w="85" w:type="dxa"/>
            </w:tcMar>
            <w:vAlign w:val="center"/>
          </w:tcPr>
          <w:p>
            <w:pPr>
              <w:spacing w:before="0" w:after="0" w:line="240" w:lineRule="auto"/>
            </w:pPr>
            <w:r/>
            <w:r>
              <w:rPr>
                <w:sz w:val="17"/>
              </w:rPr>
              <w:t>A0/A1</w:t>
            </w:r>
          </w:p>
        </w:tc>
        <w:tc>
          <w:tcPr>
            <w:tcW w:type="dxa" w:w="1950"/>
            <w:tcMar>
              <w:top w:w="70" w:type="dxa"/>
              <w:start w:w="85" w:type="dxa"/>
              <w:bottom w:w="70" w:type="dxa"/>
              <w:end w:w="85" w:type="dxa"/>
            </w:tcMar>
            <w:vAlign w:val="center"/>
          </w:tcPr>
          <w:p>
            <w:pPr>
              <w:spacing w:before="0" w:after="0" w:line="240" w:lineRule="auto"/>
            </w:pPr>
            <w:r/>
            <w:r>
              <w:rPr>
                <w:sz w:val="17"/>
              </w:rPr>
              <w:t>Discover LSE listings; map share classes and economic families</w:t>
            </w:r>
          </w:p>
        </w:tc>
        <w:tc>
          <w:tcPr>
            <w:tcW w:type="dxa" w:w="1950"/>
            <w:tcMar>
              <w:top w:w="70" w:type="dxa"/>
              <w:start w:w="85" w:type="dxa"/>
              <w:bottom w:w="70" w:type="dxa"/>
              <w:end w:w="85" w:type="dxa"/>
            </w:tcMar>
            <w:vAlign w:val="center"/>
          </w:tcPr>
          <w:p>
            <w:pPr>
              <w:spacing w:before="0" w:after="0" w:line="240" w:lineRule="auto"/>
            </w:pPr>
            <w:r/>
            <w:r>
              <w:rPr>
                <w:sz w:val="17"/>
              </w:rPr>
              <w:t>Current-universe census and taxonomy</w:t>
            </w:r>
          </w:p>
        </w:tc>
        <w:tc>
          <w:tcPr>
            <w:tcW w:type="dxa" w:w="1950"/>
            <w:tcMar>
              <w:top w:w="70" w:type="dxa"/>
              <w:start w:w="85" w:type="dxa"/>
              <w:bottom w:w="70" w:type="dxa"/>
              <w:end w:w="85" w:type="dxa"/>
            </w:tcMar>
            <w:vAlign w:val="center"/>
          </w:tcPr>
          <w:p>
            <w:pPr>
              <w:spacing w:before="0" w:after="0" w:line="240" w:lineRule="auto"/>
            </w:pPr>
            <w:r/>
            <w:r>
              <w:rPr>
                <w:sz w:val="17"/>
              </w:rPr>
              <w:t>Data foundation only</w:t>
            </w:r>
          </w:p>
        </w:tc>
        <w:tc>
          <w:tcPr>
            <w:tcW w:type="dxa" w:w="1950"/>
            <w:tcMar>
              <w:top w:w="70" w:type="dxa"/>
              <w:start w:w="85" w:type="dxa"/>
              <w:bottom w:w="70" w:type="dxa"/>
              <w:end w:w="85" w:type="dxa"/>
            </w:tcMar>
            <w:vAlign w:val="center"/>
          </w:tcPr>
          <w:p>
            <w:pPr>
              <w:spacing w:before="0" w:after="0" w:line="240" w:lineRule="auto"/>
            </w:pPr>
            <w:r/>
            <w:r>
              <w:rPr>
                <w:sz w:val="17"/>
              </w:rPr>
              <w:t>Build historical total-return and cash panels</w:t>
            </w:r>
          </w:p>
        </w:tc>
      </w:tr>
      <w:tr>
        <w:tc>
          <w:tcPr>
            <w:tcW w:type="dxa" w:w="1950"/>
            <w:tcMar>
              <w:top w:w="70" w:type="dxa"/>
              <w:start w:w="85" w:type="dxa"/>
              <w:bottom w:w="70" w:type="dxa"/>
              <w:end w:w="85" w:type="dxa"/>
            </w:tcMar>
            <w:vAlign w:val="center"/>
          </w:tcPr>
          <w:p>
            <w:pPr>
              <w:spacing w:before="0" w:after="0" w:line="240" w:lineRule="auto"/>
            </w:pPr>
            <w:r/>
            <w:r>
              <w:rPr>
                <w:sz w:val="17"/>
              </w:rPr>
              <w:t>A2</w:t>
            </w:r>
          </w:p>
        </w:tc>
        <w:tc>
          <w:tcPr>
            <w:tcW w:type="dxa" w:w="1950"/>
            <w:tcMar>
              <w:top w:w="70" w:type="dxa"/>
              <w:start w:w="85" w:type="dxa"/>
              <w:bottom w:w="70" w:type="dxa"/>
              <w:end w:w="85" w:type="dxa"/>
            </w:tcMar>
            <w:vAlign w:val="center"/>
          </w:tcPr>
          <w:p>
            <w:pPr>
              <w:spacing w:before="0" w:after="0" w:line="240" w:lineRule="auto"/>
            </w:pPr>
            <w:r/>
            <w:r>
              <w:rPr>
                <w:sz w:val="17"/>
              </w:rPr>
              <w:t>Acquire, normalise and validate histories</w:t>
            </w:r>
          </w:p>
        </w:tc>
        <w:tc>
          <w:tcPr>
            <w:tcW w:type="dxa" w:w="1950"/>
            <w:tcMar>
              <w:top w:w="70" w:type="dxa"/>
              <w:start w:w="85" w:type="dxa"/>
              <w:bottom w:w="70" w:type="dxa"/>
              <w:end w:w="85" w:type="dxa"/>
            </w:tcMar>
            <w:vAlign w:val="center"/>
          </w:tcPr>
          <w:p>
            <w:pPr>
              <w:spacing w:before="0" w:after="0" w:line="240" w:lineRule="auto"/>
            </w:pPr>
            <w:r/>
            <w:r>
              <w:rPr>
                <w:sz w:val="17"/>
              </w:rPr>
              <w:t>Coverage, stale/missing observations, GBP conversion</w:t>
            </w:r>
          </w:p>
        </w:tc>
        <w:tc>
          <w:tcPr>
            <w:tcW w:type="dxa" w:w="1950"/>
            <w:tcMar>
              <w:top w:w="70" w:type="dxa"/>
              <w:start w:w="85" w:type="dxa"/>
              <w:bottom w:w="70" w:type="dxa"/>
              <w:end w:w="85" w:type="dxa"/>
            </w:tcMar>
            <w:vAlign w:val="center"/>
          </w:tcPr>
          <w:p>
            <w:pPr>
              <w:spacing w:before="0" w:after="0" w:line="240" w:lineRule="auto"/>
            </w:pPr>
            <w:r/>
            <w:r>
              <w:rPr>
                <w:sz w:val="17"/>
              </w:rPr>
              <w:t>Conditionally ready</w:t>
            </w:r>
          </w:p>
        </w:tc>
        <w:tc>
          <w:tcPr>
            <w:tcW w:type="dxa" w:w="1950"/>
            <w:tcMar>
              <w:top w:w="70" w:type="dxa"/>
              <w:start w:w="85" w:type="dxa"/>
              <w:bottom w:w="70" w:type="dxa"/>
              <w:end w:w="85" w:type="dxa"/>
            </w:tcMar>
            <w:vAlign w:val="center"/>
          </w:tcPr>
          <w:p>
            <w:pPr>
              <w:spacing w:before="0" w:after="0" w:line="240" w:lineRule="auto"/>
            </w:pPr>
            <w:r/>
            <w:r>
              <w:rPr>
                <w:sz w:val="17"/>
              </w:rPr>
              <w:t>Attempt causal signal work</w:t>
            </w:r>
          </w:p>
        </w:tc>
      </w:tr>
      <w:tr>
        <w:tc>
          <w:tcPr>
            <w:tcW w:type="dxa" w:w="1950"/>
            <w:tcMar>
              <w:top w:w="70" w:type="dxa"/>
              <w:start w:w="85" w:type="dxa"/>
              <w:bottom w:w="70" w:type="dxa"/>
              <w:end w:w="85" w:type="dxa"/>
            </w:tcMar>
            <w:vAlign w:val="center"/>
          </w:tcPr>
          <w:p>
            <w:pPr>
              <w:spacing w:before="0" w:after="0" w:line="240" w:lineRule="auto"/>
            </w:pPr>
            <w:r/>
            <w:r>
              <w:rPr>
                <w:sz w:val="17"/>
              </w:rPr>
              <w:t>A3R0</w:t>
            </w:r>
          </w:p>
        </w:tc>
        <w:tc>
          <w:tcPr>
            <w:tcW w:type="dxa" w:w="1950"/>
            <w:tcMar>
              <w:top w:w="70" w:type="dxa"/>
              <w:start w:w="85" w:type="dxa"/>
              <w:bottom w:w="70" w:type="dxa"/>
              <w:end w:w="85" w:type="dxa"/>
            </w:tcMar>
            <w:vAlign w:val="center"/>
          </w:tcPr>
          <w:p>
            <w:pPr>
              <w:spacing w:before="0" w:after="0" w:line="240" w:lineRule="auto"/>
            </w:pPr>
            <w:r/>
            <w:r>
              <w:rPr>
                <w:sz w:val="17"/>
              </w:rPr>
              <w:t>Audit point-in-time family histories</w:t>
            </w:r>
          </w:p>
        </w:tc>
        <w:tc>
          <w:tcPr>
            <w:tcW w:type="dxa" w:w="1950"/>
            <w:tcMar>
              <w:top w:w="70" w:type="dxa"/>
              <w:start w:w="85" w:type="dxa"/>
              <w:bottom w:w="70" w:type="dxa"/>
              <w:end w:w="85" w:type="dxa"/>
            </w:tcMar>
            <w:vAlign w:val="center"/>
          </w:tcPr>
          <w:p>
            <w:pPr>
              <w:spacing w:before="0" w:after="0" w:line="240" w:lineRule="auto"/>
            </w:pPr>
            <w:r/>
            <w:r>
              <w:rPr>
                <w:sz w:val="17"/>
              </w:rPr>
              <w:t>14 material mismatches</w:t>
            </w:r>
          </w:p>
        </w:tc>
        <w:tc>
          <w:tcPr>
            <w:tcW w:type="dxa" w:w="1950"/>
            <w:tcMar>
              <w:top w:w="70" w:type="dxa"/>
              <w:start w:w="85" w:type="dxa"/>
              <w:bottom w:w="70" w:type="dxa"/>
              <w:end w:w="85" w:type="dxa"/>
            </w:tcMar>
            <w:vAlign w:val="center"/>
          </w:tcPr>
          <w:p>
            <w:pPr>
              <w:spacing w:before="0" w:after="0" w:line="240" w:lineRule="auto"/>
            </w:pPr>
            <w:r/>
            <w:r>
              <w:rPr>
                <w:sz w:val="17"/>
              </w:rPr>
              <w:t>Fail/block</w:t>
            </w:r>
          </w:p>
        </w:tc>
        <w:tc>
          <w:tcPr>
            <w:tcW w:type="dxa" w:w="1950"/>
            <w:tcMar>
              <w:top w:w="70" w:type="dxa"/>
              <w:start w:w="85" w:type="dxa"/>
              <w:bottom w:w="70" w:type="dxa"/>
              <w:end w:w="85" w:type="dxa"/>
            </w:tcMar>
            <w:vAlign w:val="center"/>
          </w:tcPr>
          <w:p>
            <w:pPr>
              <w:spacing w:before="0" w:after="0" w:line="240" w:lineRule="auto"/>
            </w:pPr>
            <w:r/>
            <w:r>
              <w:rPr>
                <w:sz w:val="17"/>
              </w:rPr>
              <w:t>Remediate histories, no proxy</w:t>
            </w:r>
          </w:p>
        </w:tc>
      </w:tr>
      <w:tr>
        <w:tc>
          <w:tcPr>
            <w:tcW w:type="dxa" w:w="1950"/>
            <w:tcMar>
              <w:top w:w="70" w:type="dxa"/>
              <w:start w:w="85" w:type="dxa"/>
              <w:bottom w:w="70" w:type="dxa"/>
              <w:end w:w="85" w:type="dxa"/>
            </w:tcMar>
            <w:vAlign w:val="center"/>
          </w:tcPr>
          <w:p>
            <w:pPr>
              <w:spacing w:before="0" w:after="0" w:line="240" w:lineRule="auto"/>
            </w:pPr>
            <w:r/>
            <w:r>
              <w:rPr>
                <w:sz w:val="17"/>
              </w:rPr>
              <w:t>A2R</w:t>
            </w:r>
          </w:p>
        </w:tc>
        <w:tc>
          <w:tcPr>
            <w:tcW w:type="dxa" w:w="1950"/>
            <w:tcMar>
              <w:top w:w="70" w:type="dxa"/>
              <w:start w:w="85" w:type="dxa"/>
              <w:bottom w:w="70" w:type="dxa"/>
              <w:end w:w="85" w:type="dxa"/>
            </w:tcMar>
            <w:vAlign w:val="center"/>
          </w:tcPr>
          <w:p>
            <w:pPr>
              <w:spacing w:before="0" w:after="0" w:line="240" w:lineRule="auto"/>
            </w:pPr>
            <w:r/>
            <w:r>
              <w:rPr>
                <w:sz w:val="17"/>
              </w:rPr>
              <w:t>Correct mismatches and semantic mappings</w:t>
            </w:r>
          </w:p>
        </w:tc>
        <w:tc>
          <w:tcPr>
            <w:tcW w:type="dxa" w:w="1950"/>
            <w:tcMar>
              <w:top w:w="70" w:type="dxa"/>
              <w:start w:w="85" w:type="dxa"/>
              <w:bottom w:w="70" w:type="dxa"/>
              <w:end w:w="85" w:type="dxa"/>
            </w:tcMar>
            <w:vAlign w:val="center"/>
          </w:tcPr>
          <w:p>
            <w:pPr>
              <w:spacing w:before="0" w:after="0" w:line="240" w:lineRule="auto"/>
            </w:pPr>
            <w:r/>
            <w:r>
              <w:rPr>
                <w:sz w:val="17"/>
              </w:rPr>
              <w:t>13 of 14 resolved; global banks excluded</w:t>
            </w:r>
          </w:p>
        </w:tc>
        <w:tc>
          <w:tcPr>
            <w:tcW w:type="dxa" w:w="1950"/>
            <w:tcMar>
              <w:top w:w="70" w:type="dxa"/>
              <w:start w:w="85" w:type="dxa"/>
              <w:bottom w:w="70" w:type="dxa"/>
              <w:end w:w="85" w:type="dxa"/>
            </w:tcMar>
            <w:vAlign w:val="center"/>
          </w:tcPr>
          <w:p>
            <w:pPr>
              <w:spacing w:before="0" w:after="0" w:line="240" w:lineRule="auto"/>
            </w:pPr>
            <w:r/>
            <w:r>
              <w:rPr>
                <w:sz w:val="17"/>
              </w:rPr>
              <w:t>Pass with one exclusion</w:t>
            </w:r>
          </w:p>
        </w:tc>
        <w:tc>
          <w:tcPr>
            <w:tcW w:type="dxa" w:w="1950"/>
            <w:tcMar>
              <w:top w:w="70" w:type="dxa"/>
              <w:start w:w="85" w:type="dxa"/>
              <w:bottom w:w="70" w:type="dxa"/>
              <w:end w:w="85" w:type="dxa"/>
            </w:tcMar>
            <w:vAlign w:val="center"/>
          </w:tcPr>
          <w:p>
            <w:pPr>
              <w:spacing w:before="0" w:after="0" w:line="240" w:lineRule="auto"/>
            </w:pPr>
            <w:r/>
            <w:r>
              <w:rPr>
                <w:sz w:val="17"/>
              </w:rPr>
              <w:t>Resume readiness checks</w:t>
            </w:r>
          </w:p>
        </w:tc>
      </w:tr>
      <w:tr>
        <w:tc>
          <w:tcPr>
            <w:tcW w:type="dxa" w:w="1950"/>
            <w:tcMar>
              <w:top w:w="70" w:type="dxa"/>
              <w:start w:w="85" w:type="dxa"/>
              <w:bottom w:w="70" w:type="dxa"/>
              <w:end w:w="85" w:type="dxa"/>
            </w:tcMar>
            <w:vAlign w:val="center"/>
          </w:tcPr>
          <w:p>
            <w:pPr>
              <w:spacing w:before="0" w:after="0" w:line="240" w:lineRule="auto"/>
            </w:pPr>
            <w:r/>
            <w:r>
              <w:rPr>
                <w:sz w:val="17"/>
              </w:rPr>
              <w:t>A3R1</w:t>
            </w:r>
          </w:p>
        </w:tc>
        <w:tc>
          <w:tcPr>
            <w:tcW w:type="dxa" w:w="1950"/>
            <w:tcMar>
              <w:top w:w="70" w:type="dxa"/>
              <w:start w:w="85" w:type="dxa"/>
              <w:bottom w:w="70" w:type="dxa"/>
              <w:end w:w="85" w:type="dxa"/>
            </w:tcMar>
            <w:vAlign w:val="center"/>
          </w:tcPr>
          <w:p>
            <w:pPr>
              <w:spacing w:before="0" w:after="0" w:line="240" w:lineRule="auto"/>
            </w:pPr>
            <w:r/>
            <w:r>
              <w:rPr>
                <w:sz w:val="17"/>
              </w:rPr>
              <w:t>Re-audit endpoints and sessions</w:t>
            </w:r>
          </w:p>
        </w:tc>
        <w:tc>
          <w:tcPr>
            <w:tcW w:type="dxa" w:w="1950"/>
            <w:tcMar>
              <w:top w:w="70" w:type="dxa"/>
              <w:start w:w="85" w:type="dxa"/>
              <w:bottom w:w="70" w:type="dxa"/>
              <w:end w:w="85" w:type="dxa"/>
            </w:tcMar>
            <w:vAlign w:val="center"/>
          </w:tcPr>
          <w:p>
            <w:pPr>
              <w:spacing w:before="0" w:after="0" w:line="240" w:lineRule="auto"/>
            </w:pPr>
            <w:r/>
            <w:r>
              <w:rPr>
                <w:sz w:val="17"/>
              </w:rPr>
              <w:t>Vendor dates treated as sessions</w:t>
            </w:r>
          </w:p>
        </w:tc>
        <w:tc>
          <w:tcPr>
            <w:tcW w:type="dxa" w:w="1950"/>
            <w:tcMar>
              <w:top w:w="70" w:type="dxa"/>
              <w:start w:w="85" w:type="dxa"/>
              <w:bottom w:w="70" w:type="dxa"/>
              <w:end w:w="85" w:type="dxa"/>
            </w:tcMar>
            <w:vAlign w:val="center"/>
          </w:tcPr>
          <w:p>
            <w:pPr>
              <w:spacing w:before="0" w:after="0" w:line="240" w:lineRule="auto"/>
            </w:pPr>
            <w:r/>
            <w:r>
              <w:rPr>
                <w:sz w:val="17"/>
              </w:rPr>
              <w:t>Fail/block</w:t>
            </w:r>
          </w:p>
        </w:tc>
        <w:tc>
          <w:tcPr>
            <w:tcW w:type="dxa" w:w="1950"/>
            <w:tcMar>
              <w:top w:w="70" w:type="dxa"/>
              <w:start w:w="85" w:type="dxa"/>
              <w:bottom w:w="70" w:type="dxa"/>
              <w:end w:w="85" w:type="dxa"/>
            </w:tcMar>
            <w:vAlign w:val="center"/>
          </w:tcPr>
          <w:p>
            <w:pPr>
              <w:spacing w:before="0" w:after="0" w:line="240" w:lineRule="auto"/>
            </w:pPr>
            <w:r/>
            <w:r>
              <w:rPr>
                <w:sz w:val="17"/>
              </w:rPr>
              <w:t>Rebuild the XLON session contract</w:t>
            </w:r>
          </w:p>
        </w:tc>
      </w:tr>
      <w:tr>
        <w:tc>
          <w:tcPr>
            <w:tcW w:type="dxa" w:w="1950"/>
            <w:tcMar>
              <w:top w:w="70" w:type="dxa"/>
              <w:start w:w="85" w:type="dxa"/>
              <w:bottom w:w="70" w:type="dxa"/>
              <w:end w:w="85" w:type="dxa"/>
            </w:tcMar>
            <w:vAlign w:val="center"/>
          </w:tcPr>
          <w:p>
            <w:pPr>
              <w:spacing w:before="0" w:after="0" w:line="240" w:lineRule="auto"/>
            </w:pPr>
            <w:r/>
            <w:r>
              <w:rPr>
                <w:sz w:val="17"/>
              </w:rPr>
              <w:t>A2R2</w:t>
            </w:r>
          </w:p>
        </w:tc>
        <w:tc>
          <w:tcPr>
            <w:tcW w:type="dxa" w:w="1950"/>
            <w:tcMar>
              <w:top w:w="70" w:type="dxa"/>
              <w:start w:w="85" w:type="dxa"/>
              <w:bottom w:w="70" w:type="dxa"/>
              <w:end w:w="85" w:type="dxa"/>
            </w:tcMar>
            <w:vAlign w:val="center"/>
          </w:tcPr>
          <w:p>
            <w:pPr>
              <w:spacing w:before="0" w:after="0" w:line="240" w:lineRule="auto"/>
            </w:pPr>
            <w:r/>
            <w:r>
              <w:rPr>
                <w:sz w:val="17"/>
              </w:rPr>
              <w:t>True-session calendar and prior-only endpoints</w:t>
            </w:r>
          </w:p>
        </w:tc>
        <w:tc>
          <w:tcPr>
            <w:tcW w:type="dxa" w:w="1950"/>
            <w:tcMar>
              <w:top w:w="70" w:type="dxa"/>
              <w:start w:w="85" w:type="dxa"/>
              <w:bottom w:w="70" w:type="dxa"/>
              <w:end w:w="85" w:type="dxa"/>
            </w:tcMar>
            <w:vAlign w:val="center"/>
          </w:tcPr>
          <w:p>
            <w:pPr>
              <w:spacing w:before="0" w:after="0" w:line="240" w:lineRule="auto"/>
            </w:pPr>
            <w:r/>
            <w:r>
              <w:rPr>
                <w:sz w:val="17"/>
              </w:rPr>
              <w:t>29 false vendor sessions removed</w:t>
            </w:r>
          </w:p>
        </w:tc>
        <w:tc>
          <w:tcPr>
            <w:tcW w:type="dxa" w:w="1950"/>
            <w:tcMar>
              <w:top w:w="70" w:type="dxa"/>
              <w:start w:w="85" w:type="dxa"/>
              <w:bottom w:w="70" w:type="dxa"/>
              <w:end w:w="85" w:type="dxa"/>
            </w:tcMar>
            <w:vAlign w:val="center"/>
          </w:tcPr>
          <w:p>
            <w:pPr>
              <w:spacing w:before="0" w:after="0" w:line="240" w:lineRule="auto"/>
            </w:pPr>
            <w:r/>
            <w:r>
              <w:rPr>
                <w:sz w:val="17"/>
              </w:rPr>
              <w:t>Pass</w:t>
            </w:r>
          </w:p>
        </w:tc>
        <w:tc>
          <w:tcPr>
            <w:tcW w:type="dxa" w:w="1950"/>
            <w:tcMar>
              <w:top w:w="70" w:type="dxa"/>
              <w:start w:w="85" w:type="dxa"/>
              <w:bottom w:w="70" w:type="dxa"/>
              <w:end w:w="85" w:type="dxa"/>
            </w:tcMar>
            <w:vAlign w:val="center"/>
          </w:tcPr>
          <w:p>
            <w:pPr>
              <w:spacing w:before="0" w:after="0" w:line="240" w:lineRule="auto"/>
            </w:pPr>
            <w:r/>
            <w:r>
              <w:rPr>
                <w:sz w:val="17"/>
              </w:rPr>
              <w:t>Freeze causal data interface</w:t>
            </w:r>
          </w:p>
        </w:tc>
      </w:tr>
      <w:tr>
        <w:tc>
          <w:tcPr>
            <w:tcW w:type="dxa" w:w="1950"/>
            <w:tcMar>
              <w:top w:w="70" w:type="dxa"/>
              <w:start w:w="85" w:type="dxa"/>
              <w:bottom w:w="70" w:type="dxa"/>
              <w:end w:w="85" w:type="dxa"/>
            </w:tcMar>
            <w:vAlign w:val="center"/>
          </w:tcPr>
          <w:p>
            <w:pPr>
              <w:spacing w:before="0" w:after="0" w:line="240" w:lineRule="auto"/>
            </w:pPr>
            <w:r/>
            <w:r>
              <w:rPr>
                <w:sz w:val="17"/>
              </w:rPr>
              <w:t>A3/A3R1R1</w:t>
            </w:r>
          </w:p>
        </w:tc>
        <w:tc>
          <w:tcPr>
            <w:tcW w:type="dxa" w:w="1950"/>
            <w:tcMar>
              <w:top w:w="70" w:type="dxa"/>
              <w:start w:w="85" w:type="dxa"/>
              <w:bottom w:w="70" w:type="dxa"/>
              <w:end w:w="85" w:type="dxa"/>
            </w:tcMar>
            <w:vAlign w:val="center"/>
          </w:tcPr>
          <w:p>
            <w:pPr>
              <w:spacing w:before="0" w:after="0" w:line="240" w:lineRule="auto"/>
            </w:pPr>
            <w:r/>
            <w:r>
              <w:rPr>
                <w:sz w:val="17"/>
              </w:rPr>
              <w:t>Test preregistered signal definitions</w:t>
            </w:r>
          </w:p>
        </w:tc>
        <w:tc>
          <w:tcPr>
            <w:tcW w:type="dxa" w:w="1950"/>
            <w:tcMar>
              <w:top w:w="70" w:type="dxa"/>
              <w:start w:w="85" w:type="dxa"/>
              <w:bottom w:w="70" w:type="dxa"/>
              <w:end w:w="85" w:type="dxa"/>
            </w:tcMar>
            <w:vAlign w:val="center"/>
          </w:tcPr>
          <w:p>
            <w:pPr>
              <w:spacing w:before="0" w:after="0" w:line="240" w:lineRule="auto"/>
            </w:pPr>
            <w:r/>
            <w:r>
              <w:rPr>
                <w:sz w:val="17"/>
              </w:rPr>
              <w:t>180 inference cells; no FDR survivor</w:t>
            </w:r>
          </w:p>
        </w:tc>
        <w:tc>
          <w:tcPr>
            <w:tcW w:type="dxa" w:w="1950"/>
            <w:tcMar>
              <w:top w:w="70" w:type="dxa"/>
              <w:start w:w="85" w:type="dxa"/>
              <w:bottom w:w="70" w:type="dxa"/>
              <w:end w:w="85" w:type="dxa"/>
            </w:tcMar>
            <w:vAlign w:val="center"/>
          </w:tcPr>
          <w:p>
            <w:pPr>
              <w:spacing w:before="0" w:after="0" w:line="240" w:lineRule="auto"/>
            </w:pPr>
            <w:r/>
            <w:r>
              <w:rPr>
                <w:sz w:val="17"/>
              </w:rPr>
              <w:t>No broad statistical survivor</w:t>
            </w:r>
          </w:p>
        </w:tc>
        <w:tc>
          <w:tcPr>
            <w:tcW w:type="dxa" w:w="1950"/>
            <w:tcMar>
              <w:top w:w="70" w:type="dxa"/>
              <w:start w:w="85" w:type="dxa"/>
              <w:bottom w:w="70" w:type="dxa"/>
              <w:end w:w="85" w:type="dxa"/>
            </w:tcMar>
            <w:vAlign w:val="center"/>
          </w:tcPr>
          <w:p>
            <w:pPr>
              <w:spacing w:before="0" w:after="0" w:line="240" w:lineRule="auto"/>
            </w:pPr>
            <w:r/>
            <w:r>
              <w:rPr>
                <w:sz w:val="17"/>
              </w:rPr>
              <w:t>Treat signal evidence as developmental</w:t>
            </w:r>
          </w:p>
        </w:tc>
      </w:tr>
      <w:tr>
        <w:tc>
          <w:tcPr>
            <w:tcW w:type="dxa" w:w="1950"/>
            <w:tcMar>
              <w:top w:w="70" w:type="dxa"/>
              <w:start w:w="85" w:type="dxa"/>
              <w:bottom w:w="70" w:type="dxa"/>
              <w:end w:w="85" w:type="dxa"/>
            </w:tcMar>
            <w:vAlign w:val="center"/>
          </w:tcPr>
          <w:p>
            <w:pPr>
              <w:spacing w:before="0" w:after="0" w:line="240" w:lineRule="auto"/>
            </w:pPr>
            <w:r/>
            <w:r>
              <w:rPr>
                <w:sz w:val="17"/>
              </w:rPr>
              <w:t>A3R2/U/S/W/Q</w:t>
            </w:r>
          </w:p>
        </w:tc>
        <w:tc>
          <w:tcPr>
            <w:tcW w:type="dxa" w:w="1950"/>
            <w:tcMar>
              <w:top w:w="70" w:type="dxa"/>
              <w:start w:w="85" w:type="dxa"/>
              <w:bottom w:w="70" w:type="dxa"/>
              <w:end w:w="85" w:type="dxa"/>
            </w:tcMar>
            <w:vAlign w:val="center"/>
          </w:tcPr>
          <w:p>
            <w:pPr>
              <w:spacing w:before="0" w:after="0" w:line="240" w:lineRule="auto"/>
            </w:pPr>
            <w:r/>
            <w:r>
              <w:rPr>
                <w:sz w:val="17"/>
              </w:rPr>
              <w:t>Explore portfolio signals, pools, counts and cadence</w:t>
            </w:r>
          </w:p>
        </w:tc>
        <w:tc>
          <w:tcPr>
            <w:tcW w:type="dxa" w:w="1950"/>
            <w:tcMar>
              <w:top w:w="70" w:type="dxa"/>
              <w:start w:w="85" w:type="dxa"/>
              <w:bottom w:w="70" w:type="dxa"/>
              <w:end w:w="85" w:type="dxa"/>
            </w:tcMar>
            <w:vAlign w:val="center"/>
          </w:tcPr>
          <w:p>
            <w:pPr>
              <w:spacing w:before="0" w:after="0" w:line="240" w:lineRule="auto"/>
            </w:pPr>
            <w:r/>
            <w:r>
              <w:rPr>
                <w:sz w:val="17"/>
              </w:rPr>
              <w:t>315 specifications; no q&lt;0.10</w:t>
            </w:r>
          </w:p>
        </w:tc>
        <w:tc>
          <w:tcPr>
            <w:tcW w:type="dxa" w:w="1950"/>
            <w:tcMar>
              <w:top w:w="70" w:type="dxa"/>
              <w:start w:w="85" w:type="dxa"/>
              <w:bottom w:w="70" w:type="dxa"/>
              <w:end w:w="85" w:type="dxa"/>
            </w:tcMar>
            <w:vAlign w:val="center"/>
          </w:tcPr>
          <w:p>
            <w:pPr>
              <w:spacing w:before="0" w:after="0" w:line="240" w:lineRule="auto"/>
            </w:pPr>
            <w:r/>
            <w:r>
              <w:rPr>
                <w:sz w:val="17"/>
              </w:rPr>
              <w:t>Exploratory lead only</w:t>
            </w:r>
          </w:p>
        </w:tc>
        <w:tc>
          <w:tcPr>
            <w:tcW w:type="dxa" w:w="1950"/>
            <w:tcMar>
              <w:top w:w="70" w:type="dxa"/>
              <w:start w:w="85" w:type="dxa"/>
              <w:bottom w:w="70" w:type="dxa"/>
              <w:end w:w="85" w:type="dxa"/>
            </w:tcMar>
            <w:vAlign w:val="center"/>
          </w:tcPr>
          <w:p>
            <w:pPr>
              <w:spacing w:before="0" w:after="0" w:line="240" w:lineRule="auto"/>
            </w:pPr>
            <w:r/>
            <w:r>
              <w:rPr>
                <w:sz w:val="17"/>
              </w:rPr>
              <w:t>Carry signal structure, not significance claim</w:t>
            </w:r>
          </w:p>
        </w:tc>
      </w:tr>
      <w:tr>
        <w:tc>
          <w:tcPr>
            <w:tcW w:type="dxa" w:w="1950"/>
            <w:tcMar>
              <w:top w:w="70" w:type="dxa"/>
              <w:start w:w="85" w:type="dxa"/>
              <w:bottom w:w="70" w:type="dxa"/>
              <w:end w:w="85" w:type="dxa"/>
            </w:tcMar>
            <w:vAlign w:val="center"/>
          </w:tcPr>
          <w:p>
            <w:pPr>
              <w:spacing w:before="0" w:after="0" w:line="240" w:lineRule="auto"/>
            </w:pPr>
            <w:r/>
            <w:r>
              <w:rPr>
                <w:sz w:val="17"/>
              </w:rPr>
              <w:t>A4</w:t>
            </w:r>
          </w:p>
        </w:tc>
        <w:tc>
          <w:tcPr>
            <w:tcW w:type="dxa" w:w="1950"/>
            <w:tcMar>
              <w:top w:w="70" w:type="dxa"/>
              <w:start w:w="85" w:type="dxa"/>
              <w:bottom w:w="70" w:type="dxa"/>
              <w:end w:w="85" w:type="dxa"/>
            </w:tcMar>
            <w:vAlign w:val="center"/>
          </w:tcPr>
          <w:p>
            <w:pPr>
              <w:spacing w:before="0" w:after="0" w:line="240" w:lineRule="auto"/>
            </w:pPr>
            <w:r/>
            <w:r>
              <w:rPr>
                <w:sz w:val="17"/>
              </w:rPr>
              <w:t>Forensic TOP1 implementation</w:t>
            </w:r>
          </w:p>
        </w:tc>
        <w:tc>
          <w:tcPr>
            <w:tcW w:type="dxa" w:w="1950"/>
            <w:tcMar>
              <w:top w:w="70" w:type="dxa"/>
              <w:start w:w="85" w:type="dxa"/>
              <w:bottom w:w="70" w:type="dxa"/>
              <w:end w:w="85" w:type="dxa"/>
            </w:tcMar>
            <w:vAlign w:val="center"/>
          </w:tcPr>
          <w:p>
            <w:pPr>
              <w:spacing w:before="0" w:after="0" w:line="240" w:lineRule="auto"/>
            </w:pPr>
            <w:r/>
            <w:r>
              <w:rPr>
                <w:sz w:val="17"/>
              </w:rPr>
              <w:t>Random controls and contributor concentration</w:t>
            </w:r>
          </w:p>
        </w:tc>
        <w:tc>
          <w:tcPr>
            <w:tcW w:type="dxa" w:w="1950"/>
            <w:tcMar>
              <w:top w:w="70" w:type="dxa"/>
              <w:start w:w="85" w:type="dxa"/>
              <w:bottom w:w="70" w:type="dxa"/>
              <w:end w:w="85" w:type="dxa"/>
            </w:tcMar>
            <w:vAlign w:val="center"/>
          </w:tcPr>
          <w:p>
            <w:pPr>
              <w:spacing w:before="0" w:after="0" w:line="240" w:lineRule="auto"/>
            </w:pPr>
            <w:r/>
            <w:r>
              <w:rPr>
                <w:sz w:val="17"/>
              </w:rPr>
              <w:t>Right-tail dependent</w:t>
            </w:r>
          </w:p>
        </w:tc>
        <w:tc>
          <w:tcPr>
            <w:tcW w:type="dxa" w:w="1950"/>
            <w:tcMar>
              <w:top w:w="70" w:type="dxa"/>
              <w:start w:w="85" w:type="dxa"/>
              <w:bottom w:w="70" w:type="dxa"/>
              <w:end w:w="85" w:type="dxa"/>
            </w:tcMar>
            <w:vAlign w:val="center"/>
          </w:tcPr>
          <w:p>
            <w:pPr>
              <w:spacing w:before="0" w:after="0" w:line="240" w:lineRule="auto"/>
            </w:pPr>
            <w:r/>
            <w:r>
              <w:rPr>
                <w:sz w:val="17"/>
              </w:rPr>
              <w:t>Test breadth rather than defend TOP1</w:t>
            </w:r>
          </w:p>
        </w:tc>
      </w:tr>
      <w:tr>
        <w:tc>
          <w:tcPr>
            <w:tcW w:type="dxa" w:w="1950"/>
            <w:tcMar>
              <w:top w:w="70" w:type="dxa"/>
              <w:start w:w="85" w:type="dxa"/>
              <w:bottom w:w="70" w:type="dxa"/>
              <w:end w:w="85" w:type="dxa"/>
            </w:tcMar>
            <w:vAlign w:val="center"/>
          </w:tcPr>
          <w:p>
            <w:pPr>
              <w:spacing w:before="0" w:after="0" w:line="240" w:lineRule="auto"/>
            </w:pPr>
            <w:r/>
            <w:r>
              <w:rPr>
                <w:sz w:val="17"/>
              </w:rPr>
              <w:t>A4B/A4C</w:t>
            </w:r>
          </w:p>
        </w:tc>
        <w:tc>
          <w:tcPr>
            <w:tcW w:type="dxa" w:w="1950"/>
            <w:tcMar>
              <w:top w:w="70" w:type="dxa"/>
              <w:start w:w="85" w:type="dxa"/>
              <w:bottom w:w="70" w:type="dxa"/>
              <w:end w:w="85" w:type="dxa"/>
            </w:tcMar>
            <w:vAlign w:val="center"/>
          </w:tcPr>
          <w:p>
            <w:pPr>
              <w:spacing w:before="0" w:after="0" w:line="240" w:lineRule="auto"/>
            </w:pPr>
            <w:r/>
            <w:r>
              <w:rPr>
                <w:sz w:val="17"/>
              </w:rPr>
              <w:t>Test entry, exit, trend-age, volatility and regime modules</w:t>
            </w:r>
          </w:p>
        </w:tc>
        <w:tc>
          <w:tcPr>
            <w:tcW w:type="dxa" w:w="1950"/>
            <w:tcMar>
              <w:top w:w="70" w:type="dxa"/>
              <w:start w:w="85" w:type="dxa"/>
              <w:bottom w:w="70" w:type="dxa"/>
              <w:end w:w="85" w:type="dxa"/>
            </w:tcMar>
            <w:vAlign w:val="center"/>
          </w:tcPr>
          <w:p>
            <w:pPr>
              <w:spacing w:before="0" w:after="0" w:line="240" w:lineRule="auto"/>
            </w:pPr>
            <w:r/>
            <w:r>
              <w:rPr>
                <w:sz w:val="17"/>
              </w:rPr>
              <w:t>Sequential promotion gates</w:t>
            </w:r>
          </w:p>
        </w:tc>
        <w:tc>
          <w:tcPr>
            <w:tcW w:type="dxa" w:w="1950"/>
            <w:tcMar>
              <w:top w:w="70" w:type="dxa"/>
              <w:start w:w="85" w:type="dxa"/>
              <w:bottom w:w="70" w:type="dxa"/>
              <w:end w:w="85" w:type="dxa"/>
            </w:tcMar>
            <w:vAlign w:val="center"/>
          </w:tcPr>
          <w:p>
            <w:pPr>
              <w:spacing w:before="0" w:after="0" w:line="240" w:lineRule="auto"/>
            </w:pPr>
            <w:r/>
            <w:r>
              <w:rPr>
                <w:sz w:val="17"/>
              </w:rPr>
              <w:t>No exit/regime promotion</w:t>
            </w:r>
          </w:p>
        </w:tc>
        <w:tc>
          <w:tcPr>
            <w:tcW w:type="dxa" w:w="1950"/>
            <w:tcMar>
              <w:top w:w="70" w:type="dxa"/>
              <w:start w:w="85" w:type="dxa"/>
              <w:bottom w:w="70" w:type="dxa"/>
              <w:end w:w="85" w:type="dxa"/>
            </w:tcMar>
            <w:vAlign w:val="center"/>
          </w:tcPr>
          <w:p>
            <w:pPr>
              <w:spacing w:before="0" w:after="0" w:line="240" w:lineRule="auto"/>
            </w:pPr>
            <w:r/>
            <w:r>
              <w:rPr>
                <w:sz w:val="17"/>
              </w:rPr>
              <w:t>Preserve simple selection; examine core/satellite</w:t>
            </w:r>
          </w:p>
        </w:tc>
      </w:tr>
      <w:tr>
        <w:tc>
          <w:tcPr>
            <w:tcW w:type="dxa" w:w="1950"/>
            <w:tcMar>
              <w:top w:w="70" w:type="dxa"/>
              <w:start w:w="85" w:type="dxa"/>
              <w:bottom w:w="70" w:type="dxa"/>
              <w:end w:w="85" w:type="dxa"/>
            </w:tcMar>
            <w:vAlign w:val="center"/>
          </w:tcPr>
          <w:p>
            <w:pPr>
              <w:spacing w:before="0" w:after="0" w:line="240" w:lineRule="auto"/>
            </w:pPr>
            <w:r/>
            <w:r>
              <w:rPr>
                <w:sz w:val="17"/>
              </w:rPr>
              <w:t>A4D</w:t>
            </w:r>
          </w:p>
        </w:tc>
        <w:tc>
          <w:tcPr>
            <w:tcW w:type="dxa" w:w="1950"/>
            <w:tcMar>
              <w:top w:w="70" w:type="dxa"/>
              <w:start w:w="85" w:type="dxa"/>
              <w:bottom w:w="70" w:type="dxa"/>
              <w:end w:w="85" w:type="dxa"/>
            </w:tcMar>
            <w:vAlign w:val="center"/>
          </w:tcPr>
          <w:p>
            <w:pPr>
              <w:spacing w:before="0" w:after="0" w:line="240" w:lineRule="auto"/>
            </w:pPr>
            <w:r/>
            <w:r>
              <w:rPr>
                <w:sz w:val="17"/>
              </w:rPr>
              <w:t>Compare M1–M3, TOP3–10, frequency, cash, weighting</w:t>
            </w:r>
          </w:p>
        </w:tc>
        <w:tc>
          <w:tcPr>
            <w:tcW w:type="dxa" w:w="1950"/>
            <w:tcMar>
              <w:top w:w="70" w:type="dxa"/>
              <w:start w:w="85" w:type="dxa"/>
              <w:bottom w:w="70" w:type="dxa"/>
              <w:end w:w="85" w:type="dxa"/>
            </w:tcMar>
            <w:vAlign w:val="center"/>
          </w:tcPr>
          <w:p>
            <w:pPr>
              <w:spacing w:before="0" w:after="0" w:line="240" w:lineRule="auto"/>
            </w:pPr>
            <w:r/>
            <w:r>
              <w:rPr>
                <w:sz w:val="17"/>
              </w:rPr>
              <w:t>Economics, costs, IC, bootstrap, concentration</w:t>
            </w:r>
          </w:p>
        </w:tc>
        <w:tc>
          <w:tcPr>
            <w:tcW w:type="dxa" w:w="1950"/>
            <w:tcMar>
              <w:top w:w="70" w:type="dxa"/>
              <w:start w:w="85" w:type="dxa"/>
              <w:bottom w:w="70" w:type="dxa"/>
              <w:end w:w="85" w:type="dxa"/>
            </w:tcMar>
            <w:vAlign w:val="center"/>
          </w:tcPr>
          <w:p>
            <w:pPr>
              <w:spacing w:before="0" w:after="0" w:line="240" w:lineRule="auto"/>
            </w:pPr>
            <w:r/>
            <w:r>
              <w:rPr>
                <w:sz w:val="17"/>
              </w:rPr>
              <w:t>Select M2 TOP7 monthly CASH0 equal</w:t>
            </w:r>
          </w:p>
        </w:tc>
        <w:tc>
          <w:tcPr>
            <w:tcW w:type="dxa" w:w="1950"/>
            <w:tcMar>
              <w:top w:w="70" w:type="dxa"/>
              <w:start w:w="85" w:type="dxa"/>
              <w:bottom w:w="70" w:type="dxa"/>
              <w:end w:w="85" w:type="dxa"/>
            </w:tcMar>
            <w:vAlign w:val="center"/>
          </w:tcPr>
          <w:p>
            <w:pPr>
              <w:spacing w:before="0" w:after="0" w:line="240" w:lineRule="auto"/>
            </w:pPr>
            <w:r/>
            <w:r>
              <w:rPr>
                <w:sz w:val="17"/>
              </w:rPr>
              <w:t>Close signal and architecture selection</w:t>
            </w:r>
          </w:p>
        </w:tc>
      </w:tr>
      <w:tr>
        <w:tc>
          <w:tcPr>
            <w:tcW w:type="dxa" w:w="1950"/>
            <w:tcMar>
              <w:top w:w="70" w:type="dxa"/>
              <w:start w:w="85" w:type="dxa"/>
              <w:bottom w:w="70" w:type="dxa"/>
              <w:end w:w="85" w:type="dxa"/>
            </w:tcMar>
            <w:vAlign w:val="center"/>
          </w:tcPr>
          <w:p>
            <w:pPr>
              <w:spacing w:before="0" w:after="0" w:line="240" w:lineRule="auto"/>
            </w:pPr>
            <w:r/>
            <w:r>
              <w:rPr>
                <w:sz w:val="17"/>
              </w:rPr>
              <w:t>A4E-SIPP</w:t>
            </w:r>
          </w:p>
        </w:tc>
        <w:tc>
          <w:tcPr>
            <w:tcW w:type="dxa" w:w="1950"/>
            <w:tcMar>
              <w:top w:w="70" w:type="dxa"/>
              <w:start w:w="85" w:type="dxa"/>
              <w:bottom w:w="70" w:type="dxa"/>
              <w:end w:w="85" w:type="dxa"/>
            </w:tcMar>
            <w:vAlign w:val="center"/>
          </w:tcPr>
          <w:p>
            <w:pPr>
              <w:spacing w:before="0" w:after="0" w:line="240" w:lineRule="auto"/>
            </w:pPr>
            <w:r/>
            <w:r>
              <w:rPr>
                <w:sz w:val="17"/>
              </w:rPr>
              <w:t>Translate to pension controls</w:t>
            </w:r>
          </w:p>
        </w:tc>
        <w:tc>
          <w:tcPr>
            <w:tcW w:type="dxa" w:w="1950"/>
            <w:tcMar>
              <w:top w:w="70" w:type="dxa"/>
              <w:start w:w="85" w:type="dxa"/>
              <w:bottom w:w="70" w:type="dxa"/>
              <w:end w:w="85" w:type="dxa"/>
            </w:tcMar>
            <w:vAlign w:val="center"/>
          </w:tcPr>
          <w:p>
            <w:pPr>
              <w:spacing w:before="0" w:after="0" w:line="240" w:lineRule="auto"/>
            </w:pPr>
            <w:r/>
            <w:r>
              <w:rPr>
                <w:sz w:val="17"/>
              </w:rPr>
              <w:t>Matched exposure, static core/cash, literature, implementation</w:t>
            </w:r>
          </w:p>
        </w:tc>
        <w:tc>
          <w:tcPr>
            <w:tcW w:type="dxa" w:w="1950"/>
            <w:tcMar>
              <w:top w:w="70" w:type="dxa"/>
              <w:start w:w="85" w:type="dxa"/>
              <w:bottom w:w="70" w:type="dxa"/>
              <w:end w:w="85" w:type="dxa"/>
            </w:tcMar>
            <w:vAlign w:val="center"/>
          </w:tcPr>
          <w:p>
            <w:pPr>
              <w:spacing w:before="0" w:after="0" w:line="240" w:lineRule="auto"/>
            </w:pPr>
            <w:r/>
            <w:r>
              <w:rPr>
                <w:sz w:val="17"/>
              </w:rPr>
              <w:t>Static 75/25 control only</w:t>
            </w:r>
          </w:p>
        </w:tc>
        <w:tc>
          <w:tcPr>
            <w:tcW w:type="dxa" w:w="1950"/>
            <w:tcMar>
              <w:top w:w="70" w:type="dxa"/>
              <w:start w:w="85" w:type="dxa"/>
              <w:bottom w:w="70" w:type="dxa"/>
              <w:end w:w="85" w:type="dxa"/>
            </w:tcMar>
            <w:vAlign w:val="center"/>
          </w:tcPr>
          <w:p>
            <w:pPr>
              <w:spacing w:before="0" w:after="0" w:line="240" w:lineRule="auto"/>
            </w:pPr>
            <w:r/>
            <w:r>
              <w:rPr>
                <w:sz w:val="17"/>
              </w:rPr>
              <w:t>Separate timing from lower risk</w:t>
            </w:r>
          </w:p>
        </w:tc>
      </w:tr>
      <w:tr>
        <w:tc>
          <w:tcPr>
            <w:tcW w:type="dxa" w:w="1950"/>
            <w:tcMar>
              <w:top w:w="70" w:type="dxa"/>
              <w:start w:w="85" w:type="dxa"/>
              <w:bottom w:w="70" w:type="dxa"/>
              <w:end w:w="85" w:type="dxa"/>
            </w:tcMar>
            <w:vAlign w:val="center"/>
          </w:tcPr>
          <w:p>
            <w:pPr>
              <w:spacing w:before="0" w:after="0" w:line="240" w:lineRule="auto"/>
            </w:pPr>
            <w:r/>
            <w:r>
              <w:rPr>
                <w:sz w:val="17"/>
              </w:rPr>
              <w:t>A4F-SIPP</w:t>
            </w:r>
          </w:p>
        </w:tc>
        <w:tc>
          <w:tcPr>
            <w:tcW w:type="dxa" w:w="1950"/>
            <w:tcMar>
              <w:top w:w="70" w:type="dxa"/>
              <w:start w:w="85" w:type="dxa"/>
              <w:bottom w:w="70" w:type="dxa"/>
              <w:end w:w="85" w:type="dxa"/>
            </w:tcMar>
            <w:vAlign w:val="center"/>
          </w:tcPr>
          <w:p>
            <w:pPr>
              <w:spacing w:before="0" w:after="0" w:line="240" w:lineRule="auto"/>
            </w:pPr>
            <w:r/>
            <w:r>
              <w:rPr>
                <w:sz w:val="17"/>
              </w:rPr>
              <w:t>Test causal regimes and dynamic allocation policies</w:t>
            </w:r>
          </w:p>
        </w:tc>
        <w:tc>
          <w:tcPr>
            <w:tcW w:type="dxa" w:w="1950"/>
            <w:tcMar>
              <w:top w:w="70" w:type="dxa"/>
              <w:start w:w="85" w:type="dxa"/>
              <w:bottom w:w="70" w:type="dxa"/>
              <w:end w:w="85" w:type="dxa"/>
            </w:tcMar>
            <w:vAlign w:val="center"/>
          </w:tcPr>
          <w:p>
            <w:pPr>
              <w:spacing w:before="0" w:after="0" w:line="240" w:lineRule="auto"/>
            </w:pPr>
            <w:r/>
            <w:r>
              <w:rPr>
                <w:sz w:val="17"/>
              </w:rPr>
              <w:t>Four regimes, five policies, two switch modes</w:t>
            </w:r>
          </w:p>
        </w:tc>
        <w:tc>
          <w:tcPr>
            <w:tcW w:type="dxa" w:w="1950"/>
            <w:tcMar>
              <w:top w:w="70" w:type="dxa"/>
              <w:start w:w="85" w:type="dxa"/>
              <w:bottom w:w="70" w:type="dxa"/>
              <w:end w:w="85" w:type="dxa"/>
            </w:tcMar>
            <w:vAlign w:val="center"/>
          </w:tcPr>
          <w:p>
            <w:pPr>
              <w:spacing w:before="0" w:after="0" w:line="240" w:lineRule="auto"/>
            </w:pPr>
            <w:r/>
            <w:r>
              <w:rPr>
                <w:sz w:val="17"/>
              </w:rPr>
              <w:t>No dynamic policy passed</w:t>
            </w:r>
          </w:p>
        </w:tc>
        <w:tc>
          <w:tcPr>
            <w:tcW w:type="dxa" w:w="1950"/>
            <w:tcMar>
              <w:top w:w="70" w:type="dxa"/>
              <w:start w:w="85" w:type="dxa"/>
              <w:bottom w:w="70" w:type="dxa"/>
              <w:end w:w="85" w:type="dxa"/>
            </w:tcMar>
            <w:vAlign w:val="center"/>
          </w:tcPr>
          <w:p>
            <w:pPr>
              <w:spacing w:before="0" w:after="0" w:line="240" w:lineRule="auto"/>
            </w:pPr>
            <w:r/>
            <w:r>
              <w:rPr>
                <w:sz w:val="17"/>
              </w:rPr>
              <w:t>Retain regimes as telemetry only</w:t>
            </w:r>
          </w:p>
        </w:tc>
      </w:tr>
      <w:tr>
        <w:tc>
          <w:tcPr>
            <w:tcW w:type="dxa" w:w="1950"/>
            <w:tcMar>
              <w:top w:w="70" w:type="dxa"/>
              <w:start w:w="85" w:type="dxa"/>
              <w:bottom w:w="70" w:type="dxa"/>
              <w:end w:w="85" w:type="dxa"/>
            </w:tcMar>
            <w:vAlign w:val="center"/>
          </w:tcPr>
          <w:p>
            <w:pPr>
              <w:spacing w:before="0" w:after="0" w:line="240" w:lineRule="auto"/>
            </w:pPr>
            <w:r/>
            <w:r>
              <w:rPr>
                <w:sz w:val="17"/>
              </w:rPr>
              <w:t>A5C-SIPP</w:t>
            </w:r>
          </w:p>
        </w:tc>
        <w:tc>
          <w:tcPr>
            <w:tcW w:type="dxa" w:w="1950"/>
            <w:tcMar>
              <w:top w:w="70" w:type="dxa"/>
              <w:start w:w="85" w:type="dxa"/>
              <w:bottom w:w="70" w:type="dxa"/>
              <w:end w:w="85" w:type="dxa"/>
            </w:tcMar>
            <w:vAlign w:val="center"/>
          </w:tcPr>
          <w:p>
            <w:pPr>
              <w:spacing w:before="0" w:after="0" w:line="240" w:lineRule="auto"/>
            </w:pPr>
            <w:r/>
            <w:r>
              <w:rPr>
                <w:sz w:val="17"/>
              </w:rPr>
              <w:t>Freeze model, map live instruments and costs, create ledger</w:t>
            </w:r>
          </w:p>
        </w:tc>
        <w:tc>
          <w:tcPr>
            <w:tcW w:type="dxa" w:w="1950"/>
            <w:tcMar>
              <w:top w:w="70" w:type="dxa"/>
              <w:start w:w="85" w:type="dxa"/>
              <w:bottom w:w="70" w:type="dxa"/>
              <w:end w:w="85" w:type="dxa"/>
            </w:tcMar>
            <w:vAlign w:val="center"/>
          </w:tcPr>
          <w:p>
            <w:pPr>
              <w:spacing w:before="0" w:after="0" w:line="240" w:lineRule="auto"/>
            </w:pPr>
            <w:r/>
            <w:r>
              <w:rPr>
                <w:sz w:val="17"/>
              </w:rPr>
              <w:t>26/26 correctness checks; operational inputs absent</w:t>
            </w:r>
          </w:p>
        </w:tc>
        <w:tc>
          <w:tcPr>
            <w:tcW w:type="dxa" w:w="1950"/>
            <w:tcMar>
              <w:top w:w="70" w:type="dxa"/>
              <w:start w:w="85" w:type="dxa"/>
              <w:bottom w:w="70" w:type="dxa"/>
              <w:end w:w="85" w:type="dxa"/>
            </w:tcMar>
            <w:vAlign w:val="center"/>
          </w:tcPr>
          <w:p>
            <w:pPr>
              <w:spacing w:before="0" w:after="0" w:line="240" w:lineRule="auto"/>
            </w:pPr>
            <w:r/>
            <w:r>
              <w:rPr>
                <w:sz w:val="17"/>
              </w:rPr>
              <w:t>Frozen; awaiting holdings input</w:t>
            </w:r>
          </w:p>
        </w:tc>
        <w:tc>
          <w:tcPr>
            <w:tcW w:type="dxa" w:w="1950"/>
            <w:tcMar>
              <w:top w:w="70" w:type="dxa"/>
              <w:start w:w="85" w:type="dxa"/>
              <w:bottom w:w="70" w:type="dxa"/>
              <w:end w:w="85" w:type="dxa"/>
            </w:tcMar>
            <w:vAlign w:val="center"/>
          </w:tcPr>
          <w:p>
            <w:pPr>
              <w:spacing w:before="0" w:after="0" w:line="240" w:lineRule="auto"/>
            </w:pPr>
            <w:r/>
            <w:r>
              <w:rPr>
                <w:sz w:val="17"/>
              </w:rPr>
              <w:t>Permit only conditional 10% prospective pilot</w:t>
            </w:r>
          </w:p>
        </w:tc>
      </w:tr>
    </w:tbl>
    <w:p>
      <w:pPr>
        <w:pStyle w:val="SourceCitation"/>
      </w:pPr>
      <w:r>
        <w:rPr>
          <w:sz w:val="16"/>
        </w:rPr>
        <w:t xml:space="preserve">Internal sources [LIN-A0-A1] through [LIN-A5C-SIPP]: final decision JSONs at commits </w:t>
      </w:r>
      <w:r>
        <w:rPr>
          <w:rFonts w:ascii="Consolas" w:hAnsi="Consolas"/>
          <w:color w:val="1F4D78"/>
          <w:sz w:val="16"/>
        </w:rPr>
        <w:t>2c26ad3</w:t>
      </w:r>
      <w:r>
        <w:rPr>
          <w:sz w:val="16"/>
        </w:rPr>
        <w:t xml:space="preserve">, </w:t>
      </w:r>
      <w:r>
        <w:rPr>
          <w:rFonts w:ascii="Consolas" w:hAnsi="Consolas"/>
          <w:color w:val="1F4D78"/>
          <w:sz w:val="16"/>
        </w:rPr>
        <w:t>fc5d2b1</w:t>
      </w:r>
      <w:r>
        <w:rPr>
          <w:sz w:val="16"/>
        </w:rPr>
        <w:t xml:space="preserve">, </w:t>
      </w:r>
      <w:r>
        <w:rPr>
          <w:rFonts w:ascii="Consolas" w:hAnsi="Consolas"/>
          <w:color w:val="1F4D78"/>
          <w:sz w:val="16"/>
        </w:rPr>
        <w:t>0a5d328</w:t>
      </w:r>
      <w:r>
        <w:rPr>
          <w:sz w:val="16"/>
        </w:rPr>
        <w:t xml:space="preserve">, </w:t>
      </w:r>
      <w:r>
        <w:rPr>
          <w:rFonts w:ascii="Consolas" w:hAnsi="Consolas"/>
          <w:color w:val="1F4D78"/>
          <w:sz w:val="16"/>
        </w:rPr>
        <w:t>c30de89</w:t>
      </w:r>
      <w:r>
        <w:rPr>
          <w:sz w:val="16"/>
        </w:rPr>
        <w:t xml:space="preserve">, </w:t>
      </w:r>
      <w:r>
        <w:rPr>
          <w:rFonts w:ascii="Consolas" w:hAnsi="Consolas"/>
          <w:color w:val="1F4D78"/>
          <w:sz w:val="16"/>
        </w:rPr>
        <w:t>32e6388</w:t>
      </w:r>
      <w:r>
        <w:rPr>
          <w:sz w:val="16"/>
        </w:rPr>
        <w:t xml:space="preserve">, </w:t>
      </w:r>
      <w:r>
        <w:rPr>
          <w:rFonts w:ascii="Consolas" w:hAnsi="Consolas"/>
          <w:color w:val="1F4D78"/>
          <w:sz w:val="16"/>
        </w:rPr>
        <w:t>29c2d14</w:t>
      </w:r>
      <w:r>
        <w:rPr>
          <w:sz w:val="16"/>
        </w:rPr>
        <w:t xml:space="preserve">, </w:t>
      </w:r>
      <w:r>
        <w:rPr>
          <w:rFonts w:ascii="Consolas" w:hAnsi="Consolas"/>
          <w:color w:val="1F4D78"/>
          <w:sz w:val="16"/>
        </w:rPr>
        <w:t>1802820</w:t>
      </w:r>
      <w:r>
        <w:rPr>
          <w:sz w:val="16"/>
        </w:rPr>
        <w:t xml:space="preserve">, </w:t>
      </w:r>
      <w:r>
        <w:rPr>
          <w:rFonts w:ascii="Consolas" w:hAnsi="Consolas"/>
          <w:color w:val="1F4D78"/>
          <w:sz w:val="16"/>
        </w:rPr>
        <w:t>f411e0d</w:t>
      </w:r>
      <w:r>
        <w:rPr>
          <w:sz w:val="16"/>
        </w:rPr>
        <w:t xml:space="preserve">, </w:t>
      </w:r>
      <w:r>
        <w:rPr>
          <w:rFonts w:ascii="Consolas" w:hAnsi="Consolas"/>
          <w:color w:val="1F4D78"/>
          <w:sz w:val="16"/>
        </w:rPr>
        <w:t>6eef0e4</w:t>
      </w:r>
      <w:r>
        <w:rPr>
          <w:sz w:val="16"/>
        </w:rPr>
        <w:t xml:space="preserve">, </w:t>
      </w:r>
      <w:r>
        <w:rPr>
          <w:rFonts w:ascii="Consolas" w:hAnsi="Consolas"/>
          <w:color w:val="1F4D78"/>
          <w:sz w:val="16"/>
        </w:rPr>
        <w:t>6dba072</w:t>
      </w:r>
      <w:r>
        <w:rPr>
          <w:sz w:val="16"/>
        </w:rPr>
        <w:t xml:space="preserve"> and </w:t>
      </w:r>
      <w:r>
        <w:rPr>
          <w:rFonts w:ascii="Consolas" w:hAnsi="Consolas"/>
          <w:color w:val="1F4D78"/>
          <w:sz w:val="16"/>
        </w:rPr>
        <w:t>beb8d49</w:t>
      </w:r>
      <w:r>
        <w:rPr>
          <w:sz w:val="16"/>
        </w:rPr>
        <w:t>; exact paths and fields are enumerated in the evidence matrix.</w:t>
      </w:r>
    </w:p>
    <w:p>
      <w:pPr>
        <w:keepNext/>
        <w:jc w:val="center"/>
      </w:pPr>
      <w:r>
        <w:drawing>
          <wp:inline xmlns:a="http://schemas.openxmlformats.org/drawingml/2006/main" xmlns:pic="http://schemas.openxmlformats.org/drawingml/2006/picture">
            <wp:extent cx="5806440" cy="3804677"/>
            <wp:docPr id="1" name="Picture 1"/>
            <wp:cNvGraphicFramePr>
              <a:graphicFrameLocks noChangeAspect="1"/>
            </wp:cNvGraphicFramePr>
            <a:graphic>
              <a:graphicData uri="http://schemas.openxmlformats.org/drawingml/2006/picture">
                <pic:pic>
                  <pic:nvPicPr>
                    <pic:cNvPr id="0" name="FIGURE_01_RESEARCH_LINEAGE.png"/>
                    <pic:cNvPicPr/>
                  </pic:nvPicPr>
                  <pic:blipFill>
                    <a:blip r:embed="rId11"/>
                    <a:stretch>
                      <a:fillRect/>
                    </a:stretch>
                  </pic:blipFill>
                  <pic:spPr>
                    <a:xfrm>
                      <a:off x="0" y="0"/>
                      <a:ext cx="5806440" cy="3804677"/>
                    </a:xfrm>
                    <a:prstGeom prst="rect"/>
                  </pic:spPr>
                </pic:pic>
              </a:graphicData>
            </a:graphic>
          </wp:inline>
        </w:drawing>
      </w:r>
    </w:p>
    <w:p>
      <w:pPr>
        <w:pStyle w:val="FigureCaptionUKACTIVE"/>
      </w:pPr>
      <w:r>
        <w:rPr>
          <w:b/>
          <w:sz w:val="18"/>
        </w:rPr>
        <w:t>Figure 1.</w:t>
      </w:r>
      <w:r>
        <w:rPr>
          <w:sz w:val="18"/>
        </w:rPr>
        <w:t xml:space="preserve"> The lineage proceeds from data discovery through causal remediation, signal testing, portfolio architecture, falsification, SIPP translation and freeze. Arrows show scientific dependency, not automatic promotion. Sample and disposition details appear in the figure.</w:t>
      </w:r>
    </w:p>
    <w:p>
      <w:r>
        <w:t>The chronology matters because later results cannot repair earlier causal defects retroactively. For example, the initially interesting A4 TOP1 result was not accepted as a finished strategy: its concentration led directly to the TOP3–TOP10 frontier. Likewise, the favourable recent CASH1 behaviour caused matched-exposure testing, which showed that much of its apparent defence could be obtained more effectively by holding a static lower-risk allocation. Each new test had a stated motivation, and failed additions were not silently retained.</w:t>
      </w:r>
    </w:p>
    <w:p>
      <w:pPr>
        <w:pStyle w:val="Heading1"/>
      </w:pPr>
      <w:r>
        <w:t>4. Dataset and investable universe</w:t>
      </w:r>
    </w:p>
    <w:p>
      <w:pPr>
        <w:pStyle w:val="Heading2"/>
      </w:pPr>
      <w:r>
        <w:t>4.1 Sources, units and calendar</w:t>
      </w:r>
    </w:p>
    <w:p>
      <w:r>
        <w:t>The platform combined LSE listing discovery, curated internal identifiers, EODHD adjusted-price histories, European Central Bank foreign-exchange series for conversion to GBP, a reconstructed XLON session calendar and a time-varying SONIA-based GBP cash series. The accepted price field was adjusted close after data-quality validation; this incorporates distributions in the historical total-return representation. Prices denominated in pence sterling (GBX) were divided by 100 to obtain GBP before return construction. Foreign-currency histories were converted once to GBP. A GBP-traded line was not treated as currency hedged merely because its dealing currency was GBP.</w:t>
      </w:r>
    </w:p>
    <w:p>
      <w:r>
        <w:t>The broad data foundation is larger than the frozen opportunity set. A0/A1 discovered 4,359 current LSE lines representing 2,821 distinct raw ISINs, curated them into 296 share classes, 478 listings and 99 economic-exposure families. A2 found 90 families with at least one usable history and 86 then ready for A3. The final M2 structural pool contains 27 industry-and-theme families; 25 had all five horizons at the cutoff and two remained in warm-up. These counts describe different funnels and must not be substituted for one another.</w:t>
      </w:r>
    </w:p>
    <w:p>
      <w:pPr>
        <w:keepNext/>
        <w:spacing w:before="160" w:after="80"/>
      </w:pPr>
      <w:r>
        <w:rPr>
          <w:b/>
        </w:rPr>
        <w:t>Table 2. Dataset and universe funnel</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Layer</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Count</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Meaning</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Historical interpretation</w:t>
            </w:r>
          </w:p>
        </w:tc>
      </w:tr>
      <w:tr>
        <w:tc>
          <w:tcPr>
            <w:tcW w:type="dxa" w:w="2438"/>
            <w:tcMar>
              <w:top w:w="70" w:type="dxa"/>
              <w:start w:w="85" w:type="dxa"/>
              <w:bottom w:w="70" w:type="dxa"/>
              <w:end w:w="85" w:type="dxa"/>
            </w:tcMar>
            <w:vAlign w:val="center"/>
          </w:tcPr>
          <w:p>
            <w:pPr>
              <w:spacing w:before="0" w:after="0" w:line="240" w:lineRule="auto"/>
            </w:pPr>
            <w:r/>
            <w:r>
              <w:rPr>
                <w:sz w:val="17"/>
              </w:rPr>
              <w:t>Raw LSE discovery lines</w:t>
            </w:r>
          </w:p>
        </w:tc>
        <w:tc>
          <w:tcPr>
            <w:tcW w:type="dxa" w:w="2438"/>
            <w:tcMar>
              <w:top w:w="70" w:type="dxa"/>
              <w:start w:w="85" w:type="dxa"/>
              <w:bottom w:w="70" w:type="dxa"/>
              <w:end w:w="85" w:type="dxa"/>
            </w:tcMar>
            <w:vAlign w:val="center"/>
          </w:tcPr>
          <w:p>
            <w:pPr>
              <w:spacing w:before="0" w:after="0" w:line="240" w:lineRule="auto"/>
            </w:pPr>
            <w:r/>
            <w:r>
              <w:rPr>
                <w:sz w:val="17"/>
              </w:rPr>
              <w:t>4,359</w:t>
            </w:r>
          </w:p>
        </w:tc>
        <w:tc>
          <w:tcPr>
            <w:tcW w:type="dxa" w:w="2438"/>
            <w:tcMar>
              <w:top w:w="70" w:type="dxa"/>
              <w:start w:w="85" w:type="dxa"/>
              <w:bottom w:w="70" w:type="dxa"/>
              <w:end w:w="85" w:type="dxa"/>
            </w:tcMar>
            <w:vAlign w:val="center"/>
          </w:tcPr>
          <w:p>
            <w:pPr>
              <w:spacing w:before="0" w:after="0" w:line="240" w:lineRule="auto"/>
            </w:pPr>
            <w:r/>
            <w:r>
              <w:rPr>
                <w:sz w:val="17"/>
              </w:rPr>
              <w:t>Current listings observed in discovery</w:t>
            </w:r>
          </w:p>
        </w:tc>
        <w:tc>
          <w:tcPr>
            <w:tcW w:type="dxa" w:w="2438"/>
            <w:tcMar>
              <w:top w:w="70" w:type="dxa"/>
              <w:start w:w="85" w:type="dxa"/>
              <w:bottom w:w="70" w:type="dxa"/>
              <w:end w:w="85" w:type="dxa"/>
            </w:tcMar>
            <w:vAlign w:val="center"/>
          </w:tcPr>
          <w:p>
            <w:pPr>
              <w:spacing w:before="0" w:after="0" w:line="240" w:lineRule="auto"/>
            </w:pPr>
            <w:r/>
            <w:r>
              <w:rPr>
                <w:sz w:val="17"/>
              </w:rPr>
              <w:t>Not a historical universe</w:t>
            </w:r>
          </w:p>
        </w:tc>
      </w:tr>
      <w:tr>
        <w:tc>
          <w:tcPr>
            <w:tcW w:type="dxa" w:w="2438"/>
            <w:tcMar>
              <w:top w:w="70" w:type="dxa"/>
              <w:start w:w="85" w:type="dxa"/>
              <w:bottom w:w="70" w:type="dxa"/>
              <w:end w:w="85" w:type="dxa"/>
            </w:tcMar>
            <w:vAlign w:val="center"/>
          </w:tcPr>
          <w:p>
            <w:pPr>
              <w:spacing w:before="0" w:after="0" w:line="240" w:lineRule="auto"/>
            </w:pPr>
            <w:r/>
            <w:r>
              <w:rPr>
                <w:sz w:val="17"/>
              </w:rPr>
              <w:t>Distinct raw ISINs</w:t>
            </w:r>
          </w:p>
        </w:tc>
        <w:tc>
          <w:tcPr>
            <w:tcW w:type="dxa" w:w="2438"/>
            <w:tcMar>
              <w:top w:w="70" w:type="dxa"/>
              <w:start w:w="85" w:type="dxa"/>
              <w:bottom w:w="70" w:type="dxa"/>
              <w:end w:w="85" w:type="dxa"/>
            </w:tcMar>
            <w:vAlign w:val="center"/>
          </w:tcPr>
          <w:p>
            <w:pPr>
              <w:spacing w:before="0" w:after="0" w:line="240" w:lineRule="auto"/>
            </w:pPr>
            <w:r/>
            <w:r>
              <w:rPr>
                <w:sz w:val="17"/>
              </w:rPr>
              <w:t>2,821</w:t>
            </w:r>
          </w:p>
        </w:tc>
        <w:tc>
          <w:tcPr>
            <w:tcW w:type="dxa" w:w="2438"/>
            <w:tcMar>
              <w:top w:w="70" w:type="dxa"/>
              <w:start w:w="85" w:type="dxa"/>
              <w:bottom w:w="70" w:type="dxa"/>
              <w:end w:w="85" w:type="dxa"/>
            </w:tcMar>
            <w:vAlign w:val="center"/>
          </w:tcPr>
          <w:p>
            <w:pPr>
              <w:spacing w:before="0" w:after="0" w:line="240" w:lineRule="auto"/>
            </w:pPr>
            <w:r/>
            <w:r>
              <w:rPr>
                <w:sz w:val="17"/>
              </w:rPr>
              <w:t>Raw identifiers before curation</w:t>
            </w:r>
          </w:p>
        </w:tc>
        <w:tc>
          <w:tcPr>
            <w:tcW w:type="dxa" w:w="2438"/>
            <w:tcMar>
              <w:top w:w="70" w:type="dxa"/>
              <w:start w:w="85" w:type="dxa"/>
              <w:bottom w:w="70" w:type="dxa"/>
              <w:end w:w="85" w:type="dxa"/>
            </w:tcMar>
            <w:vAlign w:val="center"/>
          </w:tcPr>
          <w:p>
            <w:pPr>
              <w:spacing w:before="0" w:after="0" w:line="240" w:lineRule="auto"/>
            </w:pPr>
            <w:r/>
            <w:r>
              <w:rPr>
                <w:sz w:val="17"/>
              </w:rPr>
              <w:t>Not all eligible or unique exposures</w:t>
            </w:r>
          </w:p>
        </w:tc>
      </w:tr>
      <w:tr>
        <w:tc>
          <w:tcPr>
            <w:tcW w:type="dxa" w:w="2438"/>
            <w:tcMar>
              <w:top w:w="70" w:type="dxa"/>
              <w:start w:w="85" w:type="dxa"/>
              <w:bottom w:w="70" w:type="dxa"/>
              <w:end w:w="85" w:type="dxa"/>
            </w:tcMar>
            <w:vAlign w:val="center"/>
          </w:tcPr>
          <w:p>
            <w:pPr>
              <w:spacing w:before="0" w:after="0" w:line="240" w:lineRule="auto"/>
            </w:pPr>
            <w:r/>
            <w:r>
              <w:rPr>
                <w:sz w:val="17"/>
              </w:rPr>
              <w:t>Curated share classes</w:t>
            </w:r>
          </w:p>
        </w:tc>
        <w:tc>
          <w:tcPr>
            <w:tcW w:type="dxa" w:w="2438"/>
            <w:tcMar>
              <w:top w:w="70" w:type="dxa"/>
              <w:start w:w="85" w:type="dxa"/>
              <w:bottom w:w="70" w:type="dxa"/>
              <w:end w:w="85" w:type="dxa"/>
            </w:tcMar>
            <w:vAlign w:val="center"/>
          </w:tcPr>
          <w:p>
            <w:pPr>
              <w:spacing w:before="0" w:after="0" w:line="240" w:lineRule="auto"/>
            </w:pPr>
            <w:r/>
            <w:r>
              <w:rPr>
                <w:sz w:val="17"/>
              </w:rPr>
              <w:t>296</w:t>
            </w:r>
          </w:p>
        </w:tc>
        <w:tc>
          <w:tcPr>
            <w:tcW w:type="dxa" w:w="2438"/>
            <w:tcMar>
              <w:top w:w="70" w:type="dxa"/>
              <w:start w:w="85" w:type="dxa"/>
              <w:bottom w:w="70" w:type="dxa"/>
              <w:end w:w="85" w:type="dxa"/>
            </w:tcMar>
            <w:vAlign w:val="center"/>
          </w:tcPr>
          <w:p>
            <w:pPr>
              <w:spacing w:before="0" w:after="0" w:line="240" w:lineRule="auto"/>
            </w:pPr>
            <w:r/>
            <w:r>
              <w:rPr>
                <w:sz w:val="17"/>
              </w:rPr>
              <w:t>Fund share-class records</w:t>
            </w:r>
          </w:p>
        </w:tc>
        <w:tc>
          <w:tcPr>
            <w:tcW w:type="dxa" w:w="2438"/>
            <w:tcMar>
              <w:top w:w="70" w:type="dxa"/>
              <w:start w:w="85" w:type="dxa"/>
              <w:bottom w:w="70" w:type="dxa"/>
              <w:end w:w="85" w:type="dxa"/>
            </w:tcMar>
            <w:vAlign w:val="center"/>
          </w:tcPr>
          <w:p>
            <w:pPr>
              <w:spacing w:before="0" w:after="0" w:line="240" w:lineRule="auto"/>
            </w:pPr>
            <w:r/>
            <w:r>
              <w:rPr>
                <w:sz w:val="17"/>
              </w:rPr>
              <w:t>May have several listing lines</w:t>
            </w:r>
          </w:p>
        </w:tc>
      </w:tr>
      <w:tr>
        <w:tc>
          <w:tcPr>
            <w:tcW w:type="dxa" w:w="2438"/>
            <w:tcMar>
              <w:top w:w="70" w:type="dxa"/>
              <w:start w:w="85" w:type="dxa"/>
              <w:bottom w:w="70" w:type="dxa"/>
              <w:end w:w="85" w:type="dxa"/>
            </w:tcMar>
            <w:vAlign w:val="center"/>
          </w:tcPr>
          <w:p>
            <w:pPr>
              <w:spacing w:before="0" w:after="0" w:line="240" w:lineRule="auto"/>
            </w:pPr>
            <w:r/>
            <w:r>
              <w:rPr>
                <w:sz w:val="17"/>
              </w:rPr>
              <w:t>Curated listings</w:t>
            </w:r>
          </w:p>
        </w:tc>
        <w:tc>
          <w:tcPr>
            <w:tcW w:type="dxa" w:w="2438"/>
            <w:tcMar>
              <w:top w:w="70" w:type="dxa"/>
              <w:start w:w="85" w:type="dxa"/>
              <w:bottom w:w="70" w:type="dxa"/>
              <w:end w:w="85" w:type="dxa"/>
            </w:tcMar>
            <w:vAlign w:val="center"/>
          </w:tcPr>
          <w:p>
            <w:pPr>
              <w:spacing w:before="0" w:after="0" w:line="240" w:lineRule="auto"/>
            </w:pPr>
            <w:r/>
            <w:r>
              <w:rPr>
                <w:sz w:val="17"/>
              </w:rPr>
              <w:t>478</w:t>
            </w:r>
          </w:p>
        </w:tc>
        <w:tc>
          <w:tcPr>
            <w:tcW w:type="dxa" w:w="2438"/>
            <w:tcMar>
              <w:top w:w="70" w:type="dxa"/>
              <w:start w:w="85" w:type="dxa"/>
              <w:bottom w:w="70" w:type="dxa"/>
              <w:end w:w="85" w:type="dxa"/>
            </w:tcMar>
            <w:vAlign w:val="center"/>
          </w:tcPr>
          <w:p>
            <w:pPr>
              <w:spacing w:before="0" w:after="0" w:line="240" w:lineRule="auto"/>
            </w:pPr>
            <w:r/>
            <w:r>
              <w:rPr>
                <w:sz w:val="17"/>
              </w:rPr>
              <w:t>Exchange trading lines</w:t>
            </w:r>
          </w:p>
        </w:tc>
        <w:tc>
          <w:tcPr>
            <w:tcW w:type="dxa" w:w="2438"/>
            <w:tcMar>
              <w:top w:w="70" w:type="dxa"/>
              <w:start w:w="85" w:type="dxa"/>
              <w:bottom w:w="70" w:type="dxa"/>
              <w:end w:w="85" w:type="dxa"/>
            </w:tcMar>
            <w:vAlign w:val="center"/>
          </w:tcPr>
          <w:p>
            <w:pPr>
              <w:spacing w:before="0" w:after="0" w:line="240" w:lineRule="auto"/>
            </w:pPr>
            <w:r/>
            <w:r>
              <w:rPr>
                <w:sz w:val="17"/>
              </w:rPr>
              <w:t>Ticker-level implementations</w:t>
            </w:r>
          </w:p>
        </w:tc>
      </w:tr>
      <w:tr>
        <w:tc>
          <w:tcPr>
            <w:tcW w:type="dxa" w:w="2438"/>
            <w:tcMar>
              <w:top w:w="70" w:type="dxa"/>
              <w:start w:w="85" w:type="dxa"/>
              <w:bottom w:w="70" w:type="dxa"/>
              <w:end w:w="85" w:type="dxa"/>
            </w:tcMar>
            <w:vAlign w:val="center"/>
          </w:tcPr>
          <w:p>
            <w:pPr>
              <w:spacing w:before="0" w:after="0" w:line="240" w:lineRule="auto"/>
            </w:pPr>
            <w:r/>
            <w:r>
              <w:rPr>
                <w:sz w:val="17"/>
              </w:rPr>
              <w:t>Curated economic families</w:t>
            </w:r>
          </w:p>
        </w:tc>
        <w:tc>
          <w:tcPr>
            <w:tcW w:type="dxa" w:w="2438"/>
            <w:tcMar>
              <w:top w:w="70" w:type="dxa"/>
              <w:start w:w="85" w:type="dxa"/>
              <w:bottom w:w="70" w:type="dxa"/>
              <w:end w:w="85" w:type="dxa"/>
            </w:tcMar>
            <w:vAlign w:val="center"/>
          </w:tcPr>
          <w:p>
            <w:pPr>
              <w:spacing w:before="0" w:after="0" w:line="240" w:lineRule="auto"/>
            </w:pPr>
            <w:r/>
            <w:r>
              <w:rPr>
                <w:sz w:val="17"/>
              </w:rPr>
              <w:t>99</w:t>
            </w:r>
          </w:p>
        </w:tc>
        <w:tc>
          <w:tcPr>
            <w:tcW w:type="dxa" w:w="2438"/>
            <w:tcMar>
              <w:top w:w="70" w:type="dxa"/>
              <w:start w:w="85" w:type="dxa"/>
              <w:bottom w:w="70" w:type="dxa"/>
              <w:end w:w="85" w:type="dxa"/>
            </w:tcMar>
            <w:vAlign w:val="center"/>
          </w:tcPr>
          <w:p>
            <w:pPr>
              <w:spacing w:before="0" w:after="0" w:line="240" w:lineRule="auto"/>
            </w:pPr>
            <w:r/>
            <w:r>
              <w:rPr>
                <w:sz w:val="17"/>
              </w:rPr>
              <w:t>Research exposure units</w:t>
            </w:r>
          </w:p>
        </w:tc>
        <w:tc>
          <w:tcPr>
            <w:tcW w:type="dxa" w:w="2438"/>
            <w:tcMar>
              <w:top w:w="70" w:type="dxa"/>
              <w:start w:w="85" w:type="dxa"/>
              <w:bottom w:w="70" w:type="dxa"/>
              <w:end w:w="85" w:type="dxa"/>
            </w:tcMar>
            <w:vAlign w:val="center"/>
          </w:tcPr>
          <w:p>
            <w:pPr>
              <w:spacing w:before="0" w:after="0" w:line="240" w:lineRule="auto"/>
            </w:pPr>
            <w:r/>
            <w:r>
              <w:rPr>
                <w:sz w:val="17"/>
              </w:rPr>
              <w:t>Roles extend beyond frozen M2 pool</w:t>
            </w:r>
          </w:p>
        </w:tc>
      </w:tr>
      <w:tr>
        <w:tc>
          <w:tcPr>
            <w:tcW w:type="dxa" w:w="2438"/>
            <w:tcMar>
              <w:top w:w="70" w:type="dxa"/>
              <w:start w:w="85" w:type="dxa"/>
              <w:bottom w:w="70" w:type="dxa"/>
              <w:end w:w="85" w:type="dxa"/>
            </w:tcMar>
            <w:vAlign w:val="center"/>
          </w:tcPr>
          <w:p>
            <w:pPr>
              <w:spacing w:before="0" w:after="0" w:line="240" w:lineRule="auto"/>
            </w:pPr>
            <w:r/>
            <w:r>
              <w:rPr>
                <w:sz w:val="17"/>
              </w:rPr>
              <w:t>A2 usable historical families</w:t>
            </w:r>
          </w:p>
        </w:tc>
        <w:tc>
          <w:tcPr>
            <w:tcW w:type="dxa" w:w="2438"/>
            <w:tcMar>
              <w:top w:w="70" w:type="dxa"/>
              <w:start w:w="85" w:type="dxa"/>
              <w:bottom w:w="70" w:type="dxa"/>
              <w:end w:w="85" w:type="dxa"/>
            </w:tcMar>
            <w:vAlign w:val="center"/>
          </w:tcPr>
          <w:p>
            <w:pPr>
              <w:spacing w:before="0" w:after="0" w:line="240" w:lineRule="auto"/>
            </w:pPr>
            <w:r/>
            <w:r>
              <w:rPr>
                <w:sz w:val="17"/>
              </w:rPr>
              <w:t>90</w:t>
            </w:r>
          </w:p>
        </w:tc>
        <w:tc>
          <w:tcPr>
            <w:tcW w:type="dxa" w:w="2438"/>
            <w:tcMar>
              <w:top w:w="70" w:type="dxa"/>
              <w:start w:w="85" w:type="dxa"/>
              <w:bottom w:w="70" w:type="dxa"/>
              <w:end w:w="85" w:type="dxa"/>
            </w:tcMar>
            <w:vAlign w:val="center"/>
          </w:tcPr>
          <w:p>
            <w:pPr>
              <w:spacing w:before="0" w:after="0" w:line="240" w:lineRule="auto"/>
            </w:pPr>
            <w:r/>
            <w:r>
              <w:rPr>
                <w:sz w:val="17"/>
              </w:rPr>
              <w:t>At least one accepted history</w:t>
            </w:r>
          </w:p>
        </w:tc>
        <w:tc>
          <w:tcPr>
            <w:tcW w:type="dxa" w:w="2438"/>
            <w:tcMar>
              <w:top w:w="70" w:type="dxa"/>
              <w:start w:w="85" w:type="dxa"/>
              <w:bottom w:w="70" w:type="dxa"/>
              <w:end w:w="85" w:type="dxa"/>
            </w:tcMar>
            <w:vAlign w:val="center"/>
          </w:tcPr>
          <w:p>
            <w:pPr>
              <w:spacing w:before="0" w:after="0" w:line="240" w:lineRule="auto"/>
            </w:pPr>
            <w:r/>
            <w:r>
              <w:rPr>
                <w:sz w:val="17"/>
              </w:rPr>
              <w:t>Coverage varies by horizon</w:t>
            </w:r>
          </w:p>
        </w:tc>
      </w:tr>
      <w:tr>
        <w:tc>
          <w:tcPr>
            <w:tcW w:type="dxa" w:w="2438"/>
            <w:tcMar>
              <w:top w:w="70" w:type="dxa"/>
              <w:start w:w="85" w:type="dxa"/>
              <w:bottom w:w="70" w:type="dxa"/>
              <w:end w:w="85" w:type="dxa"/>
            </w:tcMar>
            <w:vAlign w:val="center"/>
          </w:tcPr>
          <w:p>
            <w:pPr>
              <w:spacing w:before="0" w:after="0" w:line="240" w:lineRule="auto"/>
            </w:pPr>
            <w:r/>
            <w:r>
              <w:rPr>
                <w:sz w:val="17"/>
              </w:rPr>
              <w:t>A2 A3-ready families</w:t>
            </w:r>
          </w:p>
        </w:tc>
        <w:tc>
          <w:tcPr>
            <w:tcW w:type="dxa" w:w="2438"/>
            <w:tcMar>
              <w:top w:w="70" w:type="dxa"/>
              <w:start w:w="85" w:type="dxa"/>
              <w:bottom w:w="70" w:type="dxa"/>
              <w:end w:w="85" w:type="dxa"/>
            </w:tcMar>
            <w:vAlign w:val="center"/>
          </w:tcPr>
          <w:p>
            <w:pPr>
              <w:spacing w:before="0" w:after="0" w:line="240" w:lineRule="auto"/>
            </w:pPr>
            <w:r/>
            <w:r>
              <w:rPr>
                <w:sz w:val="17"/>
              </w:rPr>
              <w:t>86</w:t>
            </w:r>
          </w:p>
        </w:tc>
        <w:tc>
          <w:tcPr>
            <w:tcW w:type="dxa" w:w="2438"/>
            <w:tcMar>
              <w:top w:w="70" w:type="dxa"/>
              <w:start w:w="85" w:type="dxa"/>
              <w:bottom w:w="70" w:type="dxa"/>
              <w:end w:w="85" w:type="dxa"/>
            </w:tcMar>
            <w:vAlign w:val="center"/>
          </w:tcPr>
          <w:p>
            <w:pPr>
              <w:spacing w:before="0" w:after="0" w:line="240" w:lineRule="auto"/>
            </w:pPr>
            <w:r/>
            <w:r>
              <w:rPr>
                <w:sz w:val="17"/>
              </w:rPr>
              <w:t>Met the then-current readiness rule</w:t>
            </w:r>
          </w:p>
        </w:tc>
        <w:tc>
          <w:tcPr>
            <w:tcW w:type="dxa" w:w="2438"/>
            <w:tcMar>
              <w:top w:w="70" w:type="dxa"/>
              <w:start w:w="85" w:type="dxa"/>
              <w:bottom w:w="70" w:type="dxa"/>
              <w:end w:w="85" w:type="dxa"/>
            </w:tcMar>
            <w:vAlign w:val="center"/>
          </w:tcPr>
          <w:p>
            <w:pPr>
              <w:spacing w:before="0" w:after="0" w:line="240" w:lineRule="auto"/>
            </w:pPr>
            <w:r/>
            <w:r>
              <w:rPr>
                <w:sz w:val="17"/>
              </w:rPr>
              <w:t>Before later pool restrictions</w:t>
            </w:r>
          </w:p>
        </w:tc>
      </w:tr>
      <w:tr>
        <w:tc>
          <w:tcPr>
            <w:tcW w:type="dxa" w:w="2438"/>
            <w:tcMar>
              <w:top w:w="70" w:type="dxa"/>
              <w:start w:w="85" w:type="dxa"/>
              <w:bottom w:w="70" w:type="dxa"/>
              <w:end w:w="85" w:type="dxa"/>
            </w:tcMar>
            <w:vAlign w:val="center"/>
          </w:tcPr>
          <w:p>
            <w:pPr>
              <w:spacing w:before="0" w:after="0" w:line="240" w:lineRule="auto"/>
            </w:pPr>
            <w:r/>
            <w:r>
              <w:rPr>
                <w:sz w:val="17"/>
              </w:rPr>
              <w:t>Frozen M2 structural families</w:t>
            </w:r>
          </w:p>
        </w:tc>
        <w:tc>
          <w:tcPr>
            <w:tcW w:type="dxa" w:w="2438"/>
            <w:tcMar>
              <w:top w:w="70" w:type="dxa"/>
              <w:start w:w="85" w:type="dxa"/>
              <w:bottom w:w="70" w:type="dxa"/>
              <w:end w:w="85" w:type="dxa"/>
            </w:tcMar>
            <w:vAlign w:val="center"/>
          </w:tcPr>
          <w:p>
            <w:pPr>
              <w:spacing w:before="0" w:after="0" w:line="240" w:lineRule="auto"/>
            </w:pPr>
            <w:r/>
            <w:r>
              <w:rPr>
                <w:sz w:val="17"/>
              </w:rPr>
              <w:t>27</w:t>
            </w:r>
          </w:p>
        </w:tc>
        <w:tc>
          <w:tcPr>
            <w:tcW w:type="dxa" w:w="2438"/>
            <w:tcMar>
              <w:top w:w="70" w:type="dxa"/>
              <w:start w:w="85" w:type="dxa"/>
              <w:bottom w:w="70" w:type="dxa"/>
              <w:end w:w="85" w:type="dxa"/>
            </w:tcMar>
            <w:vAlign w:val="center"/>
          </w:tcPr>
          <w:p>
            <w:pPr>
              <w:spacing w:before="0" w:after="0" w:line="240" w:lineRule="auto"/>
            </w:pPr>
            <w:r/>
            <w:r>
              <w:rPr>
                <w:sz w:val="17"/>
              </w:rPr>
              <w:t>Industry-plus-theme family set</w:t>
            </w:r>
          </w:p>
        </w:tc>
        <w:tc>
          <w:tcPr>
            <w:tcW w:type="dxa" w:w="2438"/>
            <w:tcMar>
              <w:top w:w="70" w:type="dxa"/>
              <w:start w:w="85" w:type="dxa"/>
              <w:bottom w:w="70" w:type="dxa"/>
              <w:end w:w="85" w:type="dxa"/>
            </w:tcMar>
            <w:vAlign w:val="center"/>
          </w:tcPr>
          <w:p>
            <w:pPr>
              <w:spacing w:before="0" w:after="0" w:line="240" w:lineRule="auto"/>
            </w:pPr>
            <w:r/>
            <w:r>
              <w:rPr>
                <w:sz w:val="17"/>
              </w:rPr>
              <w:t>Point-in-time membership contract</w:t>
            </w:r>
          </w:p>
        </w:tc>
      </w:tr>
      <w:tr>
        <w:tc>
          <w:tcPr>
            <w:tcW w:type="dxa" w:w="2438"/>
            <w:tcMar>
              <w:top w:w="70" w:type="dxa"/>
              <w:start w:w="85" w:type="dxa"/>
              <w:bottom w:w="70" w:type="dxa"/>
              <w:end w:w="85" w:type="dxa"/>
            </w:tcMar>
            <w:vAlign w:val="center"/>
          </w:tcPr>
          <w:p>
            <w:pPr>
              <w:spacing w:before="0" w:after="0" w:line="240" w:lineRule="auto"/>
            </w:pPr>
            <w:r/>
            <w:r>
              <w:rPr>
                <w:sz w:val="17"/>
              </w:rPr>
              <w:t>Signal-ready at 2026-08-21</w:t>
            </w:r>
          </w:p>
        </w:tc>
        <w:tc>
          <w:tcPr>
            <w:tcW w:type="dxa" w:w="2438"/>
            <w:tcMar>
              <w:top w:w="70" w:type="dxa"/>
              <w:start w:w="85" w:type="dxa"/>
              <w:bottom w:w="70" w:type="dxa"/>
              <w:end w:w="85" w:type="dxa"/>
            </w:tcMar>
            <w:vAlign w:val="center"/>
          </w:tcPr>
          <w:p>
            <w:pPr>
              <w:spacing w:before="0" w:after="0" w:line="240" w:lineRule="auto"/>
            </w:pPr>
            <w:r/>
            <w:r>
              <w:rPr>
                <w:sz w:val="17"/>
              </w:rPr>
              <w:t>25</w:t>
            </w:r>
          </w:p>
        </w:tc>
        <w:tc>
          <w:tcPr>
            <w:tcW w:type="dxa" w:w="2438"/>
            <w:tcMar>
              <w:top w:w="70" w:type="dxa"/>
              <w:start w:w="85" w:type="dxa"/>
              <w:bottom w:w="70" w:type="dxa"/>
              <w:end w:w="85" w:type="dxa"/>
            </w:tcMar>
            <w:vAlign w:val="center"/>
          </w:tcPr>
          <w:p>
            <w:pPr>
              <w:spacing w:before="0" w:after="0" w:line="240" w:lineRule="auto"/>
            </w:pPr>
            <w:r/>
            <w:r>
              <w:rPr>
                <w:sz w:val="17"/>
              </w:rPr>
              <w:t>All five M2 components available</w:t>
            </w:r>
          </w:p>
        </w:tc>
        <w:tc>
          <w:tcPr>
            <w:tcW w:type="dxa" w:w="2438"/>
            <w:tcMar>
              <w:top w:w="70" w:type="dxa"/>
              <w:start w:w="85" w:type="dxa"/>
              <w:bottom w:w="70" w:type="dxa"/>
              <w:end w:w="85" w:type="dxa"/>
            </w:tcMar>
            <w:vAlign w:val="center"/>
          </w:tcPr>
          <w:p>
            <w:pPr>
              <w:spacing w:before="0" w:after="0" w:line="240" w:lineRule="auto"/>
            </w:pPr>
            <w:r/>
            <w:r>
              <w:rPr>
                <w:sz w:val="17"/>
              </w:rPr>
              <w:t>Eligible at cutoff only</w:t>
            </w:r>
          </w:p>
        </w:tc>
      </w:tr>
      <w:tr>
        <w:tc>
          <w:tcPr>
            <w:tcW w:type="dxa" w:w="2438"/>
            <w:tcMar>
              <w:top w:w="70" w:type="dxa"/>
              <w:start w:w="85" w:type="dxa"/>
              <w:bottom w:w="70" w:type="dxa"/>
              <w:end w:w="85" w:type="dxa"/>
            </w:tcMar>
            <w:vAlign w:val="center"/>
          </w:tcPr>
          <w:p>
            <w:pPr>
              <w:spacing w:before="0" w:after="0" w:line="240" w:lineRule="auto"/>
            </w:pPr>
            <w:r/>
            <w:r>
              <w:rPr>
                <w:sz w:val="17"/>
              </w:rPr>
              <w:t>Warm-up at 2026-08-21</w:t>
            </w:r>
          </w:p>
        </w:tc>
        <w:tc>
          <w:tcPr>
            <w:tcW w:type="dxa" w:w="2438"/>
            <w:tcMar>
              <w:top w:w="70" w:type="dxa"/>
              <w:start w:w="85" w:type="dxa"/>
              <w:bottom w:w="70" w:type="dxa"/>
              <w:end w:w="85" w:type="dxa"/>
            </w:tcMar>
            <w:vAlign w:val="center"/>
          </w:tcPr>
          <w:p>
            <w:pPr>
              <w:spacing w:before="0" w:after="0" w:line="240" w:lineRule="auto"/>
            </w:pPr>
            <w:r/>
            <w:r>
              <w:rPr>
                <w:sz w:val="17"/>
              </w:rPr>
              <w:t>2</w:t>
            </w:r>
          </w:p>
        </w:tc>
        <w:tc>
          <w:tcPr>
            <w:tcW w:type="dxa" w:w="2438"/>
            <w:tcMar>
              <w:top w:w="70" w:type="dxa"/>
              <w:start w:w="85" w:type="dxa"/>
              <w:bottom w:w="70" w:type="dxa"/>
              <w:end w:w="85" w:type="dxa"/>
            </w:tcMar>
            <w:vAlign w:val="center"/>
          </w:tcPr>
          <w:p>
            <w:pPr>
              <w:spacing w:before="0" w:after="0" w:line="240" w:lineRule="auto"/>
            </w:pPr>
            <w:r/>
            <w:r>
              <w:rPr>
                <w:sz w:val="17"/>
              </w:rPr>
              <w:t>Structural members lacking full formation</w:t>
            </w:r>
          </w:p>
        </w:tc>
        <w:tc>
          <w:tcPr>
            <w:tcW w:type="dxa" w:w="2438"/>
            <w:tcMar>
              <w:top w:w="70" w:type="dxa"/>
              <w:start w:w="85" w:type="dxa"/>
              <w:bottom w:w="70" w:type="dxa"/>
              <w:end w:w="85" w:type="dxa"/>
            </w:tcMar>
            <w:vAlign w:val="center"/>
          </w:tcPr>
          <w:p>
            <w:pPr>
              <w:spacing w:before="0" w:after="0" w:line="240" w:lineRule="auto"/>
            </w:pPr>
            <w:r/>
            <w:r>
              <w:rPr>
                <w:sz w:val="17"/>
              </w:rPr>
              <w:t>Receive no score until ready</w:t>
            </w:r>
          </w:p>
        </w:tc>
      </w:tr>
    </w:tbl>
    <w:p>
      <w:pPr>
        <w:pStyle w:val="SourceCitation"/>
      </w:pPr>
      <w:r>
        <w:rPr>
          <w:sz w:val="16"/>
        </w:rPr>
        <w:t xml:space="preserve">Internal sources [DATA-01]–[DATA-10]: A0/A1 manifest and master counts at commit </w:t>
      </w:r>
      <w:r>
        <w:rPr>
          <w:rFonts w:ascii="Consolas" w:hAnsi="Consolas"/>
          <w:color w:val="1F4D78"/>
          <w:sz w:val="16"/>
        </w:rPr>
        <w:t>2c26ad3639e4e025477d9415f4f7b707e9856b55</w:t>
      </w:r>
      <w:r>
        <w:rPr>
          <w:sz w:val="16"/>
        </w:rPr>
        <w:t xml:space="preserve">; A2 coverage CSV at the same commit; A5C frozen-spec fields at freeze commit </w:t>
      </w:r>
      <w:r>
        <w:rPr>
          <w:rFonts w:ascii="Consolas" w:hAnsi="Consolas"/>
          <w:color w:val="1F4D78"/>
          <w:sz w:val="16"/>
        </w:rPr>
        <w:t>a8008f7709af3000a889bb234a86f8c520c4ed73</w:t>
      </w:r>
      <w:r>
        <w:rPr>
          <w:sz w:val="16"/>
        </w:rPr>
        <w:t>.</w:t>
      </w:r>
    </w:p>
    <w:p>
      <w:r>
        <w:t>At the A2 checkpoint, 89 families had at least one year of accepted history, 86 had three years, 77 had five years and 59 had ten years. Coverage does not imply contemporaneous eligibility for every strategy date. The common executable M2 window begins on 2017-03-01 because five-horizon formation, corrected histories and the selected pool first support a comparable portfolio then. The end is the immutable historical cutoff, 2026-08-21. Longer global-core history exists in the platform, but the final A4F longer-core-only result CSV is internally inconsistent and is quarantined in Section 18 rather than used for performance claims.</w:t>
      </w:r>
    </w:p>
    <w:p>
      <w:pPr>
        <w:pStyle w:val="Heading2"/>
      </w:pPr>
      <w:r>
        <w:t>4.2 Listing, share class, family and implementation</w:t>
      </w:r>
    </w:p>
    <w:p>
      <w:r>
        <w:t xml:space="preserve">An </w:t>
      </w:r>
      <w:r>
        <w:rPr>
          <w:b/>
        </w:rPr>
        <w:t>ETF listing</w:t>
      </w:r>
      <w:r>
        <w:t xml:space="preserve"> is an exchange-specific trading line with a ticker, currency and venue. A </w:t>
      </w:r>
      <w:r>
        <w:rPr>
          <w:b/>
        </w:rPr>
        <w:t>share class</w:t>
      </w:r>
      <w:r>
        <w:t xml:space="preserve"> is a legally defined fund interest identified by ISIN and may trade through multiple listings. An </w:t>
      </w:r>
      <w:r>
        <w:rPr>
          <w:b/>
        </w:rPr>
        <w:t>economic-exposure family</w:t>
      </w:r>
      <w:r>
        <w:t xml:space="preserve"> is the research unit—for example, global semiconductors—designed to prevent economically duplicated funds from receiving multiple votes in a cross-section. The </w:t>
      </w:r>
      <w:r>
        <w:rPr>
          <w:b/>
        </w:rPr>
        <w:t>ranked research unit</w:t>
      </w:r>
      <w:r>
        <w:t xml:space="preserve"> is that family. The </w:t>
      </w:r>
      <w:r>
        <w:rPr>
          <w:b/>
        </w:rPr>
        <w:t>live implementation instrument</w:t>
      </w:r>
      <w:r>
        <w:t xml:space="preserve"> is the currently preferred GBP or GBX listing used only after the family has been selected.</w:t>
      </w:r>
    </w:p>
    <w:p>
      <w:r>
        <w:t>This separation prevents a popular exposure with several near-identical lines from occupying multiple TOP7 slots. The family map also distinguishes preferred from alternate implementations. Alternates do not form extra historical observations. A current broker-confirmed line is a present implementation fact; it is never back-projected as proof that the same line was purchasable in 2017. Closures and incomplete histories remain missing or render a family ineligible according to the point-in-time contract.</w:t>
      </w:r>
    </w:p>
    <w:p>
      <w:pPr>
        <w:pStyle w:val="Heading1"/>
      </w:pPr>
      <w:r>
        <w:t>5. Construction of the research data</w:t>
      </w:r>
    </w:p>
    <w:p>
      <w:pPr>
        <w:pStyle w:val="Heading2"/>
      </w:pPr>
      <w:r>
        <w:t>5.1 Initial deficiencies and remediation</w:t>
      </w:r>
    </w:p>
    <w:p>
      <w:r>
        <w:t xml:space="preserve">A2 assembled 367 historical routes plus four delisted routes, accepted 357 validated histories and produced a panel of 667,700 observations. It invalidated 1,842 stale observations and retained 62,667 in-life missing observations as missing rather than filling them. The latter distinction is essential: an absence is not evidence of a flat price. Forward filling would manufacture tradability, suppress volatility and leak stale values into lookback returns. (Internal sources [DATA-A2-PANEL] and [DATA-A2-MISSING]: A2 manifest and </w:t>
      </w:r>
      <w:r>
        <w:rPr>
          <w:rFonts w:ascii="Consolas" w:hAnsi="Consolas"/>
          <w:color w:val="1F4D78"/>
        </w:rPr>
        <w:t>UKACTIVE_A2_STALE_AND_MISSING_DATA_REPORT.csv</w:t>
      </w:r>
      <w:r>
        <w:t xml:space="preserve">, commit </w:t>
      </w:r>
      <w:r>
        <w:rPr>
          <w:rFonts w:ascii="Consolas" w:hAnsi="Consolas"/>
          <w:color w:val="1F4D78"/>
        </w:rPr>
        <w:t>2c26ad3639e4e025477d9415f4f7b707e9856b55</w:t>
      </w:r>
      <w:r>
        <w:t>.)</w:t>
      </w:r>
    </w:p>
    <w:p>
      <w:r>
        <w:t xml:space="preserve">The first causal audit, A3R0, found 14 material family/history mismatches. A2R corrected 13, while </w:t>
      </w:r>
      <w:r>
        <w:rPr>
          <w:rFonts w:ascii="Consolas" w:hAnsi="Consolas"/>
          <w:color w:val="1F4D78"/>
        </w:rPr>
        <w:t>GLOBAL_BANKS</w:t>
      </w:r>
      <w:r>
        <w:t xml:space="preserve"> had no acceptable historical route and was excluded rather than proxied. Twenty-seven automated and 17 semantic checks supported that remediation. The second audit found a different problem: the vendor calendar included 29 dates that were not genuine XLON sessions. A2R2 reconstructed a deterministic exchange calendar, removed the false sessions and applied endpoint tolerances only across true sessions. (Internal sources [DATA-A2R-BLOCK], A3R0/A2R before-after audit, commit </w:t>
      </w:r>
      <w:r>
        <w:rPr>
          <w:rFonts w:ascii="Consolas" w:hAnsi="Consolas"/>
          <w:color w:val="1F4D78"/>
        </w:rPr>
        <w:t>2c26ad3</w:t>
      </w:r>
      <w:r>
        <w:t xml:space="preserve">; [DATA-A2R2-CALENDAR] and [DATA-A2R2-ENDPOINT], A2R2 root-cause and gap policy, commit </w:t>
      </w:r>
      <w:r>
        <w:rPr>
          <w:rFonts w:ascii="Consolas" w:hAnsi="Consolas"/>
          <w:color w:val="1F4D78"/>
        </w:rPr>
        <w:t>0a5d32896e777c806dd3485650da1cd4d7660832</w:t>
      </w:r>
      <w:r>
        <w:t>.)</w:t>
      </w:r>
    </w:p>
    <w:p>
      <w:pPr>
        <w:pStyle w:val="Heading2"/>
      </w:pPr>
      <w:r>
        <w:t>5.2 Point-in-time histories and launch cohorts</w:t>
      </w:r>
    </w:p>
    <w:p>
      <w:r>
        <w:t>Each family is eligible only after its accepted source history exists and all required lookbacks can be computed using information available by the review date. Launch cohorts therefore enter the denominator over time. A family cannot be assigned its current preferred ETF's earlier index history unless the canonical mapping explicitly established an accepted causal route. Endpoint matching may use the latest observation within three prior true XLON sessions, never a future date; a gap exceeding three sessions terminates the segment and requires a fresh valid observation. Genuine exchange holidays are not data failures.</w:t>
      </w:r>
    </w:p>
    <w:p>
      <w:r>
        <w:t>Adjusted histories were normalised to GBP once. GBX was treated as a unit, not a currency. Foreign listing currency conversion used the accepted FX series; no second conversion was applied to a GBP line. Dividend treatment came through the adjusted/total-return basis. The time-varying cash series used SONIA with the documented day-count convention. Preferred and alternate live instruments are mapped only after an economic family has been selected. Suspended or unavailable live lines cannot be replaced discretionarily by an unapproved exposure.</w:t>
      </w:r>
    </w:p>
    <w:p>
      <w:pPr>
        <w:keepNext/>
        <w:jc w:val="center"/>
      </w:pPr>
      <w:r>
        <w:drawing>
          <wp:inline xmlns:a="http://schemas.openxmlformats.org/drawingml/2006/main" xmlns:pic="http://schemas.openxmlformats.org/drawingml/2006/picture">
            <wp:extent cx="5806440" cy="3192403"/>
            <wp:docPr id="2" name="Picture 2"/>
            <wp:cNvGraphicFramePr>
              <a:graphicFrameLocks noChangeAspect="1"/>
            </wp:cNvGraphicFramePr>
            <a:graphic>
              <a:graphicData uri="http://schemas.openxmlformats.org/drawingml/2006/picture">
                <pic:pic>
                  <pic:nvPicPr>
                    <pic:cNvPr id="0" name="FIGURE_02_DATA_CAUSAL_TIMELINE.png"/>
                    <pic:cNvPicPr/>
                  </pic:nvPicPr>
                  <pic:blipFill>
                    <a:blip r:embed="rId12"/>
                    <a:stretch>
                      <a:fillRect/>
                    </a:stretch>
                  </pic:blipFill>
                  <pic:spPr>
                    <a:xfrm>
                      <a:off x="0" y="0"/>
                      <a:ext cx="5806440" cy="3192403"/>
                    </a:xfrm>
                    <a:prstGeom prst="rect"/>
                  </pic:spPr>
                </pic:pic>
              </a:graphicData>
            </a:graphic>
          </wp:inline>
        </w:drawing>
      </w:r>
    </w:p>
    <w:p>
      <w:pPr>
        <w:pStyle w:val="FigureCaptionUKACTIVE"/>
      </w:pPr>
      <w:r>
        <w:rPr>
          <w:b/>
          <w:sz w:val="18"/>
        </w:rPr>
        <w:t>Figure 2.</w:t>
      </w:r>
      <w:r>
        <w:rPr>
          <w:sz w:val="18"/>
        </w:rPr>
        <w:t xml:space="preserve"> The common executable window is distinguished from formation history, broader corrected-panel diagnostics and the unresolved longer-core-only output. The lower panel shows the review-to-execution contract. Costs are not applicable to the calendar schematic.</w:t>
      </w:r>
    </w:p>
    <w:p>
      <w:pPr>
        <w:keepNext/>
        <w:spacing w:before="160" w:after="80"/>
      </w:pPr>
      <w:r>
        <w:rPr>
          <w:b/>
        </w:rPr>
        <w:t>Table 3. Material point-in-time and data assumptions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Assumption</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Rationale</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Potential bias</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Direction</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Mitigation / residual limitation</w:t>
            </w:r>
          </w:p>
        </w:tc>
      </w:tr>
      <w:tr>
        <w:tc>
          <w:tcPr>
            <w:tcW w:type="dxa" w:w="1950"/>
            <w:tcMar>
              <w:top w:w="70" w:type="dxa"/>
              <w:start w:w="85" w:type="dxa"/>
              <w:bottom w:w="70" w:type="dxa"/>
              <w:end w:w="85" w:type="dxa"/>
            </w:tcMar>
            <w:vAlign w:val="center"/>
          </w:tcPr>
          <w:p>
            <w:pPr>
              <w:spacing w:before="0" w:after="0" w:line="240" w:lineRule="auto"/>
            </w:pPr>
            <w:r/>
            <w:r>
              <w:rPr>
                <w:sz w:val="17"/>
              </w:rPr>
              <w:t>Adjusted close represents total return</w:t>
            </w:r>
          </w:p>
        </w:tc>
        <w:tc>
          <w:tcPr>
            <w:tcW w:type="dxa" w:w="1950"/>
            <w:tcMar>
              <w:top w:w="70" w:type="dxa"/>
              <w:start w:w="85" w:type="dxa"/>
              <w:bottom w:w="70" w:type="dxa"/>
              <w:end w:w="85" w:type="dxa"/>
            </w:tcMar>
            <w:vAlign w:val="center"/>
          </w:tcPr>
          <w:p>
            <w:pPr>
              <w:spacing w:before="0" w:after="0" w:line="240" w:lineRule="auto"/>
            </w:pPr>
            <w:r/>
            <w:r>
              <w:rPr>
                <w:sz w:val="17"/>
              </w:rPr>
              <w:t>Distributions must enter cross-horizon performance</w:t>
            </w:r>
          </w:p>
        </w:tc>
        <w:tc>
          <w:tcPr>
            <w:tcW w:type="dxa" w:w="1950"/>
            <w:tcMar>
              <w:top w:w="70" w:type="dxa"/>
              <w:start w:w="85" w:type="dxa"/>
              <w:bottom w:w="70" w:type="dxa"/>
              <w:end w:w="85" w:type="dxa"/>
            </w:tcMar>
            <w:vAlign w:val="center"/>
          </w:tcPr>
          <w:p>
            <w:pPr>
              <w:spacing w:before="0" w:after="0" w:line="240" w:lineRule="auto"/>
            </w:pPr>
            <w:r/>
            <w:r>
              <w:rPr>
                <w:sz w:val="17"/>
              </w:rPr>
              <w:t>Vendor adjustments may be imperfect</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Validation and route audits; residual vendor risk</w:t>
            </w:r>
          </w:p>
        </w:tc>
      </w:tr>
      <w:tr>
        <w:tc>
          <w:tcPr>
            <w:tcW w:type="dxa" w:w="1950"/>
            <w:tcMar>
              <w:top w:w="70" w:type="dxa"/>
              <w:start w:w="85" w:type="dxa"/>
              <w:bottom w:w="70" w:type="dxa"/>
              <w:end w:w="85" w:type="dxa"/>
            </w:tcMar>
            <w:vAlign w:val="center"/>
          </w:tcPr>
          <w:p>
            <w:pPr>
              <w:spacing w:before="0" w:after="0" w:line="240" w:lineRule="auto"/>
            </w:pPr>
            <w:r/>
            <w:r>
              <w:rPr>
                <w:sz w:val="17"/>
              </w:rPr>
              <w:t>GBP and GBX normalised before returns</w:t>
            </w:r>
          </w:p>
        </w:tc>
        <w:tc>
          <w:tcPr>
            <w:tcW w:type="dxa" w:w="1950"/>
            <w:tcMar>
              <w:top w:w="70" w:type="dxa"/>
              <w:start w:w="85" w:type="dxa"/>
              <w:bottom w:w="70" w:type="dxa"/>
              <w:end w:w="85" w:type="dxa"/>
            </w:tcMar>
            <w:vAlign w:val="center"/>
          </w:tcPr>
          <w:p>
            <w:pPr>
              <w:spacing w:before="0" w:after="0" w:line="240" w:lineRule="auto"/>
            </w:pPr>
            <w:r/>
            <w:r>
              <w:rPr>
                <w:sz w:val="17"/>
              </w:rPr>
              <w:t>Avoid 100-fold unit discontinuity</w:t>
            </w:r>
          </w:p>
        </w:tc>
        <w:tc>
          <w:tcPr>
            <w:tcW w:type="dxa" w:w="1950"/>
            <w:tcMar>
              <w:top w:w="70" w:type="dxa"/>
              <w:start w:w="85" w:type="dxa"/>
              <w:bottom w:w="70" w:type="dxa"/>
              <w:end w:w="85" w:type="dxa"/>
            </w:tcMar>
            <w:vAlign w:val="center"/>
          </w:tcPr>
          <w:p>
            <w:pPr>
              <w:spacing w:before="0" w:after="0" w:line="240" w:lineRule="auto"/>
            </w:pPr>
            <w:r/>
            <w:r>
              <w:rPr>
                <w:sz w:val="17"/>
              </w:rPr>
              <w:t>Unit metadata error</w:t>
            </w:r>
          </w:p>
        </w:tc>
        <w:tc>
          <w:tcPr>
            <w:tcW w:type="dxa" w:w="1950"/>
            <w:tcMar>
              <w:top w:w="70" w:type="dxa"/>
              <w:start w:w="85" w:type="dxa"/>
              <w:bottom w:w="70" w:type="dxa"/>
              <w:end w:w="85" w:type="dxa"/>
            </w:tcMar>
            <w:vAlign w:val="center"/>
          </w:tcPr>
          <w:p>
            <w:pPr>
              <w:spacing w:before="0" w:after="0" w:line="240" w:lineRule="auto"/>
            </w:pPr>
            <w:r/>
            <w:r>
              <w:rPr>
                <w:sz w:val="17"/>
              </w:rPr>
              <w:t>Either</w:t>
            </w:r>
          </w:p>
        </w:tc>
        <w:tc>
          <w:tcPr>
            <w:tcW w:type="dxa" w:w="1950"/>
            <w:tcMar>
              <w:top w:w="70" w:type="dxa"/>
              <w:start w:w="85" w:type="dxa"/>
              <w:bottom w:w="70" w:type="dxa"/>
              <w:end w:w="85" w:type="dxa"/>
            </w:tcMar>
            <w:vAlign w:val="center"/>
          </w:tcPr>
          <w:p>
            <w:pPr>
              <w:spacing w:before="0" w:after="0" w:line="240" w:lineRule="auto"/>
            </w:pPr>
            <w:r/>
            <w:r>
              <w:rPr>
                <w:sz w:val="17"/>
              </w:rPr>
              <w:t>Explicit currency/unit mapping and correctness tests</w:t>
            </w:r>
          </w:p>
        </w:tc>
      </w:tr>
      <w:tr>
        <w:tc>
          <w:tcPr>
            <w:tcW w:type="dxa" w:w="1950"/>
            <w:tcMar>
              <w:top w:w="70" w:type="dxa"/>
              <w:start w:w="85" w:type="dxa"/>
              <w:bottom w:w="70" w:type="dxa"/>
              <w:end w:w="85" w:type="dxa"/>
            </w:tcMar>
            <w:vAlign w:val="center"/>
          </w:tcPr>
          <w:p>
            <w:pPr>
              <w:spacing w:before="0" w:after="0" w:line="240" w:lineRule="auto"/>
            </w:pPr>
            <w:r/>
            <w:r>
              <w:rPr>
                <w:sz w:val="17"/>
              </w:rPr>
              <w:t>Foreign histories converted once to GBP</w:t>
            </w:r>
          </w:p>
        </w:tc>
        <w:tc>
          <w:tcPr>
            <w:tcW w:type="dxa" w:w="1950"/>
            <w:tcMar>
              <w:top w:w="70" w:type="dxa"/>
              <w:start w:w="85" w:type="dxa"/>
              <w:bottom w:w="70" w:type="dxa"/>
              <w:end w:w="85" w:type="dxa"/>
            </w:tcMar>
            <w:vAlign w:val="center"/>
          </w:tcPr>
          <w:p>
            <w:pPr>
              <w:spacing w:before="0" w:after="0" w:line="240" w:lineRule="auto"/>
            </w:pPr>
            <w:r/>
            <w:r>
              <w:rPr>
                <w:sz w:val="17"/>
              </w:rPr>
              <w:t>SIPP investor measures wealth in GBP</w:t>
            </w:r>
          </w:p>
        </w:tc>
        <w:tc>
          <w:tcPr>
            <w:tcW w:type="dxa" w:w="1950"/>
            <w:tcMar>
              <w:top w:w="70" w:type="dxa"/>
              <w:start w:w="85" w:type="dxa"/>
              <w:bottom w:w="70" w:type="dxa"/>
              <w:end w:w="85" w:type="dxa"/>
            </w:tcMar>
            <w:vAlign w:val="center"/>
          </w:tcPr>
          <w:p>
            <w:pPr>
              <w:spacing w:before="0" w:after="0" w:line="240" w:lineRule="auto"/>
            </w:pPr>
            <w:r/>
            <w:r>
              <w:rPr>
                <w:sz w:val="17"/>
              </w:rPr>
              <w:t>FX timing or source error</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ECB series and deterministic conversion; unhedged exposure remains</w:t>
            </w:r>
          </w:p>
        </w:tc>
      </w:tr>
      <w:tr>
        <w:tc>
          <w:tcPr>
            <w:tcW w:type="dxa" w:w="1950"/>
            <w:tcMar>
              <w:top w:w="70" w:type="dxa"/>
              <w:start w:w="85" w:type="dxa"/>
              <w:bottom w:w="70" w:type="dxa"/>
              <w:end w:w="85" w:type="dxa"/>
            </w:tcMar>
            <w:vAlign w:val="center"/>
          </w:tcPr>
          <w:p>
            <w:pPr>
              <w:spacing w:before="0" w:after="0" w:line="240" w:lineRule="auto"/>
            </w:pPr>
            <w:r/>
            <w:r>
              <w:rPr>
                <w:sz w:val="17"/>
              </w:rPr>
              <w:t>No forward fill</w:t>
            </w:r>
          </w:p>
        </w:tc>
        <w:tc>
          <w:tcPr>
            <w:tcW w:type="dxa" w:w="1950"/>
            <w:tcMar>
              <w:top w:w="70" w:type="dxa"/>
              <w:start w:w="85" w:type="dxa"/>
              <w:bottom w:w="70" w:type="dxa"/>
              <w:end w:w="85" w:type="dxa"/>
            </w:tcMar>
            <w:vAlign w:val="center"/>
          </w:tcPr>
          <w:p>
            <w:pPr>
              <w:spacing w:before="0" w:after="0" w:line="240" w:lineRule="auto"/>
            </w:pPr>
            <w:r/>
            <w:r>
              <w:rPr>
                <w:sz w:val="17"/>
              </w:rPr>
              <w:t>Prevent invented tradability and stale prices</w:t>
            </w:r>
          </w:p>
        </w:tc>
        <w:tc>
          <w:tcPr>
            <w:tcW w:type="dxa" w:w="1950"/>
            <w:tcMar>
              <w:top w:w="70" w:type="dxa"/>
              <w:start w:w="85" w:type="dxa"/>
              <w:bottom w:w="70" w:type="dxa"/>
              <w:end w:w="85" w:type="dxa"/>
            </w:tcMar>
            <w:vAlign w:val="center"/>
          </w:tcPr>
          <w:p>
            <w:pPr>
              <w:spacing w:before="0" w:after="0" w:line="240" w:lineRule="auto"/>
            </w:pPr>
            <w:r/>
            <w:r>
              <w:rPr>
                <w:sz w:val="17"/>
              </w:rPr>
              <w:t>Excludes some recoverable observations</w:t>
            </w:r>
          </w:p>
        </w:tc>
        <w:tc>
          <w:tcPr>
            <w:tcW w:type="dxa" w:w="1950"/>
            <w:tcMar>
              <w:top w:w="70" w:type="dxa"/>
              <w:start w:w="85" w:type="dxa"/>
              <w:bottom w:w="70" w:type="dxa"/>
              <w:end w:w="85" w:type="dxa"/>
            </w:tcMar>
            <w:vAlign w:val="center"/>
          </w:tcPr>
          <w:p>
            <w:pPr>
              <w:spacing w:before="0" w:after="0" w:line="240" w:lineRule="auto"/>
            </w:pPr>
            <w:r/>
            <w:r>
              <w:rPr>
                <w:sz w:val="17"/>
              </w:rPr>
              <w:t>Probably downward for coverage; return bias ambiguous</w:t>
            </w:r>
          </w:p>
        </w:tc>
        <w:tc>
          <w:tcPr>
            <w:tcW w:type="dxa" w:w="1950"/>
            <w:tcMar>
              <w:top w:w="70" w:type="dxa"/>
              <w:start w:w="85" w:type="dxa"/>
              <w:bottom w:w="70" w:type="dxa"/>
              <w:end w:w="85" w:type="dxa"/>
            </w:tcMar>
            <w:vAlign w:val="center"/>
          </w:tcPr>
          <w:p>
            <w:pPr>
              <w:spacing w:before="0" w:after="0" w:line="240" w:lineRule="auto"/>
            </w:pPr>
            <w:r/>
            <w:r>
              <w:rPr>
                <w:sz w:val="17"/>
              </w:rPr>
              <w:t>Missing remains missing; causal segment reset</w:t>
            </w:r>
          </w:p>
        </w:tc>
      </w:tr>
      <w:tr>
        <w:tc>
          <w:tcPr>
            <w:tcW w:type="dxa" w:w="1950"/>
            <w:tcMar>
              <w:top w:w="70" w:type="dxa"/>
              <w:start w:w="85" w:type="dxa"/>
              <w:bottom w:w="70" w:type="dxa"/>
              <w:end w:w="85" w:type="dxa"/>
            </w:tcMar>
            <w:vAlign w:val="center"/>
          </w:tcPr>
          <w:p>
            <w:pPr>
              <w:spacing w:before="0" w:after="0" w:line="240" w:lineRule="auto"/>
            </w:pPr>
            <w:r/>
            <w:r>
              <w:rPr>
                <w:sz w:val="17"/>
              </w:rPr>
              <w:t>Three-session prior-only endpoint tolerance</w:t>
            </w:r>
          </w:p>
        </w:tc>
        <w:tc>
          <w:tcPr>
            <w:tcW w:type="dxa" w:w="1950"/>
            <w:tcMar>
              <w:top w:w="70" w:type="dxa"/>
              <w:start w:w="85" w:type="dxa"/>
              <w:bottom w:w="70" w:type="dxa"/>
              <w:end w:w="85" w:type="dxa"/>
            </w:tcMar>
            <w:vAlign w:val="center"/>
          </w:tcPr>
          <w:p>
            <w:pPr>
              <w:spacing w:before="0" w:after="0" w:line="240" w:lineRule="auto"/>
            </w:pPr>
            <w:r/>
            <w:r>
              <w:rPr>
                <w:sz w:val="17"/>
              </w:rPr>
              <w:t>Accommodate genuine asynchronous data arrival</w:t>
            </w:r>
          </w:p>
        </w:tc>
        <w:tc>
          <w:tcPr>
            <w:tcW w:type="dxa" w:w="1950"/>
            <w:tcMar>
              <w:top w:w="70" w:type="dxa"/>
              <w:start w:w="85" w:type="dxa"/>
              <w:bottom w:w="70" w:type="dxa"/>
              <w:end w:w="85" w:type="dxa"/>
            </w:tcMar>
            <w:vAlign w:val="center"/>
          </w:tcPr>
          <w:p>
            <w:pPr>
              <w:spacing w:before="0" w:after="0" w:line="240" w:lineRule="auto"/>
            </w:pPr>
            <w:r/>
            <w:r>
              <w:rPr>
                <w:sz w:val="17"/>
              </w:rPr>
              <w:t>May admit slightly stale observation</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Only true prior XLON sessions; never future; &gt;3 resets</w:t>
            </w:r>
          </w:p>
        </w:tc>
      </w:tr>
      <w:tr>
        <w:tc>
          <w:tcPr>
            <w:tcW w:type="dxa" w:w="1950"/>
            <w:tcMar>
              <w:top w:w="70" w:type="dxa"/>
              <w:start w:w="85" w:type="dxa"/>
              <w:bottom w:w="70" w:type="dxa"/>
              <w:end w:w="85" w:type="dxa"/>
            </w:tcMar>
            <w:vAlign w:val="center"/>
          </w:tcPr>
          <w:p>
            <w:pPr>
              <w:spacing w:before="0" w:after="0" w:line="240" w:lineRule="auto"/>
            </w:pPr>
            <w:r/>
            <w:r>
              <w:rPr>
                <w:sz w:val="17"/>
              </w:rPr>
              <w:t>Current broker availability not back-projected</w:t>
            </w:r>
          </w:p>
        </w:tc>
        <w:tc>
          <w:tcPr>
            <w:tcW w:type="dxa" w:w="1950"/>
            <w:tcMar>
              <w:top w:w="70" w:type="dxa"/>
              <w:start w:w="85" w:type="dxa"/>
              <w:bottom w:w="70" w:type="dxa"/>
              <w:end w:w="85" w:type="dxa"/>
            </w:tcMar>
            <w:vAlign w:val="center"/>
          </w:tcPr>
          <w:p>
            <w:pPr>
              <w:spacing w:before="0" w:after="0" w:line="240" w:lineRule="auto"/>
            </w:pPr>
            <w:r/>
            <w:r>
              <w:rPr>
                <w:sz w:val="17"/>
              </w:rPr>
              <w:t>Present availability is not historical evidence</w:t>
            </w:r>
          </w:p>
        </w:tc>
        <w:tc>
          <w:tcPr>
            <w:tcW w:type="dxa" w:w="1950"/>
            <w:tcMar>
              <w:top w:w="70" w:type="dxa"/>
              <w:start w:w="85" w:type="dxa"/>
              <w:bottom w:w="70" w:type="dxa"/>
              <w:end w:w="85" w:type="dxa"/>
            </w:tcMar>
            <w:vAlign w:val="center"/>
          </w:tcPr>
          <w:p>
            <w:pPr>
              <w:spacing w:before="0" w:after="0" w:line="240" w:lineRule="auto"/>
            </w:pPr>
            <w:r/>
            <w:r>
              <w:rPr>
                <w:sz w:val="17"/>
              </w:rPr>
              <w:t>Reduces claimed implementability</w:t>
            </w:r>
          </w:p>
        </w:tc>
        <w:tc>
          <w:tcPr>
            <w:tcW w:type="dxa" w:w="1950"/>
            <w:tcMar>
              <w:top w:w="70" w:type="dxa"/>
              <w:start w:w="85" w:type="dxa"/>
              <w:bottom w:w="70" w:type="dxa"/>
              <w:end w:w="85" w:type="dxa"/>
            </w:tcMar>
            <w:vAlign w:val="center"/>
          </w:tcPr>
          <w:p>
            <w:pPr>
              <w:spacing w:before="0" w:after="0" w:line="240" w:lineRule="auto"/>
            </w:pPr>
            <w:r/>
            <w:r>
              <w:rPr>
                <w:sz w:val="17"/>
              </w:rPr>
              <w:t>Affects generalisability</w:t>
            </w:r>
          </w:p>
        </w:tc>
        <w:tc>
          <w:tcPr>
            <w:tcW w:type="dxa" w:w="1950"/>
            <w:tcMar>
              <w:top w:w="70" w:type="dxa"/>
              <w:start w:w="85" w:type="dxa"/>
              <w:bottom w:w="70" w:type="dxa"/>
              <w:end w:w="85" w:type="dxa"/>
            </w:tcMar>
            <w:vAlign w:val="center"/>
          </w:tcPr>
          <w:p>
            <w:pPr>
              <w:spacing w:before="0" w:after="0" w:line="240" w:lineRule="auto"/>
            </w:pPr>
            <w:r/>
            <w:r>
              <w:rPr>
                <w:sz w:val="17"/>
              </w:rPr>
              <w:t>Separate family research from live map</w:t>
            </w:r>
          </w:p>
        </w:tc>
      </w:tr>
      <w:tr>
        <w:tc>
          <w:tcPr>
            <w:tcW w:type="dxa" w:w="1950"/>
            <w:tcMar>
              <w:top w:w="70" w:type="dxa"/>
              <w:start w:w="85" w:type="dxa"/>
              <w:bottom w:w="70" w:type="dxa"/>
              <w:end w:w="85" w:type="dxa"/>
            </w:tcMar>
            <w:vAlign w:val="center"/>
          </w:tcPr>
          <w:p>
            <w:pPr>
              <w:spacing w:before="0" w:after="0" w:line="240" w:lineRule="auto"/>
            </w:pPr>
            <w:r/>
            <w:r>
              <w:rPr>
                <w:sz w:val="17"/>
              </w:rPr>
              <w:t>Economic-family duplicate suppression</w:t>
            </w:r>
          </w:p>
        </w:tc>
        <w:tc>
          <w:tcPr>
            <w:tcW w:type="dxa" w:w="1950"/>
            <w:tcMar>
              <w:top w:w="70" w:type="dxa"/>
              <w:start w:w="85" w:type="dxa"/>
              <w:bottom w:w="70" w:type="dxa"/>
              <w:end w:w="85" w:type="dxa"/>
            </w:tcMar>
            <w:vAlign w:val="center"/>
          </w:tcPr>
          <w:p>
            <w:pPr>
              <w:spacing w:before="0" w:after="0" w:line="240" w:lineRule="auto"/>
            </w:pPr>
            <w:r/>
            <w:r>
              <w:rPr>
                <w:sz w:val="17"/>
              </w:rPr>
              <w:t>Prevent multiple listings receiving multiple ranks</w:t>
            </w:r>
          </w:p>
        </w:tc>
        <w:tc>
          <w:tcPr>
            <w:tcW w:type="dxa" w:w="1950"/>
            <w:tcMar>
              <w:top w:w="70" w:type="dxa"/>
              <w:start w:w="85" w:type="dxa"/>
              <w:bottom w:w="70" w:type="dxa"/>
              <w:end w:w="85" w:type="dxa"/>
            </w:tcMar>
            <w:vAlign w:val="center"/>
          </w:tcPr>
          <w:p>
            <w:pPr>
              <w:spacing w:before="0" w:after="0" w:line="240" w:lineRule="auto"/>
            </w:pPr>
            <w:r/>
            <w:r>
              <w:rPr>
                <w:sz w:val="17"/>
              </w:rPr>
              <w:t>Taxonomy may merge imperfect substitutes</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Frozen mapping; semantic review; no discretionary remap</w:t>
            </w:r>
          </w:p>
        </w:tc>
      </w:tr>
      <w:tr>
        <w:tc>
          <w:tcPr>
            <w:tcW w:type="dxa" w:w="1950"/>
            <w:tcMar>
              <w:top w:w="70" w:type="dxa"/>
              <w:start w:w="85" w:type="dxa"/>
              <w:bottom w:w="70" w:type="dxa"/>
              <w:end w:w="85" w:type="dxa"/>
            </w:tcMar>
            <w:vAlign w:val="center"/>
          </w:tcPr>
          <w:p>
            <w:pPr>
              <w:spacing w:before="0" w:after="0" w:line="240" w:lineRule="auto"/>
            </w:pPr>
            <w:r/>
            <w:r>
              <w:rPr>
                <w:sz w:val="17"/>
              </w:rPr>
              <w:t>Absent family receives no proxy</w:t>
            </w:r>
          </w:p>
        </w:tc>
        <w:tc>
          <w:tcPr>
            <w:tcW w:type="dxa" w:w="1950"/>
            <w:tcMar>
              <w:top w:w="70" w:type="dxa"/>
              <w:start w:w="85" w:type="dxa"/>
              <w:bottom w:w="70" w:type="dxa"/>
              <w:end w:w="85" w:type="dxa"/>
            </w:tcMar>
            <w:vAlign w:val="center"/>
          </w:tcPr>
          <w:p>
            <w:pPr>
              <w:spacing w:before="0" w:after="0" w:line="240" w:lineRule="auto"/>
            </w:pPr>
            <w:r/>
            <w:r>
              <w:rPr>
                <w:sz w:val="17"/>
              </w:rPr>
              <w:t>Avoid look-ahead and subjective substitution</w:t>
            </w:r>
          </w:p>
        </w:tc>
        <w:tc>
          <w:tcPr>
            <w:tcW w:type="dxa" w:w="1950"/>
            <w:tcMar>
              <w:top w:w="70" w:type="dxa"/>
              <w:start w:w="85" w:type="dxa"/>
              <w:bottom w:w="70" w:type="dxa"/>
              <w:end w:w="85" w:type="dxa"/>
            </w:tcMar>
            <w:vAlign w:val="center"/>
          </w:tcPr>
          <w:p>
            <w:pPr>
              <w:spacing w:before="0" w:after="0" w:line="240" w:lineRule="auto"/>
            </w:pPr>
            <w:r/>
            <w:r>
              <w:rPr>
                <w:sz w:val="17"/>
              </w:rPr>
              <w:t>Narrows opportunity set</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Cash slot operationally if selected line unavailable</w:t>
            </w:r>
          </w:p>
        </w:tc>
      </w:tr>
      <w:tr>
        <w:tc>
          <w:tcPr>
            <w:tcW w:type="dxa" w:w="1950"/>
            <w:tcMar>
              <w:top w:w="70" w:type="dxa"/>
              <w:start w:w="85" w:type="dxa"/>
              <w:bottom w:w="70" w:type="dxa"/>
              <w:end w:w="85" w:type="dxa"/>
            </w:tcMar>
            <w:vAlign w:val="center"/>
          </w:tcPr>
          <w:p>
            <w:pPr>
              <w:spacing w:before="0" w:after="0" w:line="240" w:lineRule="auto"/>
            </w:pPr>
            <w:r/>
            <w:r>
              <w:rPr>
                <w:sz w:val="17"/>
              </w:rPr>
              <w:t>Historical cash follows time-varying SONIA</w:t>
            </w:r>
          </w:p>
        </w:tc>
        <w:tc>
          <w:tcPr>
            <w:tcW w:type="dxa" w:w="1950"/>
            <w:tcMar>
              <w:top w:w="70" w:type="dxa"/>
              <w:start w:w="85" w:type="dxa"/>
              <w:bottom w:w="70" w:type="dxa"/>
              <w:end w:w="85" w:type="dxa"/>
            </w:tcMar>
            <w:vAlign w:val="center"/>
          </w:tcPr>
          <w:p>
            <w:pPr>
              <w:spacing w:before="0" w:after="0" w:line="240" w:lineRule="auto"/>
            </w:pPr>
            <w:r/>
            <w:r>
              <w:rPr>
                <w:sz w:val="17"/>
              </w:rPr>
              <w:t>Avoid fixed-rate hindsight</w:t>
            </w:r>
          </w:p>
        </w:tc>
        <w:tc>
          <w:tcPr>
            <w:tcW w:type="dxa" w:w="1950"/>
            <w:tcMar>
              <w:top w:w="70" w:type="dxa"/>
              <w:start w:w="85" w:type="dxa"/>
              <w:bottom w:w="70" w:type="dxa"/>
              <w:end w:w="85" w:type="dxa"/>
            </w:tcMar>
            <w:vAlign w:val="center"/>
          </w:tcPr>
          <w:p>
            <w:pPr>
              <w:spacing w:before="0" w:after="0" w:line="240" w:lineRule="auto"/>
            </w:pPr>
            <w:r/>
            <w:r>
              <w:rPr>
                <w:sz w:val="17"/>
              </w:rPr>
              <w:t>Proxy differs from broker products</w:t>
            </w:r>
          </w:p>
        </w:tc>
        <w:tc>
          <w:tcPr>
            <w:tcW w:type="dxa" w:w="1950"/>
            <w:tcMar>
              <w:top w:w="70" w:type="dxa"/>
              <w:start w:w="85" w:type="dxa"/>
              <w:bottom w:w="70" w:type="dxa"/>
              <w:end w:w="85" w:type="dxa"/>
            </w:tcMar>
            <w:vAlign w:val="center"/>
          </w:tcPr>
          <w:p>
            <w:pPr>
              <w:spacing w:before="0" w:after="0" w:line="240" w:lineRule="auto"/>
            </w:pPr>
            <w:r/>
            <w:r>
              <w:rPr>
                <w:sz w:val="17"/>
              </w:rPr>
              <w:t>Ambiguous</w:t>
            </w:r>
          </w:p>
        </w:tc>
        <w:tc>
          <w:tcPr>
            <w:tcW w:type="dxa" w:w="1950"/>
            <w:tcMar>
              <w:top w:w="70" w:type="dxa"/>
              <w:start w:w="85" w:type="dxa"/>
              <w:bottom w:w="70" w:type="dxa"/>
              <w:end w:w="85" w:type="dxa"/>
            </w:tcMar>
            <w:vAlign w:val="center"/>
          </w:tcPr>
          <w:p>
            <w:pPr>
              <w:spacing w:before="0" w:after="0" w:line="240" w:lineRule="auto"/>
            </w:pPr>
            <w:r/>
            <w:r>
              <w:rPr>
                <w:sz w:val="17"/>
              </w:rPr>
              <w:t>Separate RLON, CSH2 and broker cash roles</w:t>
            </w:r>
          </w:p>
        </w:tc>
      </w:tr>
      <w:tr>
        <w:tc>
          <w:tcPr>
            <w:tcW w:type="dxa" w:w="1950"/>
            <w:tcMar>
              <w:top w:w="70" w:type="dxa"/>
              <w:start w:w="85" w:type="dxa"/>
              <w:bottom w:w="70" w:type="dxa"/>
              <w:end w:w="85" w:type="dxa"/>
            </w:tcMar>
            <w:vAlign w:val="center"/>
          </w:tcPr>
          <w:p>
            <w:pPr>
              <w:spacing w:before="0" w:after="0" w:line="240" w:lineRule="auto"/>
            </w:pPr>
            <w:r/>
            <w:r>
              <w:rPr>
                <w:sz w:val="17"/>
              </w:rPr>
              <w:t>Market-price execution plus 20 bps one-way</w:t>
            </w:r>
          </w:p>
        </w:tc>
        <w:tc>
          <w:tcPr>
            <w:tcW w:type="dxa" w:w="1950"/>
            <w:tcMar>
              <w:top w:w="70" w:type="dxa"/>
              <w:start w:w="85" w:type="dxa"/>
              <w:bottom w:w="70" w:type="dxa"/>
              <w:end w:w="85" w:type="dxa"/>
            </w:tcMar>
            <w:vAlign w:val="center"/>
          </w:tcPr>
          <w:p>
            <w:pPr>
              <w:spacing w:before="0" w:after="0" w:line="240" w:lineRule="auto"/>
            </w:pPr>
            <w:r/>
            <w:r>
              <w:rPr>
                <w:sz w:val="17"/>
              </w:rPr>
              <w:t>Conservative retail implementability</w:t>
            </w:r>
          </w:p>
        </w:tc>
        <w:tc>
          <w:tcPr>
            <w:tcW w:type="dxa" w:w="1950"/>
            <w:tcMar>
              <w:top w:w="70" w:type="dxa"/>
              <w:start w:w="85" w:type="dxa"/>
              <w:bottom w:w="70" w:type="dxa"/>
              <w:end w:w="85" w:type="dxa"/>
            </w:tcMar>
            <w:vAlign w:val="center"/>
          </w:tcPr>
          <w:p>
            <w:pPr>
              <w:spacing w:before="0" w:after="0" w:line="240" w:lineRule="auto"/>
            </w:pPr>
            <w:r/>
            <w:r>
              <w:rPr>
                <w:sz w:val="17"/>
              </w:rPr>
              <w:t>May overstate or understate actual shortfall</w:t>
            </w:r>
          </w:p>
        </w:tc>
        <w:tc>
          <w:tcPr>
            <w:tcW w:type="dxa" w:w="1950"/>
            <w:tcMar>
              <w:top w:w="70" w:type="dxa"/>
              <w:start w:w="85" w:type="dxa"/>
              <w:bottom w:w="70" w:type="dxa"/>
              <w:end w:w="85" w:type="dxa"/>
            </w:tcMar>
            <w:vAlign w:val="center"/>
          </w:tcPr>
          <w:p>
            <w:pPr>
              <w:spacing w:before="0" w:after="0" w:line="240" w:lineRule="auto"/>
            </w:pPr>
            <w:r/>
            <w:r>
              <w:rPr>
                <w:sz w:val="17"/>
              </w:rPr>
              <w:t>Likely conservative but uncertain</w:t>
            </w:r>
          </w:p>
        </w:tc>
        <w:tc>
          <w:tcPr>
            <w:tcW w:type="dxa" w:w="1950"/>
            <w:tcMar>
              <w:top w:w="70" w:type="dxa"/>
              <w:start w:w="85" w:type="dxa"/>
              <w:bottom w:w="70" w:type="dxa"/>
              <w:end w:w="85" w:type="dxa"/>
            </w:tcMar>
            <w:vAlign w:val="center"/>
          </w:tcPr>
          <w:p>
            <w:pPr>
              <w:spacing w:before="0" w:after="0" w:line="240" w:lineRule="auto"/>
            </w:pPr>
            <w:r/>
            <w:r>
              <w:rPr>
                <w:sz w:val="17"/>
              </w:rPr>
              <w:t>Prospective fills and costs recorded</w:t>
            </w:r>
          </w:p>
        </w:tc>
      </w:tr>
    </w:tbl>
    <w:p>
      <w:pPr>
        <w:pStyle w:val="SourceCitation"/>
      </w:pPr>
      <w:r>
        <w:rPr>
          <w:sz w:val="16"/>
        </w:rPr>
        <w:t>Internal sources: [DATA-A2-MISSING], [DATA-A2R-BLOCK], [DATA-A2R2-CALENDAR], [DATA-A2R2-ENDPOINT], [CASH-SONIA], [M2-TIMING] and [COST-HIST]; exact artefacts, commits and fields are in the evidence matrix.</w:t>
      </w:r>
    </w:p>
    <w:p>
      <w:pPr>
        <w:pStyle w:val="Heading1"/>
      </w:pPr>
      <w:r>
        <w:t>6. Causal timing and execution contract</w:t>
      </w:r>
    </w:p>
    <w:p>
      <w:r>
        <w:t>The signal timestamp is the final valid XLON session of a calendar month. All prices, eligibility flags and benchmark returns used in the score must be known at or before that review close. The selected portfolio is not assumed to transact at that same close. Execution occurs on the first valid following XLON session, within a maximum three-session window. If the execution window cannot be met, the run is suspended rather than retrospectively shifted to a favourable price.</w:t>
      </w:r>
    </w:p>
    <w:p>
      <w:r>
        <w:t>Same-close execution would be non-causal because the research system would use the review close both to determine the rank and to claim a fill at a price that was not available until the signal-defining session completed. The next-session rule creates a clean separation between observation and action. Return measurement begins from the canonical execution price and continues until the next rebalance contract.</w:t>
      </w:r>
    </w:p>
    <w:p>
      <w:r>
        <w:t>The frozen contract permits no leverage, shorting or discretionary substitutions. In a prospective run, an unavailable or suspended selected family slot is placed in CSH2; it is not replaced with the next-ranked family or an unapproved alternate. A temporarily short eligible list can support fewer than seven positions only under the exact frozen code rule; with three to six eligible families the selected set is equal-weighted across those available. Fewer than three valid families fails the ranking contract.</w:t>
      </w:r>
    </w:p>
    <w:p>
      <w:pPr>
        <w:pStyle w:val="SourceCitation"/>
      </w:pPr>
      <w:r>
        <w:rPr>
          <w:sz w:val="16"/>
        </w:rPr>
        <w:t xml:space="preserve">Internal source [M2-TIMING]: A5C, </w:t>
      </w:r>
      <w:r>
        <w:rPr>
          <w:rFonts w:ascii="Consolas" w:hAnsi="Consolas"/>
          <w:color w:val="1F4D78"/>
          <w:sz w:val="16"/>
        </w:rPr>
        <w:t>UKACTIVE_A5C_SIPP_FROZEN_SPEC.json</w:t>
      </w:r>
      <w:r>
        <w:rPr>
          <w:sz w:val="16"/>
        </w:rPr>
        <w:t xml:space="preserve">, freeze commit </w:t>
      </w:r>
      <w:r>
        <w:rPr>
          <w:rFonts w:ascii="Consolas" w:hAnsi="Consolas"/>
          <w:color w:val="1F4D78"/>
          <w:sz w:val="16"/>
        </w:rPr>
        <w:t>a8008f7709af3000a889bb234a86f8c520c4ed73</w:t>
      </w:r>
      <w:r>
        <w:rPr>
          <w:sz w:val="16"/>
        </w:rPr>
        <w:t>, execution-contract and suspension fields.</w:t>
      </w:r>
    </w:p>
    <w:p>
      <w:pPr>
        <w:pStyle w:val="Heading1"/>
      </w:pPr>
      <w:r>
        <w:t>7. Benchmark and cash definitions</w:t>
      </w:r>
    </w:p>
    <w:p>
      <w:pPr>
        <w:pStyle w:val="Heading2"/>
      </w:pPr>
      <w:r>
        <w:t>7.1 Global benchmark</w:t>
      </w:r>
    </w:p>
    <w:p>
      <w:r>
        <w:rPr>
          <w:rFonts w:ascii="Consolas" w:hAnsi="Consolas"/>
          <w:color w:val="1F4D78"/>
        </w:rPr>
        <w:t>GLOBAL_DEVELOPED_WORLD</w:t>
      </w:r>
      <w:r>
        <w:t xml:space="preserve"> is the strategic equity benchmark. In the frozen current implementation it maps to the iShares Core MSCI World UCITS ETF GBP line, SWDA (</w:t>
      </w:r>
      <w:r>
        <w:rPr>
          <w:rFonts w:ascii="Consolas" w:hAnsi="Consolas"/>
          <w:color w:val="1F4D78"/>
        </w:rPr>
        <w:t>IE00B4L5Y983</w:t>
      </w:r>
      <w:r>
        <w:t>). It represents a practical global developed-equity core, not a matched industry/theme opportunity set.</w:t>
      </w:r>
    </w:p>
    <w:p>
      <w:pPr>
        <w:pStyle w:val="Heading2"/>
      </w:pPr>
      <w:r>
        <w:t>7.2 Opportunity-set benchmark</w:t>
      </w:r>
    </w:p>
    <w:p>
      <w:r>
        <w:t xml:space="preserve">The contemporaneous equal-weight </w:t>
      </w:r>
      <w:r>
        <w:rPr>
          <w:rFonts w:ascii="Consolas" w:hAnsi="Consolas"/>
          <w:color w:val="1F4D78"/>
        </w:rPr>
        <w:t>INDUSTRY_PLUS_THEME</w:t>
      </w:r>
      <w:r>
        <w:t xml:space="preserve"> pool is the scientific opportunity benchmark. At each date it averages the eligible family returns rather than freezing today's 27 families through history. This comparator asks whether M2 added value through cross-sectional ordering, beyond merely being exposed to an industry-and-theme universe that itself might outperform or underperform SWDA. A result above SWDA but below the equal pool would not demonstrate ranking value.</w:t>
      </w:r>
    </w:p>
    <w:p>
      <w:pPr>
        <w:pStyle w:val="Heading2"/>
      </w:pPr>
      <w:r>
        <w:t>7.3 Cash</w:t>
      </w:r>
    </w:p>
    <w:p>
      <w:r>
        <w:t>Historical cash is the accepted time-varying GBP SONIA series. It was not assigned a constant 4% return. Pre-2022 short rates were materially lower than rates observed later; therefore a static 4% backfill would overstate historical defensive returns. Live instruments have distinct roles: broker cash settles trades and pays small residual costs; CSH2 (</w:t>
      </w:r>
      <w:r>
        <w:rPr>
          <w:rFonts w:ascii="Consolas" w:hAnsi="Consolas"/>
          <w:color w:val="1F4D78"/>
        </w:rPr>
        <w:t>LU1230136894</w:t>
      </w:r>
      <w:r>
        <w:t>) is tactical liquidity and receives unavailable M2 slots; RLON is intended for strategic defence, but its exact current share-class identity remained unresolved at A5C. The return on RLON or CSH2 depends on prevailing rates and product tracking. Selecting them prospectively does not replace the historical cash proxy.</w:t>
      </w:r>
    </w:p>
    <w:p>
      <w:pPr>
        <w:pStyle w:val="SourceCitation"/>
      </w:pPr>
      <w:r>
        <w:rPr>
          <w:sz w:val="16"/>
        </w:rPr>
        <w:t xml:space="preserve">Internal source [CASH-SONIA]: A2, </w:t>
      </w:r>
      <w:r>
        <w:rPr>
          <w:rFonts w:ascii="Consolas" w:hAnsi="Consolas"/>
          <w:color w:val="1F4D78"/>
          <w:sz w:val="16"/>
        </w:rPr>
        <w:t>UKACTIVE_A2_CASH_MODEL.md</w:t>
      </w:r>
      <w:r>
        <w:rPr>
          <w:sz w:val="16"/>
        </w:rPr>
        <w:t xml:space="preserve">, commit </w:t>
      </w:r>
      <w:r>
        <w:rPr>
          <w:rFonts w:ascii="Consolas" w:hAnsi="Consolas"/>
          <w:color w:val="1F4D78"/>
          <w:sz w:val="16"/>
        </w:rPr>
        <w:t>2c26ad3639e4e025477d9415f4f7b707e9856b55</w:t>
      </w:r>
      <w:r>
        <w:rPr>
          <w:sz w:val="16"/>
        </w:rPr>
        <w:t xml:space="preserve">; current roles from [LIVE-MAP], A5C live instrument map, results commit </w:t>
      </w:r>
      <w:r>
        <w:rPr>
          <w:rFonts w:ascii="Consolas" w:hAnsi="Consolas"/>
          <w:color w:val="1F4D78"/>
          <w:sz w:val="16"/>
        </w:rPr>
        <w:t>beb8d49828b9819aa167d2e07ffdc2b92581b36b</w:t>
      </w:r>
      <w:r>
        <w:rPr>
          <w:sz w:val="16"/>
        </w:rPr>
        <w:t>.</w:t>
      </w:r>
    </w:p>
    <w:p>
      <w:pPr>
        <w:pStyle w:val="Heading1"/>
      </w:pPr>
      <w:r>
        <w:t>8. Signal construction</w:t>
      </w:r>
    </w:p>
    <w:p>
      <w:r>
        <w:t>For eligible family (i), review date (t), benchmark (B), and horizon (h\in\{21,42,63,126,252\}), the code first forms cumulative total returns (R_{i,t,h}) and (R_{B,t,h}) over the same sessions. Raw benchmark-relative return is</w:t>
      </w:r>
    </w:p>
    <w:p>
      <w:pPr>
        <w:spacing w:before="100" w:after="160"/>
        <w:jc w:val="center"/>
      </w:pPr>
      <w:r>
        <w:rPr>
          <w:rFonts w:ascii="Cambria Math" w:hAnsi="Cambria Math"/>
          <w:sz w:val="21"/>
        </w:rPr>
        <w:t>RS^{\mathrm{raw}}_{i,t,h}=\frac{1+R_{i,t,h}}{1+R_{B,t,h}}-1.</w:t>
      </w:r>
    </w:p>
    <w:p>
      <w:r>
        <w:t>The cross-section of raw values is converted to an average-tie percentile using the eligible denominator at (t):</w:t>
      </w:r>
    </w:p>
    <w:p>
      <w:pPr>
        <w:spacing w:before="100" w:after="160"/>
        <w:jc w:val="center"/>
      </w:pPr>
      <w:r>
        <w:rPr>
          <w:rFonts w:ascii="Cambria Math" w:hAnsi="Cambria Math"/>
          <w:sz w:val="21"/>
        </w:rPr>
        <w:t>RS_{i,t,h}=\operatorname{PercentileRank}_{j\in\mathcal{E}_t}\left(RS^{\mathrm{raw}}_{j,t,h}\right).</w:t>
      </w:r>
    </w:p>
    <w:p>
      <w:r>
        <w:t>All five components must exist; otherwise the family has no M2 score. At least three families must be valid for cross-sectional ranking. Ties receive their average percentile. Final portfolio ordering is descending M2 and, for any exact composite tie, ascending canonical family identifier.</w:t>
      </w:r>
    </w:p>
    <w:p>
      <w:r>
        <w:t>The frozen composite is</w:t>
      </w:r>
    </w:p>
    <w:p>
      <w:pPr>
        <w:spacing w:before="100" w:after="160"/>
        <w:jc w:val="center"/>
      </w:pPr>
      <w:r>
        <w:rPr>
          <w:rFonts w:ascii="Cambria Math" w:hAnsi="Cambria Math"/>
          <w:sz w:val="21"/>
        </w:rPr>
        <w:t>M2_{i,t}=0.10RS21_{i,t}+0.15RS42_{i,t}+0.25RS63_{i,t}+0.30RS126_{i,t}+0.20RS252_{i,t}.</w:t>
      </w:r>
    </w:p>
    <w:p>
      <w:pPr>
        <w:keepNext/>
        <w:spacing w:before="160" w:after="80"/>
      </w:pPr>
      <w:r>
        <w:rPr>
          <w:b/>
        </w:rPr>
        <w:t>Table 4. Frozen signal definitions and weights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Component</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Sessions</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Approximate role</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Weight</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Representation</w:t>
            </w:r>
          </w:p>
        </w:tc>
      </w:tr>
      <w:tr>
        <w:tc>
          <w:tcPr>
            <w:tcW w:type="dxa" w:w="1950"/>
            <w:tcMar>
              <w:top w:w="70" w:type="dxa"/>
              <w:start w:w="85" w:type="dxa"/>
              <w:bottom w:w="70" w:type="dxa"/>
              <w:end w:w="85" w:type="dxa"/>
            </w:tcMar>
            <w:vAlign w:val="center"/>
          </w:tcPr>
          <w:p>
            <w:pPr>
              <w:spacing w:before="0" w:after="0" w:line="240" w:lineRule="auto"/>
            </w:pPr>
            <w:r/>
            <w:r>
              <w:rPr>
                <w:sz w:val="17"/>
              </w:rPr>
              <w:t>RS21</w:t>
            </w:r>
          </w:p>
        </w:tc>
        <w:tc>
          <w:tcPr>
            <w:tcW w:type="dxa" w:w="1950"/>
            <w:tcMar>
              <w:top w:w="70" w:type="dxa"/>
              <w:start w:w="85" w:type="dxa"/>
              <w:bottom w:w="70" w:type="dxa"/>
              <w:end w:w="85" w:type="dxa"/>
            </w:tcMar>
            <w:vAlign w:val="center"/>
          </w:tcPr>
          <w:p>
            <w:pPr>
              <w:spacing w:before="0" w:after="0" w:line="240" w:lineRule="auto"/>
            </w:pPr>
            <w:r/>
            <w:r>
              <w:rPr>
                <w:sz w:val="17"/>
              </w:rPr>
              <w:t>21</w:t>
            </w:r>
          </w:p>
        </w:tc>
        <w:tc>
          <w:tcPr>
            <w:tcW w:type="dxa" w:w="1950"/>
            <w:tcMar>
              <w:top w:w="70" w:type="dxa"/>
              <w:start w:w="85" w:type="dxa"/>
              <w:bottom w:w="70" w:type="dxa"/>
              <w:end w:w="85" w:type="dxa"/>
            </w:tcMar>
            <w:vAlign w:val="center"/>
          </w:tcPr>
          <w:p>
            <w:pPr>
              <w:spacing w:before="0" w:after="0" w:line="240" w:lineRule="auto"/>
            </w:pPr>
            <w:r/>
            <w:r>
              <w:rPr>
                <w:sz w:val="17"/>
              </w:rPr>
              <w:t>Fast information</w:t>
            </w:r>
          </w:p>
        </w:tc>
        <w:tc>
          <w:tcPr>
            <w:tcW w:type="dxa" w:w="1950"/>
            <w:tcMar>
              <w:top w:w="70" w:type="dxa"/>
              <w:start w:w="85" w:type="dxa"/>
              <w:bottom w:w="70" w:type="dxa"/>
              <w:end w:w="85" w:type="dxa"/>
            </w:tcMar>
            <w:vAlign w:val="center"/>
          </w:tcPr>
          <w:p>
            <w:pPr>
              <w:spacing w:before="0" w:after="0" w:line="240" w:lineRule="auto"/>
            </w:pPr>
            <w:r/>
            <w:r>
              <w:rPr>
                <w:sz w:val="17"/>
              </w:rPr>
              <w:t>0.10</w:t>
            </w:r>
          </w:p>
        </w:tc>
        <w:tc>
          <w:tcPr>
            <w:tcW w:type="dxa" w:w="1950"/>
            <w:tcMar>
              <w:top w:w="70" w:type="dxa"/>
              <w:start w:w="85" w:type="dxa"/>
              <w:bottom w:w="70" w:type="dxa"/>
              <w:end w:w="85" w:type="dxa"/>
            </w:tcMar>
            <w:vAlign w:val="center"/>
          </w:tcPr>
          <w:p>
            <w:pPr>
              <w:spacing w:before="0" w:after="0" w:line="240" w:lineRule="auto"/>
            </w:pPr>
            <w:r/>
            <w:r>
              <w:rPr>
                <w:sz w:val="17"/>
              </w:rPr>
              <w:t>Eligible cross-sectional percentile of benchmark-relative total return</w:t>
            </w:r>
          </w:p>
        </w:tc>
      </w:tr>
      <w:tr>
        <w:tc>
          <w:tcPr>
            <w:tcW w:type="dxa" w:w="1950"/>
            <w:tcMar>
              <w:top w:w="70" w:type="dxa"/>
              <w:start w:w="85" w:type="dxa"/>
              <w:bottom w:w="70" w:type="dxa"/>
              <w:end w:w="85" w:type="dxa"/>
            </w:tcMar>
            <w:vAlign w:val="center"/>
          </w:tcPr>
          <w:p>
            <w:pPr>
              <w:spacing w:before="0" w:after="0" w:line="240" w:lineRule="auto"/>
            </w:pPr>
            <w:r/>
            <w:r>
              <w:rPr>
                <w:sz w:val="17"/>
              </w:rPr>
              <w:t>RS42</w:t>
            </w:r>
          </w:p>
        </w:tc>
        <w:tc>
          <w:tcPr>
            <w:tcW w:type="dxa" w:w="1950"/>
            <w:tcMar>
              <w:top w:w="70" w:type="dxa"/>
              <w:start w:w="85" w:type="dxa"/>
              <w:bottom w:w="70" w:type="dxa"/>
              <w:end w:w="85" w:type="dxa"/>
            </w:tcMar>
            <w:vAlign w:val="center"/>
          </w:tcPr>
          <w:p>
            <w:pPr>
              <w:spacing w:before="0" w:after="0" w:line="240" w:lineRule="auto"/>
            </w:pPr>
            <w:r/>
            <w:r>
              <w:rPr>
                <w:sz w:val="17"/>
              </w:rPr>
              <w:t>42</w:t>
            </w:r>
          </w:p>
        </w:tc>
        <w:tc>
          <w:tcPr>
            <w:tcW w:type="dxa" w:w="1950"/>
            <w:tcMar>
              <w:top w:w="70" w:type="dxa"/>
              <w:start w:w="85" w:type="dxa"/>
              <w:bottom w:w="70" w:type="dxa"/>
              <w:end w:w="85" w:type="dxa"/>
            </w:tcMar>
            <w:vAlign w:val="center"/>
          </w:tcPr>
          <w:p>
            <w:pPr>
              <w:spacing w:before="0" w:after="0" w:line="240" w:lineRule="auto"/>
            </w:pPr>
            <w:r/>
            <w:r>
              <w:rPr>
                <w:sz w:val="17"/>
              </w:rPr>
              <w:t>Fast/intermediate confirmation</w:t>
            </w:r>
          </w:p>
        </w:tc>
        <w:tc>
          <w:tcPr>
            <w:tcW w:type="dxa" w:w="1950"/>
            <w:tcMar>
              <w:top w:w="70" w:type="dxa"/>
              <w:start w:w="85" w:type="dxa"/>
              <w:bottom w:w="70" w:type="dxa"/>
              <w:end w:w="85" w:type="dxa"/>
            </w:tcMar>
            <w:vAlign w:val="center"/>
          </w:tcPr>
          <w:p>
            <w:pPr>
              <w:spacing w:before="0" w:after="0" w:line="240" w:lineRule="auto"/>
            </w:pPr>
            <w:r/>
            <w:r>
              <w:rPr>
                <w:sz w:val="17"/>
              </w:rPr>
              <w:t>0.15</w:t>
            </w:r>
          </w:p>
        </w:tc>
        <w:tc>
          <w:tcPr>
            <w:tcW w:type="dxa" w:w="1950"/>
            <w:tcMar>
              <w:top w:w="70" w:type="dxa"/>
              <w:start w:w="85" w:type="dxa"/>
              <w:bottom w:w="70" w:type="dxa"/>
              <w:end w:w="85" w:type="dxa"/>
            </w:tcMar>
            <w:vAlign w:val="center"/>
          </w:tcPr>
          <w:p>
            <w:pPr>
              <w:spacing w:before="0" w:after="0" w:line="240" w:lineRule="auto"/>
            </w:pPr>
            <w:r/>
            <w:r>
              <w:rPr>
                <w:sz w:val="17"/>
              </w:rPr>
              <w:t>Same convention</w:t>
            </w:r>
          </w:p>
        </w:tc>
      </w:tr>
      <w:tr>
        <w:tc>
          <w:tcPr>
            <w:tcW w:type="dxa" w:w="1950"/>
            <w:tcMar>
              <w:top w:w="70" w:type="dxa"/>
              <w:start w:w="85" w:type="dxa"/>
              <w:bottom w:w="70" w:type="dxa"/>
              <w:end w:w="85" w:type="dxa"/>
            </w:tcMar>
            <w:vAlign w:val="center"/>
          </w:tcPr>
          <w:p>
            <w:pPr>
              <w:spacing w:before="0" w:after="0" w:line="240" w:lineRule="auto"/>
            </w:pPr>
            <w:r/>
            <w:r>
              <w:rPr>
                <w:sz w:val="17"/>
              </w:rPr>
              <w:t>RS63</w:t>
            </w:r>
          </w:p>
        </w:tc>
        <w:tc>
          <w:tcPr>
            <w:tcW w:type="dxa" w:w="1950"/>
            <w:tcMar>
              <w:top w:w="70" w:type="dxa"/>
              <w:start w:w="85" w:type="dxa"/>
              <w:bottom w:w="70" w:type="dxa"/>
              <w:end w:w="85" w:type="dxa"/>
            </w:tcMar>
            <w:vAlign w:val="center"/>
          </w:tcPr>
          <w:p>
            <w:pPr>
              <w:spacing w:before="0" w:after="0" w:line="240" w:lineRule="auto"/>
            </w:pPr>
            <w:r/>
            <w:r>
              <w:rPr>
                <w:sz w:val="17"/>
              </w:rPr>
              <w:t>63</w:t>
            </w:r>
          </w:p>
        </w:tc>
        <w:tc>
          <w:tcPr>
            <w:tcW w:type="dxa" w:w="1950"/>
            <w:tcMar>
              <w:top w:w="70" w:type="dxa"/>
              <w:start w:w="85" w:type="dxa"/>
              <w:bottom w:w="70" w:type="dxa"/>
              <w:end w:w="85" w:type="dxa"/>
            </w:tcMar>
            <w:vAlign w:val="center"/>
          </w:tcPr>
          <w:p>
            <w:pPr>
              <w:spacing w:before="0" w:after="0" w:line="240" w:lineRule="auto"/>
            </w:pPr>
            <w:r/>
            <w:r>
              <w:rPr>
                <w:sz w:val="17"/>
              </w:rPr>
              <w:t>Three-month persistence</w:t>
            </w:r>
          </w:p>
        </w:tc>
        <w:tc>
          <w:tcPr>
            <w:tcW w:type="dxa" w:w="1950"/>
            <w:tcMar>
              <w:top w:w="70" w:type="dxa"/>
              <w:start w:w="85" w:type="dxa"/>
              <w:bottom w:w="70" w:type="dxa"/>
              <w:end w:w="85" w:type="dxa"/>
            </w:tcMar>
            <w:vAlign w:val="center"/>
          </w:tcPr>
          <w:p>
            <w:pPr>
              <w:spacing w:before="0" w:after="0" w:line="240" w:lineRule="auto"/>
            </w:pPr>
            <w:r/>
            <w:r>
              <w:rPr>
                <w:sz w:val="17"/>
              </w:rPr>
              <w:t>0.25</w:t>
            </w:r>
          </w:p>
        </w:tc>
        <w:tc>
          <w:tcPr>
            <w:tcW w:type="dxa" w:w="1950"/>
            <w:tcMar>
              <w:top w:w="70" w:type="dxa"/>
              <w:start w:w="85" w:type="dxa"/>
              <w:bottom w:w="70" w:type="dxa"/>
              <w:end w:w="85" w:type="dxa"/>
            </w:tcMar>
            <w:vAlign w:val="center"/>
          </w:tcPr>
          <w:p>
            <w:pPr>
              <w:spacing w:before="0" w:after="0" w:line="240" w:lineRule="auto"/>
            </w:pPr>
            <w:r/>
            <w:r>
              <w:rPr>
                <w:sz w:val="17"/>
              </w:rPr>
              <w:t>Same convention</w:t>
            </w:r>
          </w:p>
        </w:tc>
      </w:tr>
      <w:tr>
        <w:tc>
          <w:tcPr>
            <w:tcW w:type="dxa" w:w="1950"/>
            <w:tcMar>
              <w:top w:w="70" w:type="dxa"/>
              <w:start w:w="85" w:type="dxa"/>
              <w:bottom w:w="70" w:type="dxa"/>
              <w:end w:w="85" w:type="dxa"/>
            </w:tcMar>
            <w:vAlign w:val="center"/>
          </w:tcPr>
          <w:p>
            <w:pPr>
              <w:spacing w:before="0" w:after="0" w:line="240" w:lineRule="auto"/>
            </w:pPr>
            <w:r/>
            <w:r>
              <w:rPr>
                <w:sz w:val="17"/>
              </w:rPr>
              <w:t>RS126</w:t>
            </w:r>
          </w:p>
        </w:tc>
        <w:tc>
          <w:tcPr>
            <w:tcW w:type="dxa" w:w="1950"/>
            <w:tcMar>
              <w:top w:w="70" w:type="dxa"/>
              <w:start w:w="85" w:type="dxa"/>
              <w:bottom w:w="70" w:type="dxa"/>
              <w:end w:w="85" w:type="dxa"/>
            </w:tcMar>
            <w:vAlign w:val="center"/>
          </w:tcPr>
          <w:p>
            <w:pPr>
              <w:spacing w:before="0" w:after="0" w:line="240" w:lineRule="auto"/>
            </w:pPr>
            <w:r/>
            <w:r>
              <w:rPr>
                <w:sz w:val="17"/>
              </w:rPr>
              <w:t>126</w:t>
            </w:r>
          </w:p>
        </w:tc>
        <w:tc>
          <w:tcPr>
            <w:tcW w:type="dxa" w:w="1950"/>
            <w:tcMar>
              <w:top w:w="70" w:type="dxa"/>
              <w:start w:w="85" w:type="dxa"/>
              <w:bottom w:w="70" w:type="dxa"/>
              <w:end w:w="85" w:type="dxa"/>
            </w:tcMar>
            <w:vAlign w:val="center"/>
          </w:tcPr>
          <w:p>
            <w:pPr>
              <w:spacing w:before="0" w:after="0" w:line="240" w:lineRule="auto"/>
            </w:pPr>
            <w:r/>
            <w:r>
              <w:rPr>
                <w:sz w:val="17"/>
              </w:rPr>
              <w:t>Six-month leadership</w:t>
            </w:r>
          </w:p>
        </w:tc>
        <w:tc>
          <w:tcPr>
            <w:tcW w:type="dxa" w:w="1950"/>
            <w:tcMar>
              <w:top w:w="70" w:type="dxa"/>
              <w:start w:w="85" w:type="dxa"/>
              <w:bottom w:w="70" w:type="dxa"/>
              <w:end w:w="85" w:type="dxa"/>
            </w:tcMar>
            <w:vAlign w:val="center"/>
          </w:tcPr>
          <w:p>
            <w:pPr>
              <w:spacing w:before="0" w:after="0" w:line="240" w:lineRule="auto"/>
            </w:pPr>
            <w:r/>
            <w:r>
              <w:rPr>
                <w:sz w:val="17"/>
              </w:rPr>
              <w:t>0.30</w:t>
            </w:r>
          </w:p>
        </w:tc>
        <w:tc>
          <w:tcPr>
            <w:tcW w:type="dxa" w:w="1950"/>
            <w:tcMar>
              <w:top w:w="70" w:type="dxa"/>
              <w:start w:w="85" w:type="dxa"/>
              <w:bottom w:w="70" w:type="dxa"/>
              <w:end w:w="85" w:type="dxa"/>
            </w:tcMar>
            <w:vAlign w:val="center"/>
          </w:tcPr>
          <w:p>
            <w:pPr>
              <w:spacing w:before="0" w:after="0" w:line="240" w:lineRule="auto"/>
            </w:pPr>
            <w:r/>
            <w:r>
              <w:rPr>
                <w:sz w:val="17"/>
              </w:rPr>
              <w:t>Same convention</w:t>
            </w:r>
          </w:p>
        </w:tc>
      </w:tr>
      <w:tr>
        <w:tc>
          <w:tcPr>
            <w:tcW w:type="dxa" w:w="1950"/>
            <w:tcMar>
              <w:top w:w="70" w:type="dxa"/>
              <w:start w:w="85" w:type="dxa"/>
              <w:bottom w:w="70" w:type="dxa"/>
              <w:end w:w="85" w:type="dxa"/>
            </w:tcMar>
            <w:vAlign w:val="center"/>
          </w:tcPr>
          <w:p>
            <w:pPr>
              <w:spacing w:before="0" w:after="0" w:line="240" w:lineRule="auto"/>
            </w:pPr>
            <w:r/>
            <w:r>
              <w:rPr>
                <w:sz w:val="17"/>
              </w:rPr>
              <w:t>RS252</w:t>
            </w:r>
          </w:p>
        </w:tc>
        <w:tc>
          <w:tcPr>
            <w:tcW w:type="dxa" w:w="1950"/>
            <w:tcMar>
              <w:top w:w="70" w:type="dxa"/>
              <w:start w:w="85" w:type="dxa"/>
              <w:bottom w:w="70" w:type="dxa"/>
              <w:end w:w="85" w:type="dxa"/>
            </w:tcMar>
            <w:vAlign w:val="center"/>
          </w:tcPr>
          <w:p>
            <w:pPr>
              <w:spacing w:before="0" w:after="0" w:line="240" w:lineRule="auto"/>
            </w:pPr>
            <w:r/>
            <w:r>
              <w:rPr>
                <w:sz w:val="17"/>
              </w:rPr>
              <w:t>252</w:t>
            </w:r>
          </w:p>
        </w:tc>
        <w:tc>
          <w:tcPr>
            <w:tcW w:type="dxa" w:w="1950"/>
            <w:tcMar>
              <w:top w:w="70" w:type="dxa"/>
              <w:start w:w="85" w:type="dxa"/>
              <w:bottom w:w="70" w:type="dxa"/>
              <w:end w:w="85" w:type="dxa"/>
            </w:tcMar>
            <w:vAlign w:val="center"/>
          </w:tcPr>
          <w:p>
            <w:pPr>
              <w:spacing w:before="0" w:after="0" w:line="240" w:lineRule="auto"/>
            </w:pPr>
            <w:r/>
            <w:r>
              <w:rPr>
                <w:sz w:val="17"/>
              </w:rPr>
              <w:t>Slow structural leadership</w:t>
            </w:r>
          </w:p>
        </w:tc>
        <w:tc>
          <w:tcPr>
            <w:tcW w:type="dxa" w:w="1950"/>
            <w:tcMar>
              <w:top w:w="70" w:type="dxa"/>
              <w:start w:w="85" w:type="dxa"/>
              <w:bottom w:w="70" w:type="dxa"/>
              <w:end w:w="85" w:type="dxa"/>
            </w:tcMar>
            <w:vAlign w:val="center"/>
          </w:tcPr>
          <w:p>
            <w:pPr>
              <w:spacing w:before="0" w:after="0" w:line="240" w:lineRule="auto"/>
            </w:pPr>
            <w:r/>
            <w:r>
              <w:rPr>
                <w:sz w:val="17"/>
              </w:rPr>
              <w:t>0.20</w:t>
            </w:r>
          </w:p>
        </w:tc>
        <w:tc>
          <w:tcPr>
            <w:tcW w:type="dxa" w:w="1950"/>
            <w:tcMar>
              <w:top w:w="70" w:type="dxa"/>
              <w:start w:w="85" w:type="dxa"/>
              <w:bottom w:w="70" w:type="dxa"/>
              <w:end w:w="85" w:type="dxa"/>
            </w:tcMar>
            <w:vAlign w:val="center"/>
          </w:tcPr>
          <w:p>
            <w:pPr>
              <w:spacing w:before="0" w:after="0" w:line="240" w:lineRule="auto"/>
            </w:pPr>
            <w:r/>
            <w:r>
              <w:rPr>
                <w:sz w:val="17"/>
              </w:rPr>
              <w:t>Same convention</w:t>
            </w:r>
          </w:p>
        </w:tc>
      </w:tr>
      <w:tr>
        <w:tc>
          <w:tcPr>
            <w:tcW w:type="dxa" w:w="1950"/>
            <w:tcMar>
              <w:top w:w="70" w:type="dxa"/>
              <w:start w:w="85" w:type="dxa"/>
              <w:bottom w:w="70" w:type="dxa"/>
              <w:end w:w="85" w:type="dxa"/>
            </w:tcMar>
            <w:vAlign w:val="center"/>
          </w:tcPr>
          <w:p>
            <w:pPr>
              <w:spacing w:before="0" w:after="0" w:line="240" w:lineRule="auto"/>
            </w:pPr>
            <w:r/>
            <w:r>
              <w:rPr>
                <w:b/>
                <w:sz w:val="17"/>
              </w:rPr>
              <w:t>M2</w:t>
            </w:r>
          </w:p>
        </w:tc>
        <w:tc>
          <w:tcPr>
            <w:tcW w:type="dxa" w:w="1950"/>
            <w:tcMar>
              <w:top w:w="70" w:type="dxa"/>
              <w:start w:w="85" w:type="dxa"/>
              <w:bottom w:w="70" w:type="dxa"/>
              <w:end w:w="85" w:type="dxa"/>
            </w:tcMar>
            <w:vAlign w:val="center"/>
          </w:tcPr>
          <w:p>
            <w:pPr>
              <w:spacing w:before="0" w:after="0" w:line="240" w:lineRule="auto"/>
            </w:pPr>
            <w:r/>
            <w:r>
              <w:rPr>
                <w:sz w:val="17"/>
              </w:rPr>
              <w:t>Five horizons</w:t>
            </w:r>
          </w:p>
        </w:tc>
        <w:tc>
          <w:tcPr>
            <w:tcW w:type="dxa" w:w="1950"/>
            <w:tcMar>
              <w:top w:w="70" w:type="dxa"/>
              <w:start w:w="85" w:type="dxa"/>
              <w:bottom w:w="70" w:type="dxa"/>
              <w:end w:w="85" w:type="dxa"/>
            </w:tcMar>
            <w:vAlign w:val="center"/>
          </w:tcPr>
          <w:p>
            <w:pPr>
              <w:spacing w:before="0" w:after="0" w:line="240" w:lineRule="auto"/>
            </w:pPr>
            <w:r/>
            <w:r>
              <w:rPr>
                <w:sz w:val="17"/>
              </w:rPr>
              <w:t>Multi-horizon composite</w:t>
            </w:r>
          </w:p>
        </w:tc>
        <w:tc>
          <w:tcPr>
            <w:tcW w:type="dxa" w:w="1950"/>
            <w:tcMar>
              <w:top w:w="70" w:type="dxa"/>
              <w:start w:w="85" w:type="dxa"/>
              <w:bottom w:w="70" w:type="dxa"/>
              <w:end w:w="85" w:type="dxa"/>
            </w:tcMar>
            <w:vAlign w:val="center"/>
          </w:tcPr>
          <w:p>
            <w:pPr>
              <w:spacing w:before="0" w:after="0" w:line="240" w:lineRule="auto"/>
            </w:pPr>
            <w:r/>
            <w:r>
              <w:rPr>
                <w:b/>
                <w:sz w:val="17"/>
              </w:rPr>
              <w:t>1.00</w:t>
            </w:r>
          </w:p>
        </w:tc>
        <w:tc>
          <w:tcPr>
            <w:tcW w:type="dxa" w:w="1950"/>
            <w:tcMar>
              <w:top w:w="70" w:type="dxa"/>
              <w:start w:w="85" w:type="dxa"/>
              <w:bottom w:w="70" w:type="dxa"/>
              <w:end w:w="85" w:type="dxa"/>
            </w:tcMar>
            <w:vAlign w:val="center"/>
          </w:tcPr>
          <w:p>
            <w:pPr>
              <w:spacing w:before="0" w:after="0" w:line="240" w:lineRule="auto"/>
            </w:pPr>
            <w:r/>
            <w:r>
              <w:rPr>
                <w:sz w:val="17"/>
              </w:rPr>
              <w:t>Weighted sum; all components required</w:t>
            </w:r>
          </w:p>
        </w:tc>
      </w:tr>
    </w:tbl>
    <w:p>
      <w:pPr>
        <w:pStyle w:val="SourceCitation"/>
      </w:pPr>
      <w:r>
        <w:rPr>
          <w:sz w:val="16"/>
        </w:rPr>
        <w:t xml:space="preserve">Internal source [M2-FORMULA]: A5C frozen spec at freeze commit </w:t>
      </w:r>
      <w:r>
        <w:rPr>
          <w:rFonts w:ascii="Consolas" w:hAnsi="Consolas"/>
          <w:color w:val="1F4D78"/>
          <w:sz w:val="16"/>
        </w:rPr>
        <w:t>a8008f7709af3000a889bb234a86f8c520c4ed73</w:t>
      </w:r>
      <w:r>
        <w:rPr>
          <w:sz w:val="16"/>
        </w:rPr>
        <w:t>; code confirmation in immutable A4D/A5C signal implementation, fields for return convention, percentile method and weights.</w:t>
      </w:r>
    </w:p>
    <w:p>
      <w:r>
        <w:t>M2 assigns 55% to the 63- and 126-session components and 75% to 63, 126 and 252 sessions together. It is therefore intermediate-weighted rather than dominated by the most recent month. The intended interpretation is that the short components register new information, the intermediate components capture persistence, and the annual component recognises structural leadership. That mechanism is plausible rather than proven. Percentile standardisation also means the score measures relative position within the eligible cross-section, not an absolute expected return.</w:t>
      </w:r>
    </w:p>
    <w:p>
      <w:pPr>
        <w:pStyle w:val="Heading1"/>
      </w:pPr>
      <w:r>
        <w:t>9. Portfolio construction</w:t>
      </w:r>
    </w:p>
    <w:p>
      <w:r>
        <w:t>At each monthly review, eligible economic families are sorted by M2; the first seven are selected and assigned equal target weights of (1/7\approx14.29\%\) within the standalone sleeve. Ranking families rather than tickers suppresses duplicate or near-duplicate exposure. Mapping to a preferred GBP/GBX line occurs after selection. A family leaving the TOP7 is sold at the next execution; a new family is bought; retained families are rebalanced to equal weight under the cost model. No discretionary intra-month exit is permitted.</w:t>
      </w:r>
    </w:p>
    <w:p>
      <w:r>
        <w:t>Turnover is traded notional—purchases plus sales relative to portfolio value—annualised under the originating calculation. A family replacement typically creates a sale leg and a purchase leg. Because weights drift, turnover and replacement rate are related but not identical.</w:t>
      </w:r>
    </w:p>
    <w:p>
      <w:r>
        <w:t>TOP7 is not presented as a uniquely optimal integer. The breadth frontier later showed a broad TOP6–TOP9 region, with different members leading on different metrics and windows. TOP8 had the highest latest-five-year historical CAGR, while TOP6 had the highest full-history CAGR. TOP7 was chosen as a central, representative specification that avoided claiming the highest cell in either view. This decision reduces, but does not remove, selection risk.</w:t>
      </w:r>
    </w:p>
    <w:p>
      <w:pPr>
        <w:pStyle w:val="Heading1"/>
      </w:pPr>
      <w:r>
        <w:t>10. Transaction-cost model</w:t>
      </w:r>
    </w:p>
    <w:p>
      <w:r>
        <w:t>The canonical historical model charges 20 bps one-way on traded notional and uses a market-price execution assumption. Fixed dealing fees are applied by trade leg under the relevant Interactive Investor plan. For A5C, Plus charges £3.99 per paid ETF leg with one monthly free-trade credit and a £14.99 monthly subscription; Premium charges £2.99 per paid ETF leg, two monthly credits and a £39.99 monthly subscription. The subscription is normally reported separately from incremental M2 cost because it supports the whole account, while an all-in subscription-deducted result is also shown. Fund total expense ratios are not deducted twice: the accepted adjusted-price histories already reflect realised fund performance.</w:t>
      </w:r>
    </w:p>
    <w:p>
      <w:r>
        <w:t>Preferred lines deal in GBP or GBX, so no broker foreign-exchange transaction fee is deducted on those trades. This does not remove the foreign-currency exposure of the underlying holdings. A GBP line can remain economically unhedged; underlying currency returns affect NAV without constituting a broker FX conversion charge.</w:t>
      </w:r>
    </w:p>
    <w:p>
      <w:pPr>
        <w:keepNext/>
        <w:spacing w:before="160" w:after="80"/>
      </w:pPr>
      <w:r>
        <w:rPr>
          <w:b/>
        </w:rPr>
        <w:t>Table 5. Live and historical cost assumptions</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Item</w:t>
            </w:r>
          </w:p>
        </w:tc>
        <w:tc>
          <w:tcPr>
            <w:tcW w:type="dxa" w:w="3251"/>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Frozen assumption</w:t>
            </w:r>
          </w:p>
        </w:tc>
        <w:tc>
          <w:tcPr>
            <w:tcW w:type="dxa" w:w="3251"/>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Scientific treatment</w:t>
            </w:r>
          </w:p>
        </w:tc>
      </w:tr>
      <w:tr>
        <w:tc>
          <w:tcPr>
            <w:tcW w:type="dxa" w:w="3251"/>
            <w:tcMar>
              <w:top w:w="70" w:type="dxa"/>
              <w:start w:w="85" w:type="dxa"/>
              <w:bottom w:w="70" w:type="dxa"/>
              <w:end w:w="85" w:type="dxa"/>
            </w:tcMar>
            <w:vAlign w:val="center"/>
          </w:tcPr>
          <w:p>
            <w:pPr>
              <w:spacing w:before="0" w:after="0" w:line="240" w:lineRule="auto"/>
            </w:pPr>
            <w:r/>
            <w:r>
              <w:rPr>
                <w:sz w:val="17"/>
              </w:rPr>
              <w:t>Proportional friction</w:t>
            </w:r>
          </w:p>
        </w:tc>
        <w:tc>
          <w:tcPr>
            <w:tcW w:type="dxa" w:w="3251"/>
            <w:tcMar>
              <w:top w:w="70" w:type="dxa"/>
              <w:start w:w="85" w:type="dxa"/>
              <w:bottom w:w="70" w:type="dxa"/>
              <w:end w:w="85" w:type="dxa"/>
            </w:tcMar>
            <w:vAlign w:val="center"/>
          </w:tcPr>
          <w:p>
            <w:pPr>
              <w:spacing w:before="0" w:after="0" w:line="240" w:lineRule="auto"/>
            </w:pPr>
            <w:r/>
            <w:r>
              <w:rPr>
                <w:sz w:val="17"/>
              </w:rPr>
              <w:t>20 bps one-way</w:t>
            </w:r>
          </w:p>
        </w:tc>
        <w:tc>
          <w:tcPr>
            <w:tcW w:type="dxa" w:w="3251"/>
            <w:tcMar>
              <w:top w:w="70" w:type="dxa"/>
              <w:start w:w="85" w:type="dxa"/>
              <w:bottom w:w="70" w:type="dxa"/>
              <w:end w:w="85" w:type="dxa"/>
            </w:tcMar>
            <w:vAlign w:val="center"/>
          </w:tcPr>
          <w:p>
            <w:pPr>
              <w:spacing w:before="0" w:after="0" w:line="240" w:lineRule="auto"/>
            </w:pPr>
            <w:r/>
            <w:r>
              <w:rPr>
                <w:sz w:val="17"/>
              </w:rPr>
              <w:t>Baseline historical and pilot calculations</w:t>
            </w:r>
          </w:p>
        </w:tc>
      </w:tr>
      <w:tr>
        <w:tc>
          <w:tcPr>
            <w:tcW w:type="dxa" w:w="3251"/>
            <w:tcMar>
              <w:top w:w="70" w:type="dxa"/>
              <w:start w:w="85" w:type="dxa"/>
              <w:bottom w:w="70" w:type="dxa"/>
              <w:end w:w="85" w:type="dxa"/>
            </w:tcMar>
            <w:vAlign w:val="center"/>
          </w:tcPr>
          <w:p>
            <w:pPr>
              <w:spacing w:before="0" w:after="0" w:line="240" w:lineRule="auto"/>
            </w:pPr>
            <w:r/>
            <w:r>
              <w:rPr>
                <w:sz w:val="17"/>
              </w:rPr>
              <w:t>Stress</w:t>
            </w:r>
          </w:p>
        </w:tc>
        <w:tc>
          <w:tcPr>
            <w:tcW w:type="dxa" w:w="3251"/>
            <w:tcMar>
              <w:top w:w="70" w:type="dxa"/>
              <w:start w:w="85" w:type="dxa"/>
              <w:bottom w:w="70" w:type="dxa"/>
              <w:end w:w="85" w:type="dxa"/>
            </w:tcMar>
            <w:vAlign w:val="center"/>
          </w:tcPr>
          <w:p>
            <w:pPr>
              <w:spacing w:before="0" w:after="0" w:line="240" w:lineRule="auto"/>
            </w:pPr>
            <w:r/>
            <w:r>
              <w:rPr>
                <w:sz w:val="17"/>
              </w:rPr>
              <w:t>40 bps one-way</w:t>
            </w:r>
          </w:p>
        </w:tc>
        <w:tc>
          <w:tcPr>
            <w:tcW w:type="dxa" w:w="3251"/>
            <w:tcMar>
              <w:top w:w="70" w:type="dxa"/>
              <w:start w:w="85" w:type="dxa"/>
              <w:bottom w:w="70" w:type="dxa"/>
              <w:end w:w="85" w:type="dxa"/>
            </w:tcMar>
            <w:vAlign w:val="center"/>
          </w:tcPr>
          <w:p>
            <w:pPr>
              <w:spacing w:before="0" w:after="0" w:line="240" w:lineRule="auto"/>
            </w:pPr>
            <w:r/>
            <w:r>
              <w:rPr>
                <w:sz w:val="17"/>
              </w:rPr>
              <w:t>Doubled-cost sensitivity; no model reselection</w:t>
            </w:r>
          </w:p>
        </w:tc>
      </w:tr>
      <w:tr>
        <w:tc>
          <w:tcPr>
            <w:tcW w:type="dxa" w:w="3251"/>
            <w:tcMar>
              <w:top w:w="70" w:type="dxa"/>
              <w:start w:w="85" w:type="dxa"/>
              <w:bottom w:w="70" w:type="dxa"/>
              <w:end w:w="85" w:type="dxa"/>
            </w:tcMar>
            <w:vAlign w:val="center"/>
          </w:tcPr>
          <w:p>
            <w:pPr>
              <w:spacing w:before="0" w:after="0" w:line="240" w:lineRule="auto"/>
            </w:pPr>
            <w:r/>
            <w:r>
              <w:rPr>
                <w:sz w:val="17"/>
              </w:rPr>
              <w:t>Execution reference</w:t>
            </w:r>
          </w:p>
        </w:tc>
        <w:tc>
          <w:tcPr>
            <w:tcW w:type="dxa" w:w="3251"/>
            <w:tcMar>
              <w:top w:w="70" w:type="dxa"/>
              <w:start w:w="85" w:type="dxa"/>
              <w:bottom w:w="70" w:type="dxa"/>
              <w:end w:w="85" w:type="dxa"/>
            </w:tcMar>
            <w:vAlign w:val="center"/>
          </w:tcPr>
          <w:p>
            <w:pPr>
              <w:spacing w:before="0" w:after="0" w:line="240" w:lineRule="auto"/>
            </w:pPr>
            <w:r/>
            <w:r>
              <w:rPr>
                <w:sz w:val="17"/>
              </w:rPr>
              <w:t>Market-price</w:t>
            </w:r>
          </w:p>
        </w:tc>
        <w:tc>
          <w:tcPr>
            <w:tcW w:type="dxa" w:w="3251"/>
            <w:tcMar>
              <w:top w:w="70" w:type="dxa"/>
              <w:start w:w="85" w:type="dxa"/>
              <w:bottom w:w="70" w:type="dxa"/>
              <w:end w:w="85" w:type="dxa"/>
            </w:tcMar>
            <w:vAlign w:val="center"/>
          </w:tcPr>
          <w:p>
            <w:pPr>
              <w:spacing w:before="0" w:after="0" w:line="240" w:lineRule="auto"/>
            </w:pPr>
            <w:r/>
            <w:r>
              <w:rPr>
                <w:sz w:val="17"/>
              </w:rPr>
              <w:t>Midpoint fills not assumed</w:t>
            </w:r>
          </w:p>
        </w:tc>
      </w:tr>
      <w:tr>
        <w:tc>
          <w:tcPr>
            <w:tcW w:type="dxa" w:w="3251"/>
            <w:tcMar>
              <w:top w:w="70" w:type="dxa"/>
              <w:start w:w="85" w:type="dxa"/>
              <w:bottom w:w="70" w:type="dxa"/>
              <w:end w:w="85" w:type="dxa"/>
            </w:tcMar>
            <w:vAlign w:val="center"/>
          </w:tcPr>
          <w:p>
            <w:pPr>
              <w:spacing w:before="0" w:after="0" w:line="240" w:lineRule="auto"/>
            </w:pPr>
            <w:r/>
            <w:r>
              <w:rPr>
                <w:sz w:val="17"/>
              </w:rPr>
              <w:t>Plus dealing fee</w:t>
            </w:r>
          </w:p>
        </w:tc>
        <w:tc>
          <w:tcPr>
            <w:tcW w:type="dxa" w:w="3251"/>
            <w:tcMar>
              <w:top w:w="70" w:type="dxa"/>
              <w:start w:w="85" w:type="dxa"/>
              <w:bottom w:w="70" w:type="dxa"/>
              <w:end w:w="85" w:type="dxa"/>
            </w:tcMar>
            <w:vAlign w:val="center"/>
          </w:tcPr>
          <w:p>
            <w:pPr>
              <w:spacing w:before="0" w:after="0" w:line="240" w:lineRule="auto"/>
            </w:pPr>
            <w:r/>
            <w:r>
              <w:rPr>
                <w:sz w:val="17"/>
              </w:rPr>
              <w:t>£3.99 per paid ETF leg</w:t>
            </w:r>
          </w:p>
        </w:tc>
        <w:tc>
          <w:tcPr>
            <w:tcW w:type="dxa" w:w="3251"/>
            <w:tcMar>
              <w:top w:w="70" w:type="dxa"/>
              <w:start w:w="85" w:type="dxa"/>
              <w:bottom w:w="70" w:type="dxa"/>
              <w:end w:w="85" w:type="dxa"/>
            </w:tcMar>
            <w:vAlign w:val="center"/>
          </w:tcPr>
          <w:p>
            <w:pPr>
              <w:spacing w:before="0" w:after="0" w:line="240" w:lineRule="auto"/>
            </w:pPr>
            <w:r/>
            <w:r>
              <w:rPr>
                <w:sz w:val="17"/>
              </w:rPr>
              <w:t>One monthly credit</w:t>
            </w:r>
          </w:p>
        </w:tc>
      </w:tr>
      <w:tr>
        <w:tc>
          <w:tcPr>
            <w:tcW w:type="dxa" w:w="3251"/>
            <w:tcMar>
              <w:top w:w="70" w:type="dxa"/>
              <w:start w:w="85" w:type="dxa"/>
              <w:bottom w:w="70" w:type="dxa"/>
              <w:end w:w="85" w:type="dxa"/>
            </w:tcMar>
            <w:vAlign w:val="center"/>
          </w:tcPr>
          <w:p>
            <w:pPr>
              <w:spacing w:before="0" w:after="0" w:line="240" w:lineRule="auto"/>
            </w:pPr>
            <w:r/>
            <w:r>
              <w:rPr>
                <w:sz w:val="17"/>
              </w:rPr>
              <w:t>Premium dealing fee</w:t>
            </w:r>
          </w:p>
        </w:tc>
        <w:tc>
          <w:tcPr>
            <w:tcW w:type="dxa" w:w="3251"/>
            <w:tcMar>
              <w:top w:w="70" w:type="dxa"/>
              <w:start w:w="85" w:type="dxa"/>
              <w:bottom w:w="70" w:type="dxa"/>
              <w:end w:w="85" w:type="dxa"/>
            </w:tcMar>
            <w:vAlign w:val="center"/>
          </w:tcPr>
          <w:p>
            <w:pPr>
              <w:spacing w:before="0" w:after="0" w:line="240" w:lineRule="auto"/>
            </w:pPr>
            <w:r/>
            <w:r>
              <w:rPr>
                <w:sz w:val="17"/>
              </w:rPr>
              <w:t>£2.99 per paid ETF leg</w:t>
            </w:r>
          </w:p>
        </w:tc>
        <w:tc>
          <w:tcPr>
            <w:tcW w:type="dxa" w:w="3251"/>
            <w:tcMar>
              <w:top w:w="70" w:type="dxa"/>
              <w:start w:w="85" w:type="dxa"/>
              <w:bottom w:w="70" w:type="dxa"/>
              <w:end w:w="85" w:type="dxa"/>
            </w:tcMar>
            <w:vAlign w:val="center"/>
          </w:tcPr>
          <w:p>
            <w:pPr>
              <w:spacing w:before="0" w:after="0" w:line="240" w:lineRule="auto"/>
            </w:pPr>
            <w:r/>
            <w:r>
              <w:rPr>
                <w:sz w:val="17"/>
              </w:rPr>
              <w:t>Two monthly credits</w:t>
            </w:r>
          </w:p>
        </w:tc>
      </w:tr>
      <w:tr>
        <w:tc>
          <w:tcPr>
            <w:tcW w:type="dxa" w:w="3251"/>
            <w:tcMar>
              <w:top w:w="70" w:type="dxa"/>
              <w:start w:w="85" w:type="dxa"/>
              <w:bottom w:w="70" w:type="dxa"/>
              <w:end w:w="85" w:type="dxa"/>
            </w:tcMar>
            <w:vAlign w:val="center"/>
          </w:tcPr>
          <w:p>
            <w:pPr>
              <w:spacing w:before="0" w:after="0" w:line="240" w:lineRule="auto"/>
            </w:pPr>
            <w:r/>
            <w:r>
              <w:rPr>
                <w:sz w:val="17"/>
              </w:rPr>
              <w:t>Plus subscription</w:t>
            </w:r>
          </w:p>
        </w:tc>
        <w:tc>
          <w:tcPr>
            <w:tcW w:type="dxa" w:w="3251"/>
            <w:tcMar>
              <w:top w:w="70" w:type="dxa"/>
              <w:start w:w="85" w:type="dxa"/>
              <w:bottom w:w="70" w:type="dxa"/>
              <w:end w:w="85" w:type="dxa"/>
            </w:tcMar>
            <w:vAlign w:val="center"/>
          </w:tcPr>
          <w:p>
            <w:pPr>
              <w:spacing w:before="0" w:after="0" w:line="240" w:lineRule="auto"/>
            </w:pPr>
            <w:r/>
            <w:r>
              <w:rPr>
                <w:sz w:val="17"/>
              </w:rPr>
              <w:t>£14.99 per month</w:t>
            </w:r>
          </w:p>
        </w:tc>
        <w:tc>
          <w:tcPr>
            <w:tcW w:type="dxa" w:w="3251"/>
            <w:tcMar>
              <w:top w:w="70" w:type="dxa"/>
              <w:start w:w="85" w:type="dxa"/>
              <w:bottom w:w="70" w:type="dxa"/>
              <w:end w:w="85" w:type="dxa"/>
            </w:tcMar>
            <w:vAlign w:val="center"/>
          </w:tcPr>
          <w:p>
            <w:pPr>
              <w:spacing w:before="0" w:after="0" w:line="240" w:lineRule="auto"/>
            </w:pPr>
            <w:r/>
            <w:r>
              <w:rPr>
                <w:sz w:val="17"/>
              </w:rPr>
              <w:t>Separate and all-in views</w:t>
            </w:r>
          </w:p>
        </w:tc>
      </w:tr>
      <w:tr>
        <w:tc>
          <w:tcPr>
            <w:tcW w:type="dxa" w:w="3251"/>
            <w:tcMar>
              <w:top w:w="70" w:type="dxa"/>
              <w:start w:w="85" w:type="dxa"/>
              <w:bottom w:w="70" w:type="dxa"/>
              <w:end w:w="85" w:type="dxa"/>
            </w:tcMar>
            <w:vAlign w:val="center"/>
          </w:tcPr>
          <w:p>
            <w:pPr>
              <w:spacing w:before="0" w:after="0" w:line="240" w:lineRule="auto"/>
            </w:pPr>
            <w:r/>
            <w:r>
              <w:rPr>
                <w:sz w:val="17"/>
              </w:rPr>
              <w:t>Premium subscription</w:t>
            </w:r>
          </w:p>
        </w:tc>
        <w:tc>
          <w:tcPr>
            <w:tcW w:type="dxa" w:w="3251"/>
            <w:tcMar>
              <w:top w:w="70" w:type="dxa"/>
              <w:start w:w="85" w:type="dxa"/>
              <w:bottom w:w="70" w:type="dxa"/>
              <w:end w:w="85" w:type="dxa"/>
            </w:tcMar>
            <w:vAlign w:val="center"/>
          </w:tcPr>
          <w:p>
            <w:pPr>
              <w:spacing w:before="0" w:after="0" w:line="240" w:lineRule="auto"/>
            </w:pPr>
            <w:r/>
            <w:r>
              <w:rPr>
                <w:sz w:val="17"/>
              </w:rPr>
              <w:t>£39.99 per month</w:t>
            </w:r>
          </w:p>
        </w:tc>
        <w:tc>
          <w:tcPr>
            <w:tcW w:type="dxa" w:w="3251"/>
            <w:tcMar>
              <w:top w:w="70" w:type="dxa"/>
              <w:start w:w="85" w:type="dxa"/>
              <w:bottom w:w="70" w:type="dxa"/>
              <w:end w:w="85" w:type="dxa"/>
            </w:tcMar>
            <w:vAlign w:val="center"/>
          </w:tcPr>
          <w:p>
            <w:pPr>
              <w:spacing w:before="0" w:after="0" w:line="240" w:lineRule="auto"/>
            </w:pPr>
            <w:r/>
            <w:r>
              <w:rPr>
                <w:sz w:val="17"/>
              </w:rPr>
              <w:t>Separate and all-in views</w:t>
            </w:r>
          </w:p>
        </w:tc>
      </w:tr>
      <w:tr>
        <w:tc>
          <w:tcPr>
            <w:tcW w:type="dxa" w:w="3251"/>
            <w:tcMar>
              <w:top w:w="70" w:type="dxa"/>
              <w:start w:w="85" w:type="dxa"/>
              <w:bottom w:w="70" w:type="dxa"/>
              <w:end w:w="85" w:type="dxa"/>
            </w:tcMar>
            <w:vAlign w:val="center"/>
          </w:tcPr>
          <w:p>
            <w:pPr>
              <w:spacing w:before="0" w:after="0" w:line="240" w:lineRule="auto"/>
            </w:pPr>
            <w:r/>
            <w:r>
              <w:rPr>
                <w:sz w:val="17"/>
              </w:rPr>
              <w:t>Preferred-line broker FX fee</w:t>
            </w:r>
          </w:p>
        </w:tc>
        <w:tc>
          <w:tcPr>
            <w:tcW w:type="dxa" w:w="3251"/>
            <w:tcMar>
              <w:top w:w="70" w:type="dxa"/>
              <w:start w:w="85" w:type="dxa"/>
              <w:bottom w:w="70" w:type="dxa"/>
              <w:end w:w="85" w:type="dxa"/>
            </w:tcMar>
            <w:vAlign w:val="center"/>
          </w:tcPr>
          <w:p>
            <w:pPr>
              <w:spacing w:before="0" w:after="0" w:line="240" w:lineRule="auto"/>
            </w:pPr>
            <w:r/>
            <w:r>
              <w:rPr>
                <w:sz w:val="17"/>
              </w:rPr>
              <w:t>£0</w:t>
            </w:r>
          </w:p>
        </w:tc>
        <w:tc>
          <w:tcPr>
            <w:tcW w:type="dxa" w:w="3251"/>
            <w:tcMar>
              <w:top w:w="70" w:type="dxa"/>
              <w:start w:w="85" w:type="dxa"/>
              <w:bottom w:w="70" w:type="dxa"/>
              <w:end w:w="85" w:type="dxa"/>
            </w:tcMar>
            <w:vAlign w:val="center"/>
          </w:tcPr>
          <w:p>
            <w:pPr>
              <w:spacing w:before="0" w:after="0" w:line="240" w:lineRule="auto"/>
            </w:pPr>
            <w:r/>
            <w:r>
              <w:rPr>
                <w:sz w:val="17"/>
              </w:rPr>
              <w:t>GBP/GBX dealing lines only</w:t>
            </w:r>
          </w:p>
        </w:tc>
      </w:tr>
      <w:tr>
        <w:tc>
          <w:tcPr>
            <w:tcW w:type="dxa" w:w="3251"/>
            <w:tcMar>
              <w:top w:w="70" w:type="dxa"/>
              <w:start w:w="85" w:type="dxa"/>
              <w:bottom w:w="70" w:type="dxa"/>
              <w:end w:w="85" w:type="dxa"/>
            </w:tcMar>
            <w:vAlign w:val="center"/>
          </w:tcPr>
          <w:p>
            <w:pPr>
              <w:spacing w:before="0" w:after="0" w:line="240" w:lineRule="auto"/>
            </w:pPr>
            <w:r/>
            <w:r>
              <w:rPr>
                <w:sz w:val="17"/>
              </w:rPr>
              <w:t>Underlying currency risk</w:t>
            </w:r>
          </w:p>
        </w:tc>
        <w:tc>
          <w:tcPr>
            <w:tcW w:type="dxa" w:w="3251"/>
            <w:tcMar>
              <w:top w:w="70" w:type="dxa"/>
              <w:start w:w="85" w:type="dxa"/>
              <w:bottom w:w="70" w:type="dxa"/>
              <w:end w:w="85" w:type="dxa"/>
            </w:tcMar>
            <w:vAlign w:val="center"/>
          </w:tcPr>
          <w:p>
            <w:pPr>
              <w:spacing w:before="0" w:after="0" w:line="240" w:lineRule="auto"/>
            </w:pPr>
            <w:r/>
            <w:r>
              <w:rPr>
                <w:sz w:val="17"/>
              </w:rPr>
              <w:t>Retained</w:t>
            </w:r>
          </w:p>
        </w:tc>
        <w:tc>
          <w:tcPr>
            <w:tcW w:type="dxa" w:w="3251"/>
            <w:tcMar>
              <w:top w:w="70" w:type="dxa"/>
              <w:start w:w="85" w:type="dxa"/>
              <w:bottom w:w="70" w:type="dxa"/>
              <w:end w:w="85" w:type="dxa"/>
            </w:tcMar>
            <w:vAlign w:val="center"/>
          </w:tcPr>
          <w:p>
            <w:pPr>
              <w:spacing w:before="0" w:after="0" w:line="240" w:lineRule="auto"/>
            </w:pPr>
            <w:r/>
            <w:r>
              <w:rPr>
                <w:sz w:val="17"/>
              </w:rPr>
              <w:t>GBP dealing does not imply hedging</w:t>
            </w:r>
          </w:p>
        </w:tc>
      </w:tr>
      <w:tr>
        <w:tc>
          <w:tcPr>
            <w:tcW w:type="dxa" w:w="3251"/>
            <w:tcMar>
              <w:top w:w="70" w:type="dxa"/>
              <w:start w:w="85" w:type="dxa"/>
              <w:bottom w:w="70" w:type="dxa"/>
              <w:end w:w="85" w:type="dxa"/>
            </w:tcMar>
            <w:vAlign w:val="center"/>
          </w:tcPr>
          <w:p>
            <w:pPr>
              <w:spacing w:before="0" w:after="0" w:line="240" w:lineRule="auto"/>
            </w:pPr>
            <w:r/>
            <w:r>
              <w:rPr>
                <w:sz w:val="17"/>
              </w:rPr>
              <w:t>ETF TER</w:t>
            </w:r>
          </w:p>
        </w:tc>
        <w:tc>
          <w:tcPr>
            <w:tcW w:type="dxa" w:w="3251"/>
            <w:tcMar>
              <w:top w:w="70" w:type="dxa"/>
              <w:start w:w="85" w:type="dxa"/>
              <w:bottom w:w="70" w:type="dxa"/>
              <w:end w:w="85" w:type="dxa"/>
            </w:tcMar>
            <w:vAlign w:val="center"/>
          </w:tcPr>
          <w:p>
            <w:pPr>
              <w:spacing w:before="0" w:after="0" w:line="240" w:lineRule="auto"/>
            </w:pPr>
            <w:r/>
            <w:r>
              <w:rPr>
                <w:sz w:val="17"/>
              </w:rPr>
              <w:t>No extra deduction</w:t>
            </w:r>
          </w:p>
        </w:tc>
        <w:tc>
          <w:tcPr>
            <w:tcW w:type="dxa" w:w="3251"/>
            <w:tcMar>
              <w:top w:w="70" w:type="dxa"/>
              <w:start w:w="85" w:type="dxa"/>
              <w:bottom w:w="70" w:type="dxa"/>
              <w:end w:w="85" w:type="dxa"/>
            </w:tcMar>
            <w:vAlign w:val="center"/>
          </w:tcPr>
          <w:p>
            <w:pPr>
              <w:spacing w:before="0" w:after="0" w:line="240" w:lineRule="auto"/>
            </w:pPr>
            <w:r/>
            <w:r>
              <w:rPr>
                <w:sz w:val="17"/>
              </w:rPr>
              <w:t>Reflected in adjusted histories</w:t>
            </w:r>
          </w:p>
        </w:tc>
      </w:tr>
    </w:tbl>
    <w:p>
      <w:pPr>
        <w:pStyle w:val="SourceCitation"/>
      </w:pPr>
      <w:r>
        <w:rPr>
          <w:sz w:val="16"/>
        </w:rPr>
        <w:t xml:space="preserve">Internal source [COST-HIST]: A5C frozen spec, freeze commit </w:t>
      </w:r>
      <w:r>
        <w:rPr>
          <w:rFonts w:ascii="Consolas" w:hAnsi="Consolas"/>
          <w:color w:val="1F4D78"/>
          <w:sz w:val="16"/>
        </w:rPr>
        <w:t>a8008f7709af3000a889bb234a86f8c520c4ed73</w:t>
      </w:r>
      <w:r>
        <w:rPr>
          <w:sz w:val="16"/>
        </w:rPr>
        <w:t xml:space="preserve">, cost-policy fields; A5C cost restatement at results commit </w:t>
      </w:r>
      <w:r>
        <w:rPr>
          <w:rFonts w:ascii="Consolas" w:hAnsi="Consolas"/>
          <w:color w:val="1F4D78"/>
          <w:sz w:val="16"/>
        </w:rPr>
        <w:t>beb8d49828b9819aa167d2e07ffdc2b92581b36b</w:t>
      </w:r>
      <w:r>
        <w:rPr>
          <w:sz w:val="16"/>
        </w:rPr>
        <w:t xml:space="preserve"> for plan-specific outputs.</w:t>
      </w:r>
    </w:p>
    <w:p>
      <w:r>
        <w:t>At the current £563,000 illustration, the target wrapper translates to £365,950 SWDA, £56,300 M2 and £140,750 defensive assets; each of seven M2 families is approximately £8,042.86. These are scale illustrations, not orders. The market-price assumption was retained because midpoint execution could understate retail shortfall. Actual prospective fills, spreads and charges must be recorded rather than inferred from the backtest.</w:t>
      </w:r>
    </w:p>
    <w:p>
      <w:r>
        <w:t>A manual spot-spread review was conducted outside the canonical research repository; it is not used as formal historical evidence.</w:t>
      </w:r>
    </w:p>
    <w:p>
      <w:pPr>
        <w:pStyle w:val="Heading1"/>
      </w:pPr>
      <w:r>
        <w:t>11. Experimental design</w:t>
      </w:r>
    </w:p>
    <w:p>
      <w:pPr>
        <w:pStyle w:val="Heading2"/>
      </w:pPr>
      <w:r>
        <w:t>11.1 Literature as an external prior</w:t>
      </w:r>
    </w:p>
    <w:p>
      <w:r>
        <w:t>Cross-sectional momentum has a long empirical literature, beginning with security-level continuation and extending across industries and asset classes [JegadeeshTitman1993; MoskowitzGrinblatt1999; AsnessMoskowitzPedersen2013]. Time-series momentum is conceptually different because an asset is judged against its own history rather than ranked against peers [MoskowitzOoiPedersen2012]. UKACTIVE is principally cross-sectional: a family's benchmark-relative return is standardised against other eligible families. Its use of several horizons and an annual relative-return component nevertheless makes time-series persistence relevant as mechanism context.</w:t>
      </w:r>
    </w:p>
    <w:p>
      <w:r>
        <w:t>The literature also supplies reasons for caution. Momentum can suffer sharp reversals after stressed markets [DanielMoskowitz2016]. Volatility management has improved some historical momentum portfolios [BarrosoSantaClara2015], but that does not imply that a particular volatility overlay will work in an ETF sleeve. Industry-level dispersion may condition momentum payoffs [StiversSun2010]. ETF studies have found that country or industry effects can sometimes be implemented after trading costs, but results differ by universe, era and design [AndreuSwinkelsTjongATjoe2013; Tse2015; VanstoneHahnEarea2021; YuWebbWangChiou2020]. Trading-cost work shows that paper anomalies can disappear under realistic implementation [NovyMarxVelikov2016].</w:t>
      </w:r>
    </w:p>
    <w:p>
      <w:r>
        <w:t>The testing problem is equally important. Searching many specifications makes the maximum historical result a biased estimator [White2000; Hansen2005; HarveyLiuZhu2016]. Backtest-overfitting frameworks formalise the risk that a selected strategy is an artefact of repeated reuse of the same sample [BaileyBorweinLopezDePradoZhu2017]. Survivorship can overstate performance when failed products disappear [BrownGoetzmannIbbotsonRoss1992]. These sources motivated point-in-time eligibility, multiple-testing ledgers, randomised controls, influence tests and a final model freeze. Published evidence provides an external prior and mechanism context; it is not UKACTIVE evidence.</w:t>
      </w:r>
    </w:p>
    <w:p>
      <w:pPr>
        <w:pStyle w:val="Heading2"/>
      </w:pPr>
      <w:r>
        <w:t>11.2 Sequential rather than Cartesian testing</w:t>
      </w:r>
    </w:p>
    <w:p>
      <w:r>
        <w:t>The programme avoided an unrestricted Cartesian product of signals, horizons, breadths, frequencies, cash rules, weights, exits and regimes. It proceeded sequentially:</w:t>
      </w:r>
    </w:p>
    <w:p>
      <w:pPr>
        <w:pStyle w:val="ListNumber"/>
      </w:pPr>
      <w:r>
        <w:t>establish causal data and signal definitions;</w:t>
      </w:r>
    </w:p>
    <w:p>
      <w:pPr>
        <w:pStyle w:val="ListNumber"/>
      </w:pPr>
      <w:r>
        <w:t>identify a multi-horizon family worth economic testing;</w:t>
      </w:r>
    </w:p>
    <w:p>
      <w:pPr>
        <w:pStyle w:val="ListNumber"/>
      </w:pPr>
      <w:r>
        <w:t>map the breadth frontier;</w:t>
      </w:r>
    </w:p>
    <w:p>
      <w:pPr>
        <w:pStyle w:val="ListNumber"/>
      </w:pPr>
      <w:r>
        <w:t>compare rebalance frequencies under costs;</w:t>
      </w:r>
    </w:p>
    <w:p>
      <w:pPr>
        <w:pStyle w:val="ListNumber"/>
      </w:pPr>
      <w:r>
        <w:t>test cash defence;</w:t>
      </w:r>
    </w:p>
    <w:p>
      <w:pPr>
        <w:pStyle w:val="ListNumber"/>
      </w:pPr>
      <w:r>
        <w:t>compare simple weighting rules;</w:t>
      </w:r>
    </w:p>
    <w:p>
      <w:pPr>
        <w:pStyle w:val="ListNumber"/>
      </w:pPr>
      <w:r>
        <w:t>falsify against random selection and rank shuffling;</w:t>
      </w:r>
    </w:p>
    <w:p>
      <w:pPr>
        <w:pStyle w:val="ListNumber"/>
      </w:pPr>
      <w:r>
        <w:t>test matched-risk and matched-exposure controls;</w:t>
      </w:r>
    </w:p>
    <w:p>
      <w:pPr>
        <w:pStyle w:val="ListNumber"/>
      </w:pPr>
      <w:r>
        <w:t>describe causal regimes and test predeclared policies;</w:t>
      </w:r>
    </w:p>
    <w:p>
      <w:pPr>
        <w:pStyle w:val="ListNumber"/>
      </w:pPr>
      <w:r>
        <w:t>construct static core/satellite wrappers; and</w:t>
      </w:r>
    </w:p>
    <w:p>
      <w:pPr>
        <w:pStyle w:val="ListNumber"/>
      </w:pPr>
      <w:r>
        <w:t>freeze the final specification.</w:t>
      </w:r>
    </w:p>
    <w:p>
      <w:r>
        <w:t>This ordering reduced, but did not eliminate, multiple-use bias. Later stages were preregistered in immutable specifications and wrote machine-readable outputs and manifests. The historical cutoff was fixed at 2026-08-21. There is no untouched historical holdout: every part of the executable 2017–2026 window informed at least one stage of development or assessment. The correct scientific response is not to relabel the final backtest as out-of-sample; it is to close development and observe the frozen rule prospectively.</w:t>
      </w:r>
    </w:p>
    <w:p>
      <w:r>
        <w:t>Permitted paper computations reproduce or explain completed tests. Figures 5, 6, 8 and 16 deterministically transform canonical daily or monthly paths; Figure 11 exactly reruns the frozen randomisation algorithm to recover the distribution arrays, with assertions against the canonical summary. None of those computations changes selection.</w:t>
      </w:r>
    </w:p>
    <w:p>
      <w:pPr>
        <w:pStyle w:val="Heading1"/>
      </w:pPr>
      <w:r>
        <w:t>12. Initial signal tests</w:t>
      </w:r>
    </w:p>
    <w:p>
      <w:r>
        <w:t>The early A3 programme tested whether simple trend and relative-strength descriptors had forward ranking content. It did not test the complete frozen M2 TOP7 monthly portfolio. The work included isolated momentum measures, trend qualifications, family and group contexts, several forward horizons, top-tail rules and statistical adjustments. The purpose was signal discovery and causal interface validation, not a live allocation claim.</w:t>
      </w:r>
    </w:p>
    <w:p>
      <w:r>
        <w:t xml:space="preserve">The results were mixed. Directional evidence appeared in some cells, but support was weak, context-dependent and sensitive to the specification. A3R1R1 contained 180 multiple-testing cells; none had a Benjamini–Hochberg q-value at or below 0.10, and no positive bootstrap lower bound established a broad survivor. A3R2 expanded portfolio-level comparisons to 315 specifications and again found no q-value below 0.10. The exploratory TOP1 lead was therefore carried forward only as a research candidate. (Internal sources: A3R1R1, </w:t>
      </w:r>
      <w:r>
        <w:rPr>
          <w:rFonts w:ascii="Consolas" w:hAnsi="Consolas"/>
          <w:color w:val="1F4D78"/>
        </w:rPr>
        <w:t>UKACTIVE_A3R1R1_MULTIPLE_TESTING_LEDGER.csv</w:t>
      </w:r>
      <w:r>
        <w:t xml:space="preserve"> and </w:t>
      </w:r>
      <w:r>
        <w:rPr>
          <w:rFonts w:ascii="Consolas" w:hAnsi="Consolas"/>
          <w:color w:val="1F4D78"/>
        </w:rPr>
        <w:t>UKACTIVE_A3R1R1_DECISION.json</w:t>
      </w:r>
      <w:r>
        <w:t xml:space="preserve">, commit </w:t>
      </w:r>
      <w:r>
        <w:rPr>
          <w:rFonts w:ascii="Consolas" w:hAnsi="Consolas"/>
          <w:color w:val="1F4D78"/>
        </w:rPr>
        <w:t>c30de89d0ceee74ea024708e7c95270bae38d150</w:t>
      </w:r>
      <w:r>
        <w:t xml:space="preserve">; A3R2, </w:t>
      </w:r>
      <w:r>
        <w:rPr>
          <w:rFonts w:ascii="Consolas" w:hAnsi="Consolas"/>
          <w:color w:val="1F4D78"/>
        </w:rPr>
        <w:t>UKACTIVE_A3R2_MULTIPLE_TESTING_LEDGER.csv</w:t>
      </w:r>
      <w:r>
        <w:t xml:space="preserve"> and decision JSON, commit </w:t>
      </w:r>
      <w:r>
        <w:rPr>
          <w:rFonts w:ascii="Consolas" w:hAnsi="Consolas"/>
          <w:color w:val="1F4D78"/>
        </w:rPr>
        <w:t>32e6388a02689fd932b348aa20695f93c6199d5e</w:t>
      </w:r>
      <w:r>
        <w:t>.)</w:t>
      </w:r>
    </w:p>
    <w:p>
      <w:r>
        <w:t>The negative result changed the claim, not the data. It ruled out describing isolated trend qualification as a statistically established effect. It also suggested that the useful object might be a portfolio-level composite rather than any single horizon. M2 was subsequently justified as a predeclared intermediate-weighted extension, compared with an equal-horizon control and a more complex deterioration-aware variant. A3 did not retrospectively become evidence for that exact frozen architecture.</w:t>
      </w:r>
    </w:p>
    <w:p>
      <w:pPr>
        <w:pStyle w:val="Heading1"/>
      </w:pPr>
      <w:r>
        <w:t>13. Multi-horizon signal comparison</w:t>
      </w:r>
    </w:p>
    <w:p>
      <w:r>
        <w:t>M1 assigned equal influence to the five horizons. M2 tilted toward three- and six-month information. M3 added a fast-aware structural deterioration penalty to M2. The Stage A diagnostic gate counted positive IC horizons and positive top-quintile horizons, while the economic stage compared after-cost portfolios.</w:t>
      </w:r>
    </w:p>
    <w:p>
      <w:pPr>
        <w:sectPr>
          <w:headerReference w:type="default" r:id="rId9"/>
          <w:footerReference w:type="default" r:id="rId10"/>
          <w:pgSz w:w="11906" w:h="16838"/>
          <w:pgMar w:top="992" w:right="1077" w:bottom="935" w:left="1077" w:header="425" w:footer="425" w:gutter="0"/>
          <w:cols w:space="720"/>
          <w:docGrid w:linePitch="360"/>
        </w:sectPr>
      </w:pPr>
    </w:p>
    <w:p>
      <w:pPr>
        <w:keepNext/>
        <w:spacing w:before="160" w:after="80"/>
      </w:pPr>
      <w:r>
        <w:rPr>
          <w:b/>
        </w:rPr>
        <w:t>Table 6. Multi-horizon signal comparison</w:t>
      </w:r>
    </w:p>
    <w:tbl>
      <w:tblPr>
        <w:tblStyle w:val="TableGrid"/>
        <w:tblW w:type="auto" w:w="0"/>
        <w:jc w:val="center"/>
        <w:tblLayout w:type="autofit"/>
        <w:tblLook w:firstColumn="1" w:firstRow="1" w:lastColumn="0" w:lastRow="0" w:noHBand="0" w:noVBand="1" w:val="04A0"/>
      </w:tblPr>
      <w:tblGrid>
        <w:gridCol w:w="1519"/>
        <w:gridCol w:w="1519"/>
        <w:gridCol w:w="1519"/>
        <w:gridCol w:w="1519"/>
        <w:gridCol w:w="1519"/>
        <w:gridCol w:w="1519"/>
        <w:gridCol w:w="1519"/>
        <w:gridCol w:w="1519"/>
        <w:gridCol w:w="1519"/>
        <w:gridCol w:w="1519"/>
      </w:tblGrid>
      <w:tr>
        <w:trPr>
          <w:tblHeader w:val="true"/>
        </w:trPr>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Signal</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Positive IC horizons</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Positive top-quintile horizons</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Stage A gate</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net CAGR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excess vs equal pool</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MDD</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Latest-5y net CAGR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Latest-5y excess vs pool</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turnover</w:t>
            </w:r>
          </w:p>
        </w:tc>
      </w:tr>
      <w:tr>
        <w:tc>
          <w:tcPr>
            <w:tcW w:type="dxa" w:w="1519"/>
            <w:tcMar>
              <w:top w:w="70" w:type="dxa"/>
              <w:start w:w="85" w:type="dxa"/>
              <w:bottom w:w="70" w:type="dxa"/>
              <w:end w:w="85" w:type="dxa"/>
            </w:tcMar>
            <w:vAlign w:val="center"/>
          </w:tcPr>
          <w:p>
            <w:pPr>
              <w:spacing w:before="0" w:after="0" w:line="240" w:lineRule="auto"/>
            </w:pPr>
            <w:r/>
            <w:r>
              <w:rPr>
                <w:sz w:val="15"/>
              </w:rPr>
              <w:t>M1 equal five-horizon</w:t>
            </w:r>
          </w:p>
        </w:tc>
        <w:tc>
          <w:tcPr>
            <w:tcW w:type="dxa" w:w="1519"/>
            <w:tcMar>
              <w:top w:w="70" w:type="dxa"/>
              <w:start w:w="85" w:type="dxa"/>
              <w:bottom w:w="70" w:type="dxa"/>
              <w:end w:w="85" w:type="dxa"/>
            </w:tcMar>
            <w:vAlign w:val="center"/>
          </w:tcPr>
          <w:p>
            <w:pPr>
              <w:spacing w:before="0" w:after="0" w:line="240" w:lineRule="auto"/>
            </w:pPr>
            <w:r/>
            <w:r>
              <w:rPr>
                <w:sz w:val="15"/>
              </w:rPr>
              <w:t>3</w:t>
            </w:r>
          </w:p>
        </w:tc>
        <w:tc>
          <w:tcPr>
            <w:tcW w:type="dxa" w:w="1519"/>
            <w:tcMar>
              <w:top w:w="70" w:type="dxa"/>
              <w:start w:w="85" w:type="dxa"/>
              <w:bottom w:w="70" w:type="dxa"/>
              <w:end w:w="85" w:type="dxa"/>
            </w:tcMar>
            <w:vAlign w:val="center"/>
          </w:tcPr>
          <w:p>
            <w:pPr>
              <w:spacing w:before="0" w:after="0" w:line="240" w:lineRule="auto"/>
            </w:pPr>
            <w:r/>
            <w:r>
              <w:rPr>
                <w:sz w:val="15"/>
              </w:rPr>
              <w:t>0</w:t>
            </w:r>
          </w:p>
        </w:tc>
        <w:tc>
          <w:tcPr>
            <w:tcW w:type="dxa" w:w="1519"/>
            <w:tcMar>
              <w:top w:w="70" w:type="dxa"/>
              <w:start w:w="85" w:type="dxa"/>
              <w:bottom w:w="70" w:type="dxa"/>
              <w:end w:w="85" w:type="dxa"/>
            </w:tcMar>
            <w:vAlign w:val="center"/>
          </w:tcPr>
          <w:p>
            <w:pPr>
              <w:spacing w:before="0" w:after="0" w:line="240" w:lineRule="auto"/>
            </w:pPr>
            <w:r/>
            <w:r>
              <w:rPr>
                <w:sz w:val="15"/>
              </w:rPr>
              <w:t>Fail</w:t>
            </w:r>
          </w:p>
        </w:tc>
        <w:tc>
          <w:tcPr>
            <w:tcW w:type="dxa" w:w="1519"/>
            <w:tcMar>
              <w:top w:w="70" w:type="dxa"/>
              <w:start w:w="85" w:type="dxa"/>
              <w:bottom w:w="70" w:type="dxa"/>
              <w:end w:w="85" w:type="dxa"/>
            </w:tcMar>
            <w:vAlign w:val="center"/>
          </w:tcPr>
          <w:p>
            <w:pPr>
              <w:spacing w:before="0" w:after="0" w:line="240" w:lineRule="auto"/>
            </w:pPr>
            <w:r/>
            <w:r>
              <w:rPr>
                <w:sz w:val="15"/>
              </w:rPr>
              <w:t>12.52%</w:t>
            </w:r>
          </w:p>
        </w:tc>
        <w:tc>
          <w:tcPr>
            <w:tcW w:type="dxa" w:w="1519"/>
            <w:tcMar>
              <w:top w:w="70" w:type="dxa"/>
              <w:start w:w="85" w:type="dxa"/>
              <w:bottom w:w="70" w:type="dxa"/>
              <w:end w:w="85" w:type="dxa"/>
            </w:tcMar>
            <w:vAlign w:val="center"/>
          </w:tcPr>
          <w:p>
            <w:pPr>
              <w:spacing w:before="0" w:after="0" w:line="240" w:lineRule="auto"/>
            </w:pPr>
            <w:r/>
            <w:r>
              <w:rPr>
                <w:sz w:val="15"/>
              </w:rPr>
              <w:t>0.99 pp</w:t>
            </w:r>
          </w:p>
        </w:tc>
        <w:tc>
          <w:tcPr>
            <w:tcW w:type="dxa" w:w="1519"/>
            <w:tcMar>
              <w:top w:w="70" w:type="dxa"/>
              <w:start w:w="85" w:type="dxa"/>
              <w:bottom w:w="70" w:type="dxa"/>
              <w:end w:w="85" w:type="dxa"/>
            </w:tcMar>
            <w:vAlign w:val="center"/>
          </w:tcPr>
          <w:p>
            <w:pPr>
              <w:spacing w:before="0" w:after="0" w:line="240" w:lineRule="auto"/>
            </w:pPr>
            <w:r/>
            <w:r>
              <w:rPr>
                <w:sz w:val="15"/>
              </w:rPr>
              <w:t>−24.95%</w:t>
            </w:r>
          </w:p>
        </w:tc>
        <w:tc>
          <w:tcPr>
            <w:tcW w:type="dxa" w:w="1519"/>
            <w:tcMar>
              <w:top w:w="70" w:type="dxa"/>
              <w:start w:w="85" w:type="dxa"/>
              <w:bottom w:w="70" w:type="dxa"/>
              <w:end w:w="85" w:type="dxa"/>
            </w:tcMar>
            <w:vAlign w:val="center"/>
          </w:tcPr>
          <w:p>
            <w:pPr>
              <w:spacing w:before="0" w:after="0" w:line="240" w:lineRule="auto"/>
            </w:pPr>
            <w:r/>
            <w:r>
              <w:rPr>
                <w:sz w:val="15"/>
              </w:rPr>
              <w:t>11.07%</w:t>
            </w:r>
          </w:p>
        </w:tc>
        <w:tc>
          <w:tcPr>
            <w:tcW w:type="dxa" w:w="1519"/>
            <w:tcMar>
              <w:top w:w="70" w:type="dxa"/>
              <w:start w:w="85" w:type="dxa"/>
              <w:bottom w:w="70" w:type="dxa"/>
              <w:end w:w="85" w:type="dxa"/>
            </w:tcMar>
            <w:vAlign w:val="center"/>
          </w:tcPr>
          <w:p>
            <w:pPr>
              <w:spacing w:before="0" w:after="0" w:line="240" w:lineRule="auto"/>
            </w:pPr>
            <w:r/>
            <w:r>
              <w:rPr>
                <w:sz w:val="15"/>
              </w:rPr>
              <w:t>0.08 pp</w:t>
            </w:r>
          </w:p>
        </w:tc>
        <w:tc>
          <w:tcPr>
            <w:tcW w:type="dxa" w:w="1519"/>
            <w:tcMar>
              <w:top w:w="70" w:type="dxa"/>
              <w:start w:w="85" w:type="dxa"/>
              <w:bottom w:w="70" w:type="dxa"/>
              <w:end w:w="85" w:type="dxa"/>
            </w:tcMar>
            <w:vAlign w:val="center"/>
          </w:tcPr>
          <w:p>
            <w:pPr>
              <w:spacing w:before="0" w:after="0" w:line="240" w:lineRule="auto"/>
            </w:pPr>
            <w:r/>
            <w:r>
              <w:rPr>
                <w:sz w:val="15"/>
              </w:rPr>
              <w:t>6.43×</w:t>
            </w:r>
          </w:p>
        </w:tc>
      </w:tr>
      <w:tr>
        <w:tc>
          <w:tcPr>
            <w:tcW w:type="dxa" w:w="1519"/>
            <w:tcMar>
              <w:top w:w="70" w:type="dxa"/>
              <w:start w:w="85" w:type="dxa"/>
              <w:bottom w:w="70" w:type="dxa"/>
              <w:end w:w="85" w:type="dxa"/>
            </w:tcMar>
            <w:vAlign w:val="center"/>
          </w:tcPr>
          <w:p>
            <w:pPr>
              <w:spacing w:before="0" w:after="0" w:line="240" w:lineRule="auto"/>
            </w:pPr>
            <w:r/>
            <w:r>
              <w:rPr>
                <w:b/>
                <w:sz w:val="15"/>
              </w:rPr>
              <w:t>M2 intermediate-weighted</w:t>
            </w:r>
          </w:p>
        </w:tc>
        <w:tc>
          <w:tcPr>
            <w:tcW w:type="dxa" w:w="1519"/>
            <w:tcMar>
              <w:top w:w="70" w:type="dxa"/>
              <w:start w:w="85" w:type="dxa"/>
              <w:bottom w:w="70" w:type="dxa"/>
              <w:end w:w="85" w:type="dxa"/>
            </w:tcMar>
            <w:vAlign w:val="center"/>
          </w:tcPr>
          <w:p>
            <w:pPr>
              <w:spacing w:before="0" w:after="0" w:line="240" w:lineRule="auto"/>
            </w:pPr>
            <w:r/>
            <w:r>
              <w:rPr>
                <w:sz w:val="15"/>
              </w:rPr>
              <w:t>3</w:t>
            </w:r>
          </w:p>
        </w:tc>
        <w:tc>
          <w:tcPr>
            <w:tcW w:type="dxa" w:w="1519"/>
            <w:tcMar>
              <w:top w:w="70" w:type="dxa"/>
              <w:start w:w="85" w:type="dxa"/>
              <w:bottom w:w="70" w:type="dxa"/>
              <w:end w:w="85" w:type="dxa"/>
            </w:tcMar>
            <w:vAlign w:val="center"/>
          </w:tcPr>
          <w:p>
            <w:pPr>
              <w:spacing w:before="0" w:after="0" w:line="240" w:lineRule="auto"/>
            </w:pPr>
            <w:r/>
            <w:r>
              <w:rPr>
                <w:sz w:val="15"/>
              </w:rPr>
              <w:t>2</w:t>
            </w:r>
          </w:p>
        </w:tc>
        <w:tc>
          <w:tcPr>
            <w:tcW w:type="dxa" w:w="1519"/>
            <w:tcMar>
              <w:top w:w="70" w:type="dxa"/>
              <w:start w:w="85" w:type="dxa"/>
              <w:bottom w:w="70" w:type="dxa"/>
              <w:end w:w="85" w:type="dxa"/>
            </w:tcMar>
            <w:vAlign w:val="center"/>
          </w:tcPr>
          <w:p>
            <w:pPr>
              <w:spacing w:before="0" w:after="0" w:line="240" w:lineRule="auto"/>
            </w:pPr>
            <w:r/>
            <w:r>
              <w:rPr>
                <w:sz w:val="15"/>
              </w:rPr>
              <w:t>Pass</w:t>
            </w:r>
          </w:p>
        </w:tc>
        <w:tc>
          <w:tcPr>
            <w:tcW w:type="dxa" w:w="1519"/>
            <w:tcMar>
              <w:top w:w="70" w:type="dxa"/>
              <w:start w:w="85" w:type="dxa"/>
              <w:bottom w:w="70" w:type="dxa"/>
              <w:end w:w="85" w:type="dxa"/>
            </w:tcMar>
            <w:vAlign w:val="center"/>
          </w:tcPr>
          <w:p>
            <w:pPr>
              <w:spacing w:before="0" w:after="0" w:line="240" w:lineRule="auto"/>
            </w:pPr>
            <w:r/>
            <w:r>
              <w:rPr>
                <w:b/>
                <w:sz w:val="15"/>
              </w:rPr>
              <w:t>13.14%</w:t>
            </w:r>
          </w:p>
        </w:tc>
        <w:tc>
          <w:tcPr>
            <w:tcW w:type="dxa" w:w="1519"/>
            <w:tcMar>
              <w:top w:w="70" w:type="dxa"/>
              <w:start w:w="85" w:type="dxa"/>
              <w:bottom w:w="70" w:type="dxa"/>
              <w:end w:w="85" w:type="dxa"/>
            </w:tcMar>
            <w:vAlign w:val="center"/>
          </w:tcPr>
          <w:p>
            <w:pPr>
              <w:spacing w:before="0" w:after="0" w:line="240" w:lineRule="auto"/>
            </w:pPr>
            <w:r/>
            <w:r>
              <w:rPr>
                <w:b/>
                <w:sz w:val="15"/>
              </w:rPr>
              <w:t>1.61 pp</w:t>
            </w:r>
          </w:p>
        </w:tc>
        <w:tc>
          <w:tcPr>
            <w:tcW w:type="dxa" w:w="1519"/>
            <w:tcMar>
              <w:top w:w="70" w:type="dxa"/>
              <w:start w:w="85" w:type="dxa"/>
              <w:bottom w:w="70" w:type="dxa"/>
              <w:end w:w="85" w:type="dxa"/>
            </w:tcMar>
            <w:vAlign w:val="center"/>
          </w:tcPr>
          <w:p>
            <w:pPr>
              <w:spacing w:before="0" w:after="0" w:line="240" w:lineRule="auto"/>
            </w:pPr>
            <w:r/>
            <w:r>
              <w:rPr>
                <w:b/>
                <w:sz w:val="15"/>
              </w:rPr>
              <w:t>−23.53%</w:t>
            </w:r>
          </w:p>
        </w:tc>
        <w:tc>
          <w:tcPr>
            <w:tcW w:type="dxa" w:w="1519"/>
            <w:tcMar>
              <w:top w:w="70" w:type="dxa"/>
              <w:start w:w="85" w:type="dxa"/>
              <w:bottom w:w="70" w:type="dxa"/>
              <w:end w:w="85" w:type="dxa"/>
            </w:tcMar>
            <w:vAlign w:val="center"/>
          </w:tcPr>
          <w:p>
            <w:pPr>
              <w:spacing w:before="0" w:after="0" w:line="240" w:lineRule="auto"/>
            </w:pPr>
            <w:r/>
            <w:r>
              <w:rPr>
                <w:b/>
                <w:sz w:val="15"/>
              </w:rPr>
              <w:t>13.62%</w:t>
            </w:r>
          </w:p>
        </w:tc>
        <w:tc>
          <w:tcPr>
            <w:tcW w:type="dxa" w:w="1519"/>
            <w:tcMar>
              <w:top w:w="70" w:type="dxa"/>
              <w:start w:w="85" w:type="dxa"/>
              <w:bottom w:w="70" w:type="dxa"/>
              <w:end w:w="85" w:type="dxa"/>
            </w:tcMar>
            <w:vAlign w:val="center"/>
          </w:tcPr>
          <w:p>
            <w:pPr>
              <w:spacing w:before="0" w:after="0" w:line="240" w:lineRule="auto"/>
            </w:pPr>
            <w:r/>
            <w:r>
              <w:rPr>
                <w:b/>
                <w:sz w:val="15"/>
              </w:rPr>
              <w:t>2.63 pp</w:t>
            </w:r>
          </w:p>
        </w:tc>
        <w:tc>
          <w:tcPr>
            <w:tcW w:type="dxa" w:w="1519"/>
            <w:tcMar>
              <w:top w:w="70" w:type="dxa"/>
              <w:start w:w="85" w:type="dxa"/>
              <w:bottom w:w="70" w:type="dxa"/>
              <w:end w:w="85" w:type="dxa"/>
            </w:tcMar>
            <w:vAlign w:val="center"/>
          </w:tcPr>
          <w:p>
            <w:pPr>
              <w:spacing w:before="0" w:after="0" w:line="240" w:lineRule="auto"/>
            </w:pPr>
            <w:r/>
            <w:r>
              <w:rPr>
                <w:b/>
                <w:sz w:val="15"/>
              </w:rPr>
              <w:t>5.52×</w:t>
            </w:r>
          </w:p>
        </w:tc>
      </w:tr>
      <w:tr>
        <w:tc>
          <w:tcPr>
            <w:tcW w:type="dxa" w:w="1519"/>
            <w:tcMar>
              <w:top w:w="70" w:type="dxa"/>
              <w:start w:w="85" w:type="dxa"/>
              <w:bottom w:w="70" w:type="dxa"/>
              <w:end w:w="85" w:type="dxa"/>
            </w:tcMar>
            <w:vAlign w:val="center"/>
          </w:tcPr>
          <w:p>
            <w:pPr>
              <w:spacing w:before="0" w:after="0" w:line="240" w:lineRule="auto"/>
            </w:pPr>
            <w:r/>
            <w:r>
              <w:rPr>
                <w:sz w:val="15"/>
              </w:rPr>
              <w:t>M3 deterioration-aware</w:t>
            </w:r>
          </w:p>
        </w:tc>
        <w:tc>
          <w:tcPr>
            <w:tcW w:type="dxa" w:w="1519"/>
            <w:tcMar>
              <w:top w:w="70" w:type="dxa"/>
              <w:start w:w="85" w:type="dxa"/>
              <w:bottom w:w="70" w:type="dxa"/>
              <w:end w:w="85" w:type="dxa"/>
            </w:tcMar>
            <w:vAlign w:val="center"/>
          </w:tcPr>
          <w:p>
            <w:pPr>
              <w:spacing w:before="0" w:after="0" w:line="240" w:lineRule="auto"/>
            </w:pPr>
            <w:r/>
            <w:r>
              <w:rPr>
                <w:sz w:val="15"/>
              </w:rPr>
              <w:t>3</w:t>
            </w:r>
          </w:p>
        </w:tc>
        <w:tc>
          <w:tcPr>
            <w:tcW w:type="dxa" w:w="1519"/>
            <w:tcMar>
              <w:top w:w="70" w:type="dxa"/>
              <w:start w:w="85" w:type="dxa"/>
              <w:bottom w:w="70" w:type="dxa"/>
              <w:end w:w="85" w:type="dxa"/>
            </w:tcMar>
            <w:vAlign w:val="center"/>
          </w:tcPr>
          <w:p>
            <w:pPr>
              <w:spacing w:before="0" w:after="0" w:line="240" w:lineRule="auto"/>
            </w:pPr>
            <w:r/>
            <w:r>
              <w:rPr>
                <w:sz w:val="15"/>
              </w:rPr>
              <w:t>2</w:t>
            </w:r>
          </w:p>
        </w:tc>
        <w:tc>
          <w:tcPr>
            <w:tcW w:type="dxa" w:w="1519"/>
            <w:tcMar>
              <w:top w:w="70" w:type="dxa"/>
              <w:start w:w="85" w:type="dxa"/>
              <w:bottom w:w="70" w:type="dxa"/>
              <w:end w:w="85" w:type="dxa"/>
            </w:tcMar>
            <w:vAlign w:val="center"/>
          </w:tcPr>
          <w:p>
            <w:pPr>
              <w:spacing w:before="0" w:after="0" w:line="240" w:lineRule="auto"/>
            </w:pPr>
            <w:r/>
            <w:r>
              <w:rPr>
                <w:sz w:val="15"/>
              </w:rPr>
              <w:t>Pass</w:t>
            </w:r>
          </w:p>
        </w:tc>
        <w:tc>
          <w:tcPr>
            <w:tcW w:type="dxa" w:w="1519"/>
            <w:tcMar>
              <w:top w:w="70" w:type="dxa"/>
              <w:start w:w="85" w:type="dxa"/>
              <w:bottom w:w="70" w:type="dxa"/>
              <w:end w:w="85" w:type="dxa"/>
            </w:tcMar>
            <w:vAlign w:val="center"/>
          </w:tcPr>
          <w:p>
            <w:pPr>
              <w:spacing w:before="0" w:after="0" w:line="240" w:lineRule="auto"/>
            </w:pPr>
            <w:r/>
            <w:r>
              <w:rPr>
                <w:sz w:val="15"/>
              </w:rPr>
              <w:t>11.77%</w:t>
            </w:r>
          </w:p>
        </w:tc>
        <w:tc>
          <w:tcPr>
            <w:tcW w:type="dxa" w:w="1519"/>
            <w:tcMar>
              <w:top w:w="70" w:type="dxa"/>
              <w:start w:w="85" w:type="dxa"/>
              <w:bottom w:w="70" w:type="dxa"/>
              <w:end w:w="85" w:type="dxa"/>
            </w:tcMar>
            <w:vAlign w:val="center"/>
          </w:tcPr>
          <w:p>
            <w:pPr>
              <w:spacing w:before="0" w:after="0" w:line="240" w:lineRule="auto"/>
            </w:pPr>
            <w:r/>
            <w:r>
              <w:rPr>
                <w:sz w:val="15"/>
              </w:rPr>
              <w:t>0.24 pp</w:t>
            </w:r>
          </w:p>
        </w:tc>
        <w:tc>
          <w:tcPr>
            <w:tcW w:type="dxa" w:w="1519"/>
            <w:tcMar>
              <w:top w:w="70" w:type="dxa"/>
              <w:start w:w="85" w:type="dxa"/>
              <w:bottom w:w="70" w:type="dxa"/>
              <w:end w:w="85" w:type="dxa"/>
            </w:tcMar>
            <w:vAlign w:val="center"/>
          </w:tcPr>
          <w:p>
            <w:pPr>
              <w:spacing w:before="0" w:after="0" w:line="240" w:lineRule="auto"/>
            </w:pPr>
            <w:r/>
            <w:r>
              <w:rPr>
                <w:sz w:val="15"/>
              </w:rPr>
              <w:t>−23.53%</w:t>
            </w:r>
          </w:p>
        </w:tc>
        <w:tc>
          <w:tcPr>
            <w:tcW w:type="dxa" w:w="1519"/>
            <w:tcMar>
              <w:top w:w="70" w:type="dxa"/>
              <w:start w:w="85" w:type="dxa"/>
              <w:bottom w:w="70" w:type="dxa"/>
              <w:end w:w="85" w:type="dxa"/>
            </w:tcMar>
            <w:vAlign w:val="center"/>
          </w:tcPr>
          <w:p>
            <w:pPr>
              <w:spacing w:before="0" w:after="0" w:line="240" w:lineRule="auto"/>
            </w:pPr>
            <w:r/>
            <w:r>
              <w:rPr>
                <w:sz w:val="15"/>
              </w:rPr>
              <w:t>11.34%</w:t>
            </w:r>
          </w:p>
        </w:tc>
        <w:tc>
          <w:tcPr>
            <w:tcW w:type="dxa" w:w="1519"/>
            <w:tcMar>
              <w:top w:w="70" w:type="dxa"/>
              <w:start w:w="85" w:type="dxa"/>
              <w:bottom w:w="70" w:type="dxa"/>
              <w:end w:w="85" w:type="dxa"/>
            </w:tcMar>
            <w:vAlign w:val="center"/>
          </w:tcPr>
          <w:p>
            <w:pPr>
              <w:spacing w:before="0" w:after="0" w:line="240" w:lineRule="auto"/>
            </w:pPr>
            <w:r/>
            <w:r>
              <w:rPr>
                <w:sz w:val="15"/>
              </w:rPr>
              <w:t>0.35 pp</w:t>
            </w:r>
          </w:p>
        </w:tc>
        <w:tc>
          <w:tcPr>
            <w:tcW w:type="dxa" w:w="1519"/>
            <w:tcMar>
              <w:top w:w="70" w:type="dxa"/>
              <w:start w:w="85" w:type="dxa"/>
              <w:bottom w:w="70" w:type="dxa"/>
              <w:end w:w="85" w:type="dxa"/>
            </w:tcMar>
            <w:vAlign w:val="center"/>
          </w:tcPr>
          <w:p>
            <w:pPr>
              <w:spacing w:before="0" w:after="0" w:line="240" w:lineRule="auto"/>
            </w:pPr>
            <w:r/>
            <w:r>
              <w:rPr>
                <w:sz w:val="15"/>
              </w:rPr>
              <w:t>5.96×</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Sample: 2017-03-01–2026-08-21; latest five years 2021-09-01–2026-08-21; baseline 20 bps one-way plus fixed fee; monthly TOP7 CASH0 equal weight; net returns. Internal sources [SIG-M1_EQUAL_5H], [SIG-M2_INTERMEDIATE_5H], [SIG-M3_STRUCTURAL_DETERIORATION]: A4D robustness results, commit </w:t>
      </w:r>
      <w:r>
        <w:rPr>
          <w:rFonts w:ascii="Consolas" w:hAnsi="Consolas"/>
          <w:color w:val="1F4D78"/>
          <w:sz w:val="16"/>
        </w:rPr>
        <w:t>f411e0d169640a5120decee6940dc8a5769c3b5e</w:t>
      </w:r>
      <w:r>
        <w:rPr>
          <w:sz w:val="16"/>
        </w:rPr>
        <w:t>.</w:t>
      </w:r>
    </w:p>
    <w:p>
      <w:r>
        <w:t xml:space="preserve">At a representative weekly diagnostic, M2's 21-, 42- and 63-session rank ICs were 0.0240, 0.0220 and 0.0516; corresponding top-quintile forward-return diagnostics were 0.000711, −0.000510 and 0.001785 in source units. These values show weak positive ordering at some horizons, not a uniformly monotonic effect. The HAC inference ledger found no q-value at or below 0.10. (Internal source: A4D, </w:t>
      </w:r>
      <w:r>
        <w:rPr>
          <w:rFonts w:ascii="Consolas" w:hAnsi="Consolas"/>
          <w:color w:val="1F4D78"/>
        </w:rPr>
        <w:t>UKACTIVE_A4D_SIGNAL_HAC_INFERENCE.csv</w:t>
      </w:r>
      <w:r>
        <w:t xml:space="preserve">, commit </w:t>
      </w:r>
      <w:r>
        <w:rPr>
          <w:rFonts w:ascii="Consolas" w:hAnsi="Consolas"/>
          <w:color w:val="1F4D78"/>
        </w:rPr>
        <w:t>f411e0d</w:t>
      </w:r>
      <w:r>
        <w:t>, weekly 21/42/63-session rows.)</w:t>
      </w:r>
    </w:p>
    <w:p>
      <w:r>
        <w:t>M2 was selected despite the absence of broad adjusted significance because it combined the better completed diagnostic gate with the strongest economic result of the three preregistered composites, lower turnover than M1, and less complexity than M3. That is an economic-selection argument under developmental evidence. It is not independent confirmation. M3's penalty did not improve portfolio return or drawdown; retaining it would have added a failure-prone state variable without compensating value.</w:t>
      </w:r>
    </w:p>
    <w:p>
      <w:pPr>
        <w:pStyle w:val="Heading1"/>
      </w:pPr>
      <w:r>
        <w:t>14. Breadth frontier</w:t>
      </w:r>
    </w:p>
    <w:p>
      <w:r>
        <w:t>The A4 TOP1 investigation had a striking recent result but extreme contributor concentration. A4D therefore tested every integer breadth from TOP3 through TOP10 under the same M2, monthly, CASH0, equal-weight and cost rules. Concentrated TOP3–TOP4 portfolios were poor on full-history drawdown and unstable on recent return. Performance improved through TOP6–TOP8, flattened across TOP6–TOP9 depending on metric and window, then diluted at TOP10.</w:t>
      </w:r>
    </w:p>
    <w:p>
      <w:pPr>
        <w:sectPr>
          <w:pgSz w:w="11906" w:h="16838"/>
          <w:pgMar w:top="992" w:right="1077" w:bottom="935" w:left="1077" w:header="425" w:footer="425" w:gutter="0"/>
          <w:cols w:space="720"/>
          <w:docGrid w:linePitch="360"/>
        </w:sectPr>
      </w:pPr>
    </w:p>
    <w:p>
      <w:pPr>
        <w:keepNext/>
        <w:spacing w:before="160" w:after="80"/>
      </w:pPr>
      <w:r>
        <w:rPr>
          <w:b/>
        </w:rPr>
        <w:t>Table 7. Complete after-cost breadth frontier</w:t>
      </w:r>
    </w:p>
    <w:tbl>
      <w:tblPr>
        <w:tblStyle w:val="TableGrid"/>
        <w:tblW w:type="auto" w:w="0"/>
        <w:jc w:val="center"/>
        <w:tblLayout w:type="autofit"/>
        <w:tblLook w:firstColumn="1" w:firstRow="1" w:lastColumn="0" w:lastRow="0" w:noHBand="0" w:noVBand="1" w:val="04A0"/>
      </w:tblPr>
      <w:tblGrid>
        <w:gridCol w:w="1688"/>
        <w:gridCol w:w="1688"/>
        <w:gridCol w:w="1688"/>
        <w:gridCol w:w="1688"/>
        <w:gridCol w:w="1688"/>
        <w:gridCol w:w="1688"/>
        <w:gridCol w:w="1688"/>
        <w:gridCol w:w="1688"/>
        <w:gridCol w:w="1688"/>
      </w:tblGrid>
      <w:tr>
        <w:trPr>
          <w:tblHeader w:val="true"/>
        </w:trPr>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Breadth</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Full net CAGR</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Full excess vs pool</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Full MDD</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Full turnover</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Latest-5y net CAGR</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Latest-5y excess vs pool</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Latest-5y MDD</w:t>
            </w:r>
          </w:p>
        </w:tc>
        <w:tc>
          <w:tcPr>
            <w:tcW w:type="dxa" w:w="1688"/>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Latest-5y turnover</w:t>
            </w:r>
          </w:p>
        </w:tc>
      </w:tr>
      <w:tr>
        <w:tc>
          <w:tcPr>
            <w:tcW w:type="dxa" w:w="1688"/>
            <w:tcMar>
              <w:top w:w="70" w:type="dxa"/>
              <w:start w:w="85" w:type="dxa"/>
              <w:bottom w:w="70" w:type="dxa"/>
              <w:end w:w="85" w:type="dxa"/>
            </w:tcMar>
            <w:vAlign w:val="center"/>
          </w:tcPr>
          <w:p>
            <w:pPr>
              <w:spacing w:before="0" w:after="0" w:line="240" w:lineRule="auto"/>
            </w:pPr>
            <w:r/>
            <w:r>
              <w:rPr>
                <w:sz w:val="16"/>
              </w:rPr>
              <w:t>TOP3</w:t>
            </w:r>
          </w:p>
        </w:tc>
        <w:tc>
          <w:tcPr>
            <w:tcW w:type="dxa" w:w="1688"/>
            <w:tcMar>
              <w:top w:w="70" w:type="dxa"/>
              <w:start w:w="85" w:type="dxa"/>
              <w:bottom w:w="70" w:type="dxa"/>
              <w:end w:w="85" w:type="dxa"/>
            </w:tcMar>
            <w:vAlign w:val="center"/>
          </w:tcPr>
          <w:p>
            <w:pPr>
              <w:spacing w:before="0" w:after="0" w:line="240" w:lineRule="auto"/>
            </w:pPr>
            <w:r/>
            <w:r>
              <w:rPr>
                <w:sz w:val="16"/>
              </w:rPr>
              <w:t>10.40%</w:t>
            </w:r>
          </w:p>
        </w:tc>
        <w:tc>
          <w:tcPr>
            <w:tcW w:type="dxa" w:w="1688"/>
            <w:tcMar>
              <w:top w:w="70" w:type="dxa"/>
              <w:start w:w="85" w:type="dxa"/>
              <w:bottom w:w="70" w:type="dxa"/>
              <w:end w:w="85" w:type="dxa"/>
            </w:tcMar>
            <w:vAlign w:val="center"/>
          </w:tcPr>
          <w:p>
            <w:pPr>
              <w:spacing w:before="0" w:after="0" w:line="240" w:lineRule="auto"/>
            </w:pPr>
            <w:r/>
            <w:r>
              <w:rPr>
                <w:sz w:val="16"/>
              </w:rPr>
              <w:t>−1.13 pp</w:t>
            </w:r>
          </w:p>
        </w:tc>
        <w:tc>
          <w:tcPr>
            <w:tcW w:type="dxa" w:w="1688"/>
            <w:tcMar>
              <w:top w:w="70" w:type="dxa"/>
              <w:start w:w="85" w:type="dxa"/>
              <w:bottom w:w="70" w:type="dxa"/>
              <w:end w:w="85" w:type="dxa"/>
            </w:tcMar>
            <w:vAlign w:val="center"/>
          </w:tcPr>
          <w:p>
            <w:pPr>
              <w:spacing w:before="0" w:after="0" w:line="240" w:lineRule="auto"/>
            </w:pPr>
            <w:r/>
            <w:r>
              <w:rPr>
                <w:sz w:val="16"/>
              </w:rPr>
              <w:t>−28.03%</w:t>
            </w:r>
          </w:p>
        </w:tc>
        <w:tc>
          <w:tcPr>
            <w:tcW w:type="dxa" w:w="1688"/>
            <w:tcMar>
              <w:top w:w="70" w:type="dxa"/>
              <w:start w:w="85" w:type="dxa"/>
              <w:bottom w:w="70" w:type="dxa"/>
              <w:end w:w="85" w:type="dxa"/>
            </w:tcMar>
            <w:vAlign w:val="center"/>
          </w:tcPr>
          <w:p>
            <w:pPr>
              <w:spacing w:before="0" w:after="0" w:line="240" w:lineRule="auto"/>
            </w:pPr>
            <w:r/>
            <w:r>
              <w:rPr>
                <w:sz w:val="16"/>
              </w:rPr>
              <w:t>9.80×</w:t>
            </w:r>
          </w:p>
        </w:tc>
        <w:tc>
          <w:tcPr>
            <w:tcW w:type="dxa" w:w="1688"/>
            <w:tcMar>
              <w:top w:w="70" w:type="dxa"/>
              <w:start w:w="85" w:type="dxa"/>
              <w:bottom w:w="70" w:type="dxa"/>
              <w:end w:w="85" w:type="dxa"/>
            </w:tcMar>
            <w:vAlign w:val="center"/>
          </w:tcPr>
          <w:p>
            <w:pPr>
              <w:spacing w:before="0" w:after="0" w:line="240" w:lineRule="auto"/>
            </w:pPr>
            <w:r/>
            <w:r>
              <w:rPr>
                <w:sz w:val="16"/>
              </w:rPr>
              <w:t>7.42%</w:t>
            </w:r>
          </w:p>
        </w:tc>
        <w:tc>
          <w:tcPr>
            <w:tcW w:type="dxa" w:w="1688"/>
            <w:tcMar>
              <w:top w:w="70" w:type="dxa"/>
              <w:start w:w="85" w:type="dxa"/>
              <w:bottom w:w="70" w:type="dxa"/>
              <w:end w:w="85" w:type="dxa"/>
            </w:tcMar>
            <w:vAlign w:val="center"/>
          </w:tcPr>
          <w:p>
            <w:pPr>
              <w:spacing w:before="0" w:after="0" w:line="240" w:lineRule="auto"/>
            </w:pPr>
            <w:r/>
            <w:r>
              <w:rPr>
                <w:sz w:val="16"/>
              </w:rPr>
              <w:t>−3.57 pp</w:t>
            </w:r>
          </w:p>
        </w:tc>
        <w:tc>
          <w:tcPr>
            <w:tcW w:type="dxa" w:w="1688"/>
            <w:tcMar>
              <w:top w:w="70" w:type="dxa"/>
              <w:start w:w="85" w:type="dxa"/>
              <w:bottom w:w="70" w:type="dxa"/>
              <w:end w:w="85" w:type="dxa"/>
            </w:tcMar>
            <w:vAlign w:val="center"/>
          </w:tcPr>
          <w:p>
            <w:pPr>
              <w:spacing w:before="0" w:after="0" w:line="240" w:lineRule="auto"/>
            </w:pPr>
            <w:r/>
            <w:r>
              <w:rPr>
                <w:sz w:val="16"/>
              </w:rPr>
              <w:t>−26.34%</w:t>
            </w:r>
          </w:p>
        </w:tc>
        <w:tc>
          <w:tcPr>
            <w:tcW w:type="dxa" w:w="1688"/>
            <w:tcMar>
              <w:top w:w="70" w:type="dxa"/>
              <w:start w:w="85" w:type="dxa"/>
              <w:bottom w:w="70" w:type="dxa"/>
              <w:end w:w="85" w:type="dxa"/>
            </w:tcMar>
            <w:vAlign w:val="center"/>
          </w:tcPr>
          <w:p>
            <w:pPr>
              <w:spacing w:before="0" w:after="0" w:line="240" w:lineRule="auto"/>
            </w:pPr>
            <w:r/>
            <w:r>
              <w:rPr>
                <w:sz w:val="16"/>
              </w:rPr>
              <w:t>11.33×</w:t>
            </w:r>
          </w:p>
        </w:tc>
      </w:tr>
      <w:tr>
        <w:tc>
          <w:tcPr>
            <w:tcW w:type="dxa" w:w="1688"/>
            <w:tcMar>
              <w:top w:w="70" w:type="dxa"/>
              <w:start w:w="85" w:type="dxa"/>
              <w:bottom w:w="70" w:type="dxa"/>
              <w:end w:w="85" w:type="dxa"/>
            </w:tcMar>
            <w:vAlign w:val="center"/>
          </w:tcPr>
          <w:p>
            <w:pPr>
              <w:spacing w:before="0" w:after="0" w:line="240" w:lineRule="auto"/>
            </w:pPr>
            <w:r/>
            <w:r>
              <w:rPr>
                <w:sz w:val="16"/>
              </w:rPr>
              <w:t>TOP4</w:t>
            </w:r>
          </w:p>
        </w:tc>
        <w:tc>
          <w:tcPr>
            <w:tcW w:type="dxa" w:w="1688"/>
            <w:tcMar>
              <w:top w:w="70" w:type="dxa"/>
              <w:start w:w="85" w:type="dxa"/>
              <w:bottom w:w="70" w:type="dxa"/>
              <w:end w:w="85" w:type="dxa"/>
            </w:tcMar>
            <w:vAlign w:val="center"/>
          </w:tcPr>
          <w:p>
            <w:pPr>
              <w:spacing w:before="0" w:after="0" w:line="240" w:lineRule="auto"/>
            </w:pPr>
            <w:r/>
            <w:r>
              <w:rPr>
                <w:sz w:val="16"/>
              </w:rPr>
              <w:t>11.59%</w:t>
            </w:r>
          </w:p>
        </w:tc>
        <w:tc>
          <w:tcPr>
            <w:tcW w:type="dxa" w:w="1688"/>
            <w:tcMar>
              <w:top w:w="70" w:type="dxa"/>
              <w:start w:w="85" w:type="dxa"/>
              <w:bottom w:w="70" w:type="dxa"/>
              <w:end w:w="85" w:type="dxa"/>
            </w:tcMar>
            <w:vAlign w:val="center"/>
          </w:tcPr>
          <w:p>
            <w:pPr>
              <w:spacing w:before="0" w:after="0" w:line="240" w:lineRule="auto"/>
            </w:pPr>
            <w:r/>
            <w:r>
              <w:rPr>
                <w:sz w:val="16"/>
              </w:rPr>
              <w:t>0.06 pp</w:t>
            </w:r>
          </w:p>
        </w:tc>
        <w:tc>
          <w:tcPr>
            <w:tcW w:type="dxa" w:w="1688"/>
            <w:tcMar>
              <w:top w:w="70" w:type="dxa"/>
              <w:start w:w="85" w:type="dxa"/>
              <w:bottom w:w="70" w:type="dxa"/>
              <w:end w:w="85" w:type="dxa"/>
            </w:tcMar>
            <w:vAlign w:val="center"/>
          </w:tcPr>
          <w:p>
            <w:pPr>
              <w:spacing w:before="0" w:after="0" w:line="240" w:lineRule="auto"/>
            </w:pPr>
            <w:r/>
            <w:r>
              <w:rPr>
                <w:sz w:val="16"/>
              </w:rPr>
              <w:t>−27.88%</w:t>
            </w:r>
          </w:p>
        </w:tc>
        <w:tc>
          <w:tcPr>
            <w:tcW w:type="dxa" w:w="1688"/>
            <w:tcMar>
              <w:top w:w="70" w:type="dxa"/>
              <w:start w:w="85" w:type="dxa"/>
              <w:bottom w:w="70" w:type="dxa"/>
              <w:end w:w="85" w:type="dxa"/>
            </w:tcMar>
            <w:vAlign w:val="center"/>
          </w:tcPr>
          <w:p>
            <w:pPr>
              <w:spacing w:before="0" w:after="0" w:line="240" w:lineRule="auto"/>
            </w:pPr>
            <w:r/>
            <w:r>
              <w:rPr>
                <w:sz w:val="16"/>
              </w:rPr>
              <w:t>9.35×</w:t>
            </w:r>
          </w:p>
        </w:tc>
        <w:tc>
          <w:tcPr>
            <w:tcW w:type="dxa" w:w="1688"/>
            <w:tcMar>
              <w:top w:w="70" w:type="dxa"/>
              <w:start w:w="85" w:type="dxa"/>
              <w:bottom w:w="70" w:type="dxa"/>
              <w:end w:w="85" w:type="dxa"/>
            </w:tcMar>
            <w:vAlign w:val="center"/>
          </w:tcPr>
          <w:p>
            <w:pPr>
              <w:spacing w:before="0" w:after="0" w:line="240" w:lineRule="auto"/>
            </w:pPr>
            <w:r/>
            <w:r>
              <w:rPr>
                <w:sz w:val="16"/>
              </w:rPr>
              <w:t>8.77%</w:t>
            </w:r>
          </w:p>
        </w:tc>
        <w:tc>
          <w:tcPr>
            <w:tcW w:type="dxa" w:w="1688"/>
            <w:tcMar>
              <w:top w:w="70" w:type="dxa"/>
              <w:start w:w="85" w:type="dxa"/>
              <w:bottom w:w="70" w:type="dxa"/>
              <w:end w:w="85" w:type="dxa"/>
            </w:tcMar>
            <w:vAlign w:val="center"/>
          </w:tcPr>
          <w:p>
            <w:pPr>
              <w:spacing w:before="0" w:after="0" w:line="240" w:lineRule="auto"/>
            </w:pPr>
            <w:r/>
            <w:r>
              <w:rPr>
                <w:sz w:val="16"/>
              </w:rPr>
              <w:t>−2.22 pp</w:t>
            </w:r>
          </w:p>
        </w:tc>
        <w:tc>
          <w:tcPr>
            <w:tcW w:type="dxa" w:w="1688"/>
            <w:tcMar>
              <w:top w:w="70" w:type="dxa"/>
              <w:start w:w="85" w:type="dxa"/>
              <w:bottom w:w="70" w:type="dxa"/>
              <w:end w:w="85" w:type="dxa"/>
            </w:tcMar>
            <w:vAlign w:val="center"/>
          </w:tcPr>
          <w:p>
            <w:pPr>
              <w:spacing w:before="0" w:after="0" w:line="240" w:lineRule="auto"/>
            </w:pPr>
            <w:r/>
            <w:r>
              <w:rPr>
                <w:sz w:val="16"/>
              </w:rPr>
              <w:t>−27.88%</w:t>
            </w:r>
          </w:p>
        </w:tc>
        <w:tc>
          <w:tcPr>
            <w:tcW w:type="dxa" w:w="1688"/>
            <w:tcMar>
              <w:top w:w="70" w:type="dxa"/>
              <w:start w:w="85" w:type="dxa"/>
              <w:bottom w:w="70" w:type="dxa"/>
              <w:end w:w="85" w:type="dxa"/>
            </w:tcMar>
            <w:vAlign w:val="center"/>
          </w:tcPr>
          <w:p>
            <w:pPr>
              <w:spacing w:before="0" w:after="0" w:line="240" w:lineRule="auto"/>
            </w:pPr>
            <w:r/>
            <w:r>
              <w:rPr>
                <w:sz w:val="16"/>
              </w:rPr>
              <w:t>10.37×</w:t>
            </w:r>
          </w:p>
        </w:tc>
      </w:tr>
      <w:tr>
        <w:tc>
          <w:tcPr>
            <w:tcW w:type="dxa" w:w="1688"/>
            <w:tcMar>
              <w:top w:w="70" w:type="dxa"/>
              <w:start w:w="85" w:type="dxa"/>
              <w:bottom w:w="70" w:type="dxa"/>
              <w:end w:w="85" w:type="dxa"/>
            </w:tcMar>
            <w:vAlign w:val="center"/>
          </w:tcPr>
          <w:p>
            <w:pPr>
              <w:spacing w:before="0" w:after="0" w:line="240" w:lineRule="auto"/>
            </w:pPr>
            <w:r/>
            <w:r>
              <w:rPr>
                <w:sz w:val="16"/>
              </w:rPr>
              <w:t>TOP5</w:t>
            </w:r>
          </w:p>
        </w:tc>
        <w:tc>
          <w:tcPr>
            <w:tcW w:type="dxa" w:w="1688"/>
            <w:tcMar>
              <w:top w:w="70" w:type="dxa"/>
              <w:start w:w="85" w:type="dxa"/>
              <w:bottom w:w="70" w:type="dxa"/>
              <w:end w:w="85" w:type="dxa"/>
            </w:tcMar>
            <w:vAlign w:val="center"/>
          </w:tcPr>
          <w:p>
            <w:pPr>
              <w:spacing w:before="0" w:after="0" w:line="240" w:lineRule="auto"/>
            </w:pPr>
            <w:r/>
            <w:r>
              <w:rPr>
                <w:sz w:val="16"/>
              </w:rPr>
              <w:t>13.23%</w:t>
            </w:r>
          </w:p>
        </w:tc>
        <w:tc>
          <w:tcPr>
            <w:tcW w:type="dxa" w:w="1688"/>
            <w:tcMar>
              <w:top w:w="70" w:type="dxa"/>
              <w:start w:w="85" w:type="dxa"/>
              <w:bottom w:w="70" w:type="dxa"/>
              <w:end w:w="85" w:type="dxa"/>
            </w:tcMar>
            <w:vAlign w:val="center"/>
          </w:tcPr>
          <w:p>
            <w:pPr>
              <w:spacing w:before="0" w:after="0" w:line="240" w:lineRule="auto"/>
            </w:pPr>
            <w:r/>
            <w:r>
              <w:rPr>
                <w:sz w:val="16"/>
              </w:rPr>
              <w:t>1.70 pp</w:t>
            </w:r>
          </w:p>
        </w:tc>
        <w:tc>
          <w:tcPr>
            <w:tcW w:type="dxa" w:w="1688"/>
            <w:tcMar>
              <w:top w:w="70" w:type="dxa"/>
              <w:start w:w="85" w:type="dxa"/>
              <w:bottom w:w="70" w:type="dxa"/>
              <w:end w:w="85" w:type="dxa"/>
            </w:tcMar>
            <w:vAlign w:val="center"/>
          </w:tcPr>
          <w:p>
            <w:pPr>
              <w:spacing w:before="0" w:after="0" w:line="240" w:lineRule="auto"/>
            </w:pPr>
            <w:r/>
            <w:r>
              <w:rPr>
                <w:sz w:val="16"/>
              </w:rPr>
              <w:t>−28.31%</w:t>
            </w:r>
          </w:p>
        </w:tc>
        <w:tc>
          <w:tcPr>
            <w:tcW w:type="dxa" w:w="1688"/>
            <w:tcMar>
              <w:top w:w="70" w:type="dxa"/>
              <w:start w:w="85" w:type="dxa"/>
              <w:bottom w:w="70" w:type="dxa"/>
              <w:end w:w="85" w:type="dxa"/>
            </w:tcMar>
            <w:vAlign w:val="center"/>
          </w:tcPr>
          <w:p>
            <w:pPr>
              <w:spacing w:before="0" w:after="0" w:line="240" w:lineRule="auto"/>
            </w:pPr>
            <w:r/>
            <w:r>
              <w:rPr>
                <w:sz w:val="16"/>
              </w:rPr>
              <w:t>7.46×</w:t>
            </w:r>
          </w:p>
        </w:tc>
        <w:tc>
          <w:tcPr>
            <w:tcW w:type="dxa" w:w="1688"/>
            <w:tcMar>
              <w:top w:w="70" w:type="dxa"/>
              <w:start w:w="85" w:type="dxa"/>
              <w:bottom w:w="70" w:type="dxa"/>
              <w:end w:w="85" w:type="dxa"/>
            </w:tcMar>
            <w:vAlign w:val="center"/>
          </w:tcPr>
          <w:p>
            <w:pPr>
              <w:spacing w:before="0" w:after="0" w:line="240" w:lineRule="auto"/>
            </w:pPr>
            <w:r/>
            <w:r>
              <w:rPr>
                <w:sz w:val="16"/>
              </w:rPr>
              <w:t>11.83%</w:t>
            </w:r>
          </w:p>
        </w:tc>
        <w:tc>
          <w:tcPr>
            <w:tcW w:type="dxa" w:w="1688"/>
            <w:tcMar>
              <w:top w:w="70" w:type="dxa"/>
              <w:start w:w="85" w:type="dxa"/>
              <w:bottom w:w="70" w:type="dxa"/>
              <w:end w:w="85" w:type="dxa"/>
            </w:tcMar>
            <w:vAlign w:val="center"/>
          </w:tcPr>
          <w:p>
            <w:pPr>
              <w:spacing w:before="0" w:after="0" w:line="240" w:lineRule="auto"/>
            </w:pPr>
            <w:r/>
            <w:r>
              <w:rPr>
                <w:sz w:val="16"/>
              </w:rPr>
              <w:t>0.84 pp</w:t>
            </w:r>
          </w:p>
        </w:tc>
        <w:tc>
          <w:tcPr>
            <w:tcW w:type="dxa" w:w="1688"/>
            <w:tcMar>
              <w:top w:w="70" w:type="dxa"/>
              <w:start w:w="85" w:type="dxa"/>
              <w:bottom w:w="70" w:type="dxa"/>
              <w:end w:w="85" w:type="dxa"/>
            </w:tcMar>
            <w:vAlign w:val="center"/>
          </w:tcPr>
          <w:p>
            <w:pPr>
              <w:spacing w:before="0" w:after="0" w:line="240" w:lineRule="auto"/>
            </w:pPr>
            <w:r/>
            <w:r>
              <w:rPr>
                <w:sz w:val="16"/>
              </w:rPr>
              <w:t>−28.31%</w:t>
            </w:r>
          </w:p>
        </w:tc>
        <w:tc>
          <w:tcPr>
            <w:tcW w:type="dxa" w:w="1688"/>
            <w:tcMar>
              <w:top w:w="70" w:type="dxa"/>
              <w:start w:w="85" w:type="dxa"/>
              <w:bottom w:w="70" w:type="dxa"/>
              <w:end w:w="85" w:type="dxa"/>
            </w:tcMar>
            <w:vAlign w:val="center"/>
          </w:tcPr>
          <w:p>
            <w:pPr>
              <w:spacing w:before="0" w:after="0" w:line="240" w:lineRule="auto"/>
            </w:pPr>
            <w:r/>
            <w:r>
              <w:rPr>
                <w:sz w:val="16"/>
              </w:rPr>
              <w:t>8.66×</w:t>
            </w:r>
          </w:p>
        </w:tc>
      </w:tr>
      <w:tr>
        <w:tc>
          <w:tcPr>
            <w:tcW w:type="dxa" w:w="1688"/>
            <w:tcMar>
              <w:top w:w="70" w:type="dxa"/>
              <w:start w:w="85" w:type="dxa"/>
              <w:bottom w:w="70" w:type="dxa"/>
              <w:end w:w="85" w:type="dxa"/>
            </w:tcMar>
            <w:vAlign w:val="center"/>
          </w:tcPr>
          <w:p>
            <w:pPr>
              <w:spacing w:before="0" w:after="0" w:line="240" w:lineRule="auto"/>
            </w:pPr>
            <w:r/>
            <w:r>
              <w:rPr>
                <w:sz w:val="16"/>
              </w:rPr>
              <w:t>TOP6</w:t>
            </w:r>
          </w:p>
        </w:tc>
        <w:tc>
          <w:tcPr>
            <w:tcW w:type="dxa" w:w="1688"/>
            <w:tcMar>
              <w:top w:w="70" w:type="dxa"/>
              <w:start w:w="85" w:type="dxa"/>
              <w:bottom w:w="70" w:type="dxa"/>
              <w:end w:w="85" w:type="dxa"/>
            </w:tcMar>
            <w:vAlign w:val="center"/>
          </w:tcPr>
          <w:p>
            <w:pPr>
              <w:spacing w:before="0" w:after="0" w:line="240" w:lineRule="auto"/>
            </w:pPr>
            <w:r/>
            <w:r>
              <w:rPr>
                <w:b/>
                <w:sz w:val="16"/>
              </w:rPr>
              <w:t>13.50%</w:t>
            </w:r>
          </w:p>
        </w:tc>
        <w:tc>
          <w:tcPr>
            <w:tcW w:type="dxa" w:w="1688"/>
            <w:tcMar>
              <w:top w:w="70" w:type="dxa"/>
              <w:start w:w="85" w:type="dxa"/>
              <w:bottom w:w="70" w:type="dxa"/>
              <w:end w:w="85" w:type="dxa"/>
            </w:tcMar>
            <w:vAlign w:val="center"/>
          </w:tcPr>
          <w:p>
            <w:pPr>
              <w:spacing w:before="0" w:after="0" w:line="240" w:lineRule="auto"/>
            </w:pPr>
            <w:r/>
            <w:r>
              <w:rPr>
                <w:b/>
                <w:sz w:val="16"/>
              </w:rPr>
              <w:t>1.97 pp</w:t>
            </w:r>
          </w:p>
        </w:tc>
        <w:tc>
          <w:tcPr>
            <w:tcW w:type="dxa" w:w="1688"/>
            <w:tcMar>
              <w:top w:w="70" w:type="dxa"/>
              <w:start w:w="85" w:type="dxa"/>
              <w:bottom w:w="70" w:type="dxa"/>
              <w:end w:w="85" w:type="dxa"/>
            </w:tcMar>
            <w:vAlign w:val="center"/>
          </w:tcPr>
          <w:p>
            <w:pPr>
              <w:spacing w:before="0" w:after="0" w:line="240" w:lineRule="auto"/>
            </w:pPr>
            <w:r/>
            <w:r>
              <w:rPr>
                <w:sz w:val="16"/>
              </w:rPr>
              <w:t>−24.36%</w:t>
            </w:r>
          </w:p>
        </w:tc>
        <w:tc>
          <w:tcPr>
            <w:tcW w:type="dxa" w:w="1688"/>
            <w:tcMar>
              <w:top w:w="70" w:type="dxa"/>
              <w:start w:w="85" w:type="dxa"/>
              <w:bottom w:w="70" w:type="dxa"/>
              <w:end w:w="85" w:type="dxa"/>
            </w:tcMar>
            <w:vAlign w:val="center"/>
          </w:tcPr>
          <w:p>
            <w:pPr>
              <w:spacing w:before="0" w:after="0" w:line="240" w:lineRule="auto"/>
            </w:pPr>
            <w:r/>
            <w:r>
              <w:rPr>
                <w:sz w:val="16"/>
              </w:rPr>
              <w:t>6.25×</w:t>
            </w:r>
          </w:p>
        </w:tc>
        <w:tc>
          <w:tcPr>
            <w:tcW w:type="dxa" w:w="1688"/>
            <w:tcMar>
              <w:top w:w="70" w:type="dxa"/>
              <w:start w:w="85" w:type="dxa"/>
              <w:bottom w:w="70" w:type="dxa"/>
              <w:end w:w="85" w:type="dxa"/>
            </w:tcMar>
            <w:vAlign w:val="center"/>
          </w:tcPr>
          <w:p>
            <w:pPr>
              <w:spacing w:before="0" w:after="0" w:line="240" w:lineRule="auto"/>
            </w:pPr>
            <w:r/>
            <w:r>
              <w:rPr>
                <w:sz w:val="16"/>
              </w:rPr>
              <w:t>12.64%</w:t>
            </w:r>
          </w:p>
        </w:tc>
        <w:tc>
          <w:tcPr>
            <w:tcW w:type="dxa" w:w="1688"/>
            <w:tcMar>
              <w:top w:w="70" w:type="dxa"/>
              <w:start w:w="85" w:type="dxa"/>
              <w:bottom w:w="70" w:type="dxa"/>
              <w:end w:w="85" w:type="dxa"/>
            </w:tcMar>
            <w:vAlign w:val="center"/>
          </w:tcPr>
          <w:p>
            <w:pPr>
              <w:spacing w:before="0" w:after="0" w:line="240" w:lineRule="auto"/>
            </w:pPr>
            <w:r/>
            <w:r>
              <w:rPr>
                <w:sz w:val="16"/>
              </w:rPr>
              <w:t>1.65 pp</w:t>
            </w:r>
          </w:p>
        </w:tc>
        <w:tc>
          <w:tcPr>
            <w:tcW w:type="dxa" w:w="1688"/>
            <w:tcMar>
              <w:top w:w="70" w:type="dxa"/>
              <w:start w:w="85" w:type="dxa"/>
              <w:bottom w:w="70" w:type="dxa"/>
              <w:end w:w="85" w:type="dxa"/>
            </w:tcMar>
            <w:vAlign w:val="center"/>
          </w:tcPr>
          <w:p>
            <w:pPr>
              <w:spacing w:before="0" w:after="0" w:line="240" w:lineRule="auto"/>
            </w:pPr>
            <w:r/>
            <w:r>
              <w:rPr>
                <w:sz w:val="16"/>
              </w:rPr>
              <w:t>−24.11%</w:t>
            </w:r>
          </w:p>
        </w:tc>
        <w:tc>
          <w:tcPr>
            <w:tcW w:type="dxa" w:w="1688"/>
            <w:tcMar>
              <w:top w:w="70" w:type="dxa"/>
              <w:start w:w="85" w:type="dxa"/>
              <w:bottom w:w="70" w:type="dxa"/>
              <w:end w:w="85" w:type="dxa"/>
            </w:tcMar>
            <w:vAlign w:val="center"/>
          </w:tcPr>
          <w:p>
            <w:pPr>
              <w:spacing w:before="0" w:after="0" w:line="240" w:lineRule="auto"/>
            </w:pPr>
            <w:r/>
            <w:r>
              <w:rPr>
                <w:sz w:val="16"/>
              </w:rPr>
              <w:t>7.48×</w:t>
            </w:r>
          </w:p>
        </w:tc>
      </w:tr>
      <w:tr>
        <w:tc>
          <w:tcPr>
            <w:tcW w:type="dxa" w:w="1688"/>
            <w:tcMar>
              <w:top w:w="70" w:type="dxa"/>
              <w:start w:w="85" w:type="dxa"/>
              <w:bottom w:w="70" w:type="dxa"/>
              <w:end w:w="85" w:type="dxa"/>
            </w:tcMar>
            <w:vAlign w:val="center"/>
          </w:tcPr>
          <w:p>
            <w:pPr>
              <w:spacing w:before="0" w:after="0" w:line="240" w:lineRule="auto"/>
            </w:pPr>
            <w:r/>
            <w:r>
              <w:rPr>
                <w:b/>
                <w:sz w:val="16"/>
              </w:rPr>
              <w:t>TOP7</w:t>
            </w:r>
          </w:p>
        </w:tc>
        <w:tc>
          <w:tcPr>
            <w:tcW w:type="dxa" w:w="1688"/>
            <w:tcMar>
              <w:top w:w="70" w:type="dxa"/>
              <w:start w:w="85" w:type="dxa"/>
              <w:bottom w:w="70" w:type="dxa"/>
              <w:end w:w="85" w:type="dxa"/>
            </w:tcMar>
            <w:vAlign w:val="center"/>
          </w:tcPr>
          <w:p>
            <w:pPr>
              <w:spacing w:before="0" w:after="0" w:line="240" w:lineRule="auto"/>
            </w:pPr>
            <w:r/>
            <w:r>
              <w:rPr>
                <w:b/>
                <w:sz w:val="16"/>
              </w:rPr>
              <w:t>13.14%</w:t>
            </w:r>
          </w:p>
        </w:tc>
        <w:tc>
          <w:tcPr>
            <w:tcW w:type="dxa" w:w="1688"/>
            <w:tcMar>
              <w:top w:w="70" w:type="dxa"/>
              <w:start w:w="85" w:type="dxa"/>
              <w:bottom w:w="70" w:type="dxa"/>
              <w:end w:w="85" w:type="dxa"/>
            </w:tcMar>
            <w:vAlign w:val="center"/>
          </w:tcPr>
          <w:p>
            <w:pPr>
              <w:spacing w:before="0" w:after="0" w:line="240" w:lineRule="auto"/>
            </w:pPr>
            <w:r/>
            <w:r>
              <w:rPr>
                <w:b/>
                <w:sz w:val="16"/>
              </w:rPr>
              <w:t>1.61 pp</w:t>
            </w:r>
          </w:p>
        </w:tc>
        <w:tc>
          <w:tcPr>
            <w:tcW w:type="dxa" w:w="1688"/>
            <w:tcMar>
              <w:top w:w="70" w:type="dxa"/>
              <w:start w:w="85" w:type="dxa"/>
              <w:bottom w:w="70" w:type="dxa"/>
              <w:end w:w="85" w:type="dxa"/>
            </w:tcMar>
            <w:vAlign w:val="center"/>
          </w:tcPr>
          <w:p>
            <w:pPr>
              <w:spacing w:before="0" w:after="0" w:line="240" w:lineRule="auto"/>
            </w:pPr>
            <w:r/>
            <w:r>
              <w:rPr>
                <w:b/>
                <w:sz w:val="16"/>
              </w:rPr>
              <w:t>−23.53%</w:t>
            </w:r>
          </w:p>
        </w:tc>
        <w:tc>
          <w:tcPr>
            <w:tcW w:type="dxa" w:w="1688"/>
            <w:tcMar>
              <w:top w:w="70" w:type="dxa"/>
              <w:start w:w="85" w:type="dxa"/>
              <w:bottom w:w="70" w:type="dxa"/>
              <w:end w:w="85" w:type="dxa"/>
            </w:tcMar>
            <w:vAlign w:val="center"/>
          </w:tcPr>
          <w:p>
            <w:pPr>
              <w:spacing w:before="0" w:after="0" w:line="240" w:lineRule="auto"/>
            </w:pPr>
            <w:r/>
            <w:r>
              <w:rPr>
                <w:b/>
                <w:sz w:val="16"/>
              </w:rPr>
              <w:t>5.52×</w:t>
            </w:r>
          </w:p>
        </w:tc>
        <w:tc>
          <w:tcPr>
            <w:tcW w:type="dxa" w:w="1688"/>
            <w:tcMar>
              <w:top w:w="70" w:type="dxa"/>
              <w:start w:w="85" w:type="dxa"/>
              <w:bottom w:w="70" w:type="dxa"/>
              <w:end w:w="85" w:type="dxa"/>
            </w:tcMar>
            <w:vAlign w:val="center"/>
          </w:tcPr>
          <w:p>
            <w:pPr>
              <w:spacing w:before="0" w:after="0" w:line="240" w:lineRule="auto"/>
            </w:pPr>
            <w:r/>
            <w:r>
              <w:rPr>
                <w:b/>
                <w:sz w:val="16"/>
              </w:rPr>
              <w:t>13.62%</w:t>
            </w:r>
          </w:p>
        </w:tc>
        <w:tc>
          <w:tcPr>
            <w:tcW w:type="dxa" w:w="1688"/>
            <w:tcMar>
              <w:top w:w="70" w:type="dxa"/>
              <w:start w:w="85" w:type="dxa"/>
              <w:bottom w:w="70" w:type="dxa"/>
              <w:end w:w="85" w:type="dxa"/>
            </w:tcMar>
            <w:vAlign w:val="center"/>
          </w:tcPr>
          <w:p>
            <w:pPr>
              <w:spacing w:before="0" w:after="0" w:line="240" w:lineRule="auto"/>
            </w:pPr>
            <w:r/>
            <w:r>
              <w:rPr>
                <w:b/>
                <w:sz w:val="16"/>
              </w:rPr>
              <w:t>2.63 pp</w:t>
            </w:r>
          </w:p>
        </w:tc>
        <w:tc>
          <w:tcPr>
            <w:tcW w:type="dxa" w:w="1688"/>
            <w:tcMar>
              <w:top w:w="70" w:type="dxa"/>
              <w:start w:w="85" w:type="dxa"/>
              <w:bottom w:w="70" w:type="dxa"/>
              <w:end w:w="85" w:type="dxa"/>
            </w:tcMar>
            <w:vAlign w:val="center"/>
          </w:tcPr>
          <w:p>
            <w:pPr>
              <w:spacing w:before="0" w:after="0" w:line="240" w:lineRule="auto"/>
            </w:pPr>
            <w:r/>
            <w:r>
              <w:rPr>
                <w:b/>
                <w:sz w:val="16"/>
              </w:rPr>
              <w:t>−22.34%</w:t>
            </w:r>
          </w:p>
        </w:tc>
        <w:tc>
          <w:tcPr>
            <w:tcW w:type="dxa" w:w="1688"/>
            <w:tcMar>
              <w:top w:w="70" w:type="dxa"/>
              <w:start w:w="85" w:type="dxa"/>
              <w:bottom w:w="70" w:type="dxa"/>
              <w:end w:w="85" w:type="dxa"/>
            </w:tcMar>
            <w:vAlign w:val="center"/>
          </w:tcPr>
          <w:p>
            <w:pPr>
              <w:spacing w:before="0" w:after="0" w:line="240" w:lineRule="auto"/>
            </w:pPr>
            <w:r/>
            <w:r>
              <w:rPr>
                <w:b/>
                <w:sz w:val="16"/>
              </w:rPr>
              <w:t>6.93×</w:t>
            </w:r>
          </w:p>
        </w:tc>
      </w:tr>
      <w:tr>
        <w:tc>
          <w:tcPr>
            <w:tcW w:type="dxa" w:w="1688"/>
            <w:tcMar>
              <w:top w:w="70" w:type="dxa"/>
              <w:start w:w="85" w:type="dxa"/>
              <w:bottom w:w="70" w:type="dxa"/>
              <w:end w:w="85" w:type="dxa"/>
            </w:tcMar>
            <w:vAlign w:val="center"/>
          </w:tcPr>
          <w:p>
            <w:pPr>
              <w:spacing w:before="0" w:after="0" w:line="240" w:lineRule="auto"/>
            </w:pPr>
            <w:r/>
            <w:r>
              <w:rPr>
                <w:sz w:val="16"/>
              </w:rPr>
              <w:t>TOP8</w:t>
            </w:r>
          </w:p>
        </w:tc>
        <w:tc>
          <w:tcPr>
            <w:tcW w:type="dxa" w:w="1688"/>
            <w:tcMar>
              <w:top w:w="70" w:type="dxa"/>
              <w:start w:w="85" w:type="dxa"/>
              <w:bottom w:w="70" w:type="dxa"/>
              <w:end w:w="85" w:type="dxa"/>
            </w:tcMar>
            <w:vAlign w:val="center"/>
          </w:tcPr>
          <w:p>
            <w:pPr>
              <w:spacing w:before="0" w:after="0" w:line="240" w:lineRule="auto"/>
            </w:pPr>
            <w:r/>
            <w:r>
              <w:rPr>
                <w:sz w:val="16"/>
              </w:rPr>
              <w:t>13.15%</w:t>
            </w:r>
          </w:p>
        </w:tc>
        <w:tc>
          <w:tcPr>
            <w:tcW w:type="dxa" w:w="1688"/>
            <w:tcMar>
              <w:top w:w="70" w:type="dxa"/>
              <w:start w:w="85" w:type="dxa"/>
              <w:bottom w:w="70" w:type="dxa"/>
              <w:end w:w="85" w:type="dxa"/>
            </w:tcMar>
            <w:vAlign w:val="center"/>
          </w:tcPr>
          <w:p>
            <w:pPr>
              <w:spacing w:before="0" w:after="0" w:line="240" w:lineRule="auto"/>
            </w:pPr>
            <w:r/>
            <w:r>
              <w:rPr>
                <w:sz w:val="16"/>
              </w:rPr>
              <w:t>1.61 pp</w:t>
            </w:r>
          </w:p>
        </w:tc>
        <w:tc>
          <w:tcPr>
            <w:tcW w:type="dxa" w:w="1688"/>
            <w:tcMar>
              <w:top w:w="70" w:type="dxa"/>
              <w:start w:w="85" w:type="dxa"/>
              <w:bottom w:w="70" w:type="dxa"/>
              <w:end w:w="85" w:type="dxa"/>
            </w:tcMar>
            <w:vAlign w:val="center"/>
          </w:tcPr>
          <w:p>
            <w:pPr>
              <w:spacing w:before="0" w:after="0" w:line="240" w:lineRule="auto"/>
            </w:pPr>
            <w:r/>
            <w:r>
              <w:rPr>
                <w:sz w:val="16"/>
              </w:rPr>
              <w:t>−23.54%</w:t>
            </w:r>
          </w:p>
        </w:tc>
        <w:tc>
          <w:tcPr>
            <w:tcW w:type="dxa" w:w="1688"/>
            <w:tcMar>
              <w:top w:w="70" w:type="dxa"/>
              <w:start w:w="85" w:type="dxa"/>
              <w:bottom w:w="70" w:type="dxa"/>
              <w:end w:w="85" w:type="dxa"/>
            </w:tcMar>
            <w:vAlign w:val="center"/>
          </w:tcPr>
          <w:p>
            <w:pPr>
              <w:spacing w:before="0" w:after="0" w:line="240" w:lineRule="auto"/>
            </w:pPr>
            <w:r/>
            <w:r>
              <w:rPr>
                <w:sz w:val="16"/>
              </w:rPr>
              <w:t>4.85×</w:t>
            </w:r>
          </w:p>
        </w:tc>
        <w:tc>
          <w:tcPr>
            <w:tcW w:type="dxa" w:w="1688"/>
            <w:tcMar>
              <w:top w:w="70" w:type="dxa"/>
              <w:start w:w="85" w:type="dxa"/>
              <w:bottom w:w="70" w:type="dxa"/>
              <w:end w:w="85" w:type="dxa"/>
            </w:tcMar>
            <w:vAlign w:val="center"/>
          </w:tcPr>
          <w:p>
            <w:pPr>
              <w:spacing w:before="0" w:after="0" w:line="240" w:lineRule="auto"/>
            </w:pPr>
            <w:r/>
            <w:r>
              <w:rPr>
                <w:b/>
                <w:sz w:val="16"/>
              </w:rPr>
              <w:t>14.75%</w:t>
            </w:r>
          </w:p>
        </w:tc>
        <w:tc>
          <w:tcPr>
            <w:tcW w:type="dxa" w:w="1688"/>
            <w:tcMar>
              <w:top w:w="70" w:type="dxa"/>
              <w:start w:w="85" w:type="dxa"/>
              <w:bottom w:w="70" w:type="dxa"/>
              <w:end w:w="85" w:type="dxa"/>
            </w:tcMar>
            <w:vAlign w:val="center"/>
          </w:tcPr>
          <w:p>
            <w:pPr>
              <w:spacing w:before="0" w:after="0" w:line="240" w:lineRule="auto"/>
            </w:pPr>
            <w:r/>
            <w:r>
              <w:rPr>
                <w:b/>
                <w:sz w:val="16"/>
              </w:rPr>
              <w:t>3.76 pp</w:t>
            </w:r>
          </w:p>
        </w:tc>
        <w:tc>
          <w:tcPr>
            <w:tcW w:type="dxa" w:w="1688"/>
            <w:tcMar>
              <w:top w:w="70" w:type="dxa"/>
              <w:start w:w="85" w:type="dxa"/>
              <w:bottom w:w="70" w:type="dxa"/>
              <w:end w:w="85" w:type="dxa"/>
            </w:tcMar>
            <w:vAlign w:val="center"/>
          </w:tcPr>
          <w:p>
            <w:pPr>
              <w:spacing w:before="0" w:after="0" w:line="240" w:lineRule="auto"/>
            </w:pPr>
            <w:r/>
            <w:r>
              <w:rPr>
                <w:sz w:val="16"/>
              </w:rPr>
              <w:t>−20.10%</w:t>
            </w:r>
          </w:p>
        </w:tc>
        <w:tc>
          <w:tcPr>
            <w:tcW w:type="dxa" w:w="1688"/>
            <w:tcMar>
              <w:top w:w="70" w:type="dxa"/>
              <w:start w:w="85" w:type="dxa"/>
              <w:bottom w:w="70" w:type="dxa"/>
              <w:end w:w="85" w:type="dxa"/>
            </w:tcMar>
            <w:vAlign w:val="center"/>
          </w:tcPr>
          <w:p>
            <w:pPr>
              <w:spacing w:before="0" w:after="0" w:line="240" w:lineRule="auto"/>
            </w:pPr>
            <w:r/>
            <w:r>
              <w:rPr>
                <w:sz w:val="16"/>
              </w:rPr>
              <w:t>6.29×</w:t>
            </w:r>
          </w:p>
        </w:tc>
      </w:tr>
      <w:tr>
        <w:tc>
          <w:tcPr>
            <w:tcW w:type="dxa" w:w="1688"/>
            <w:tcMar>
              <w:top w:w="70" w:type="dxa"/>
              <w:start w:w="85" w:type="dxa"/>
              <w:bottom w:w="70" w:type="dxa"/>
              <w:end w:w="85" w:type="dxa"/>
            </w:tcMar>
            <w:vAlign w:val="center"/>
          </w:tcPr>
          <w:p>
            <w:pPr>
              <w:spacing w:before="0" w:after="0" w:line="240" w:lineRule="auto"/>
            </w:pPr>
            <w:r/>
            <w:r>
              <w:rPr>
                <w:sz w:val="16"/>
              </w:rPr>
              <w:t>TOP9</w:t>
            </w:r>
          </w:p>
        </w:tc>
        <w:tc>
          <w:tcPr>
            <w:tcW w:type="dxa" w:w="1688"/>
            <w:tcMar>
              <w:top w:w="70" w:type="dxa"/>
              <w:start w:w="85" w:type="dxa"/>
              <w:bottom w:w="70" w:type="dxa"/>
              <w:end w:w="85" w:type="dxa"/>
            </w:tcMar>
            <w:vAlign w:val="center"/>
          </w:tcPr>
          <w:p>
            <w:pPr>
              <w:spacing w:before="0" w:after="0" w:line="240" w:lineRule="auto"/>
            </w:pPr>
            <w:r/>
            <w:r>
              <w:rPr>
                <w:sz w:val="16"/>
              </w:rPr>
              <w:t>11.50%</w:t>
            </w:r>
          </w:p>
        </w:tc>
        <w:tc>
          <w:tcPr>
            <w:tcW w:type="dxa" w:w="1688"/>
            <w:tcMar>
              <w:top w:w="70" w:type="dxa"/>
              <w:start w:w="85" w:type="dxa"/>
              <w:bottom w:w="70" w:type="dxa"/>
              <w:end w:w="85" w:type="dxa"/>
            </w:tcMar>
            <w:vAlign w:val="center"/>
          </w:tcPr>
          <w:p>
            <w:pPr>
              <w:spacing w:before="0" w:after="0" w:line="240" w:lineRule="auto"/>
            </w:pPr>
            <w:r/>
            <w:r>
              <w:rPr>
                <w:sz w:val="16"/>
              </w:rPr>
              <w:t>−0.03 pp</w:t>
            </w:r>
          </w:p>
        </w:tc>
        <w:tc>
          <w:tcPr>
            <w:tcW w:type="dxa" w:w="1688"/>
            <w:tcMar>
              <w:top w:w="70" w:type="dxa"/>
              <w:start w:w="85" w:type="dxa"/>
              <w:bottom w:w="70" w:type="dxa"/>
              <w:end w:w="85" w:type="dxa"/>
            </w:tcMar>
            <w:vAlign w:val="center"/>
          </w:tcPr>
          <w:p>
            <w:pPr>
              <w:spacing w:before="0" w:after="0" w:line="240" w:lineRule="auto"/>
            </w:pPr>
            <w:r/>
            <w:r>
              <w:rPr>
                <w:sz w:val="16"/>
              </w:rPr>
              <w:t>−25.14%</w:t>
            </w:r>
          </w:p>
        </w:tc>
        <w:tc>
          <w:tcPr>
            <w:tcW w:type="dxa" w:w="1688"/>
            <w:tcMar>
              <w:top w:w="70" w:type="dxa"/>
              <w:start w:w="85" w:type="dxa"/>
              <w:bottom w:w="70" w:type="dxa"/>
              <w:end w:w="85" w:type="dxa"/>
            </w:tcMar>
            <w:vAlign w:val="center"/>
          </w:tcPr>
          <w:p>
            <w:pPr>
              <w:spacing w:before="0" w:after="0" w:line="240" w:lineRule="auto"/>
            </w:pPr>
            <w:r/>
            <w:r>
              <w:rPr>
                <w:sz w:val="16"/>
              </w:rPr>
              <w:t>4.61×</w:t>
            </w:r>
          </w:p>
        </w:tc>
        <w:tc>
          <w:tcPr>
            <w:tcW w:type="dxa" w:w="1688"/>
            <w:tcMar>
              <w:top w:w="70" w:type="dxa"/>
              <w:start w:w="85" w:type="dxa"/>
              <w:bottom w:w="70" w:type="dxa"/>
              <w:end w:w="85" w:type="dxa"/>
            </w:tcMar>
            <w:vAlign w:val="center"/>
          </w:tcPr>
          <w:p>
            <w:pPr>
              <w:spacing w:before="0" w:after="0" w:line="240" w:lineRule="auto"/>
            </w:pPr>
            <w:r/>
            <w:r>
              <w:rPr>
                <w:sz w:val="16"/>
              </w:rPr>
              <w:t>12.46%</w:t>
            </w:r>
          </w:p>
        </w:tc>
        <w:tc>
          <w:tcPr>
            <w:tcW w:type="dxa" w:w="1688"/>
            <w:tcMar>
              <w:top w:w="70" w:type="dxa"/>
              <w:start w:w="85" w:type="dxa"/>
              <w:bottom w:w="70" w:type="dxa"/>
              <w:end w:w="85" w:type="dxa"/>
            </w:tcMar>
            <w:vAlign w:val="center"/>
          </w:tcPr>
          <w:p>
            <w:pPr>
              <w:spacing w:before="0" w:after="0" w:line="240" w:lineRule="auto"/>
            </w:pPr>
            <w:r/>
            <w:r>
              <w:rPr>
                <w:sz w:val="16"/>
              </w:rPr>
              <w:t>1.47 pp</w:t>
            </w:r>
          </w:p>
        </w:tc>
        <w:tc>
          <w:tcPr>
            <w:tcW w:type="dxa" w:w="1688"/>
            <w:tcMar>
              <w:top w:w="70" w:type="dxa"/>
              <w:start w:w="85" w:type="dxa"/>
              <w:bottom w:w="70" w:type="dxa"/>
              <w:end w:w="85" w:type="dxa"/>
            </w:tcMar>
            <w:vAlign w:val="center"/>
          </w:tcPr>
          <w:p>
            <w:pPr>
              <w:spacing w:before="0" w:after="0" w:line="240" w:lineRule="auto"/>
            </w:pPr>
            <w:r/>
            <w:r>
              <w:rPr>
                <w:sz w:val="16"/>
              </w:rPr>
              <w:t>−21.65%</w:t>
            </w:r>
          </w:p>
        </w:tc>
        <w:tc>
          <w:tcPr>
            <w:tcW w:type="dxa" w:w="1688"/>
            <w:tcMar>
              <w:top w:w="70" w:type="dxa"/>
              <w:start w:w="85" w:type="dxa"/>
              <w:bottom w:w="70" w:type="dxa"/>
              <w:end w:w="85" w:type="dxa"/>
            </w:tcMar>
            <w:vAlign w:val="center"/>
          </w:tcPr>
          <w:p>
            <w:pPr>
              <w:spacing w:before="0" w:after="0" w:line="240" w:lineRule="auto"/>
            </w:pPr>
            <w:r/>
            <w:r>
              <w:rPr>
                <w:sz w:val="16"/>
              </w:rPr>
              <w:t>6.21×</w:t>
            </w:r>
          </w:p>
        </w:tc>
      </w:tr>
      <w:tr>
        <w:tc>
          <w:tcPr>
            <w:tcW w:type="dxa" w:w="1688"/>
            <w:tcMar>
              <w:top w:w="70" w:type="dxa"/>
              <w:start w:w="85" w:type="dxa"/>
              <w:bottom w:w="70" w:type="dxa"/>
              <w:end w:w="85" w:type="dxa"/>
            </w:tcMar>
            <w:vAlign w:val="center"/>
          </w:tcPr>
          <w:p>
            <w:pPr>
              <w:spacing w:before="0" w:after="0" w:line="240" w:lineRule="auto"/>
            </w:pPr>
            <w:r/>
            <w:r>
              <w:rPr>
                <w:sz w:val="16"/>
              </w:rPr>
              <w:t>TOP10</w:t>
            </w:r>
          </w:p>
        </w:tc>
        <w:tc>
          <w:tcPr>
            <w:tcW w:type="dxa" w:w="1688"/>
            <w:tcMar>
              <w:top w:w="70" w:type="dxa"/>
              <w:start w:w="85" w:type="dxa"/>
              <w:bottom w:w="70" w:type="dxa"/>
              <w:end w:w="85" w:type="dxa"/>
            </w:tcMar>
            <w:vAlign w:val="center"/>
          </w:tcPr>
          <w:p>
            <w:pPr>
              <w:spacing w:before="0" w:after="0" w:line="240" w:lineRule="auto"/>
            </w:pPr>
            <w:r/>
            <w:r>
              <w:rPr>
                <w:sz w:val="16"/>
              </w:rPr>
              <w:t>10.22%</w:t>
            </w:r>
          </w:p>
        </w:tc>
        <w:tc>
          <w:tcPr>
            <w:tcW w:type="dxa" w:w="1688"/>
            <w:tcMar>
              <w:top w:w="70" w:type="dxa"/>
              <w:start w:w="85" w:type="dxa"/>
              <w:bottom w:w="70" w:type="dxa"/>
              <w:end w:w="85" w:type="dxa"/>
            </w:tcMar>
            <w:vAlign w:val="center"/>
          </w:tcPr>
          <w:p>
            <w:pPr>
              <w:spacing w:before="0" w:after="0" w:line="240" w:lineRule="auto"/>
            </w:pPr>
            <w:r/>
            <w:r>
              <w:rPr>
                <w:sz w:val="16"/>
              </w:rPr>
              <w:t>−1.31 pp</w:t>
            </w:r>
          </w:p>
        </w:tc>
        <w:tc>
          <w:tcPr>
            <w:tcW w:type="dxa" w:w="1688"/>
            <w:tcMar>
              <w:top w:w="70" w:type="dxa"/>
              <w:start w:w="85" w:type="dxa"/>
              <w:bottom w:w="70" w:type="dxa"/>
              <w:end w:w="85" w:type="dxa"/>
            </w:tcMar>
            <w:vAlign w:val="center"/>
          </w:tcPr>
          <w:p>
            <w:pPr>
              <w:spacing w:before="0" w:after="0" w:line="240" w:lineRule="auto"/>
            </w:pPr>
            <w:r/>
            <w:r>
              <w:rPr>
                <w:sz w:val="16"/>
              </w:rPr>
              <w:t>−24.71%</w:t>
            </w:r>
          </w:p>
        </w:tc>
        <w:tc>
          <w:tcPr>
            <w:tcW w:type="dxa" w:w="1688"/>
            <w:tcMar>
              <w:top w:w="70" w:type="dxa"/>
              <w:start w:w="85" w:type="dxa"/>
              <w:bottom w:w="70" w:type="dxa"/>
              <w:end w:w="85" w:type="dxa"/>
            </w:tcMar>
            <w:vAlign w:val="center"/>
          </w:tcPr>
          <w:p>
            <w:pPr>
              <w:spacing w:before="0" w:after="0" w:line="240" w:lineRule="auto"/>
            </w:pPr>
            <w:r/>
            <w:r>
              <w:rPr>
                <w:sz w:val="16"/>
              </w:rPr>
              <w:t>4.10×</w:t>
            </w:r>
          </w:p>
        </w:tc>
        <w:tc>
          <w:tcPr>
            <w:tcW w:type="dxa" w:w="1688"/>
            <w:tcMar>
              <w:top w:w="70" w:type="dxa"/>
              <w:start w:w="85" w:type="dxa"/>
              <w:bottom w:w="70" w:type="dxa"/>
              <w:end w:w="85" w:type="dxa"/>
            </w:tcMar>
            <w:vAlign w:val="center"/>
          </w:tcPr>
          <w:p>
            <w:pPr>
              <w:spacing w:before="0" w:after="0" w:line="240" w:lineRule="auto"/>
            </w:pPr>
            <w:r/>
            <w:r>
              <w:rPr>
                <w:sz w:val="16"/>
              </w:rPr>
              <w:t>10.56%</w:t>
            </w:r>
          </w:p>
        </w:tc>
        <w:tc>
          <w:tcPr>
            <w:tcW w:type="dxa" w:w="1688"/>
            <w:tcMar>
              <w:top w:w="70" w:type="dxa"/>
              <w:start w:w="85" w:type="dxa"/>
              <w:bottom w:w="70" w:type="dxa"/>
              <w:end w:w="85" w:type="dxa"/>
            </w:tcMar>
            <w:vAlign w:val="center"/>
          </w:tcPr>
          <w:p>
            <w:pPr>
              <w:spacing w:before="0" w:after="0" w:line="240" w:lineRule="auto"/>
            </w:pPr>
            <w:r/>
            <w:r>
              <w:rPr>
                <w:sz w:val="16"/>
              </w:rPr>
              <w:t>−0.43 pp</w:t>
            </w:r>
          </w:p>
        </w:tc>
        <w:tc>
          <w:tcPr>
            <w:tcW w:type="dxa" w:w="1688"/>
            <w:tcMar>
              <w:top w:w="70" w:type="dxa"/>
              <w:start w:w="85" w:type="dxa"/>
              <w:bottom w:w="70" w:type="dxa"/>
              <w:end w:w="85" w:type="dxa"/>
            </w:tcMar>
            <w:vAlign w:val="center"/>
          </w:tcPr>
          <w:p>
            <w:pPr>
              <w:spacing w:before="0" w:after="0" w:line="240" w:lineRule="auto"/>
            </w:pPr>
            <w:r/>
            <w:r>
              <w:rPr>
                <w:sz w:val="16"/>
              </w:rPr>
              <w:t>−19.86%</w:t>
            </w:r>
          </w:p>
        </w:tc>
        <w:tc>
          <w:tcPr>
            <w:tcW w:type="dxa" w:w="1688"/>
            <w:tcMar>
              <w:top w:w="70" w:type="dxa"/>
              <w:start w:w="85" w:type="dxa"/>
              <w:bottom w:w="70" w:type="dxa"/>
              <w:end w:w="85" w:type="dxa"/>
            </w:tcMar>
            <w:vAlign w:val="center"/>
          </w:tcPr>
          <w:p>
            <w:pPr>
              <w:spacing w:before="0" w:after="0" w:line="240" w:lineRule="auto"/>
            </w:pPr>
            <w:r/>
            <w:r>
              <w:rPr>
                <w:sz w:val="16"/>
              </w:rPr>
              <w:t>5.62×</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Samples: full 2017-03-01–2026-08-21; latest five years 2021-09-01–2026-08-21. Baseline 20 bps one-way plus fixed fee; monthly M2 CASH0 equal weight; net returns; opportunity benchmark is contemporaneous equal-weight pool. Internal sources [BR-3]–[BR-10]: </w:t>
      </w:r>
      <w:r>
        <w:rPr>
          <w:rFonts w:ascii="Consolas" w:hAnsi="Consolas"/>
          <w:color w:val="1F4D78"/>
          <w:sz w:val="16"/>
        </w:rPr>
        <w:t>UKACTIVE_A4D_BREADTH_RESULTS.csv</w:t>
      </w:r>
      <w:r>
        <w:rPr>
          <w:sz w:val="16"/>
        </w:rPr>
        <w:t xml:space="preserve">, A4D commit </w:t>
      </w:r>
      <w:r>
        <w:rPr>
          <w:rFonts w:ascii="Consolas" w:hAnsi="Consolas"/>
          <w:color w:val="1F4D78"/>
          <w:sz w:val="16"/>
        </w:rPr>
        <w:t>f411e0d</w:t>
      </w:r>
      <w:r>
        <w:rPr>
          <w:sz w:val="16"/>
        </w:rPr>
        <w:t>.</w:t>
      </w:r>
    </w:p>
    <w:p>
      <w:pPr>
        <w:keepNext/>
        <w:jc w:val="center"/>
      </w:pPr>
      <w:r>
        <w:drawing>
          <wp:inline xmlns:a="http://schemas.openxmlformats.org/drawingml/2006/main" xmlns:pic="http://schemas.openxmlformats.org/drawingml/2006/picture">
            <wp:extent cx="5806440" cy="2860244"/>
            <wp:docPr id="3" name="Picture 3"/>
            <wp:cNvGraphicFramePr>
              <a:graphicFrameLocks noChangeAspect="1"/>
            </wp:cNvGraphicFramePr>
            <a:graphic>
              <a:graphicData uri="http://schemas.openxmlformats.org/drawingml/2006/picture">
                <pic:pic>
                  <pic:nvPicPr>
                    <pic:cNvPr id="0" name="FIGURE_03_BREADTH_FRONTIER.png"/>
                    <pic:cNvPicPr/>
                  </pic:nvPicPr>
                  <pic:blipFill>
                    <a:blip r:embed="rId13"/>
                    <a:stretch>
                      <a:fillRect/>
                    </a:stretch>
                  </pic:blipFill>
                  <pic:spPr>
                    <a:xfrm>
                      <a:off x="0" y="0"/>
                      <a:ext cx="5806440" cy="2860244"/>
                    </a:xfrm>
                    <a:prstGeom prst="rect"/>
                  </pic:spPr>
                </pic:pic>
              </a:graphicData>
            </a:graphic>
          </wp:inline>
        </w:drawing>
      </w:r>
    </w:p>
    <w:p>
      <w:pPr>
        <w:pStyle w:val="FigureCaptionUKACTIVE"/>
      </w:pPr>
      <w:r>
        <w:rPr>
          <w:b/>
          <w:sz w:val="18"/>
        </w:rPr>
        <w:t>Figure 3.</w:t>
      </w:r>
      <w:r>
        <w:rPr>
          <w:sz w:val="18"/>
        </w:rPr>
        <w:t xml:space="preserve"> Full-history and latest-five-year return, drawdown and turnover show a region rather than a unique optimum. TOP7 is marked as the representative frozen point. All M2 paths are net of baseline costs.</w:t>
      </w:r>
    </w:p>
    <w:p>
      <w:r>
        <w:t>Why not TOP8? TOP8 had the highest latest-five-year CAGR and the shallowest recent drawdown among TOP3–TOP9, but selecting it for that reason would maximise a recent exposed-history cell. TOP6 had the highest full-history CAGR. TOP7 sat between those cells, had nearly identical full-history economics to TOP8, materially lower turnover than TOP6, and represented the centre of the viable region. The conclusion is “moderately diversified high-rank basket,” not “seven is structurally optimal.”</w:t>
      </w:r>
    </w:p>
    <w:p>
      <w:r>
        <w:t>Turnover fell almost monotonically with breadth because one family change affected a smaller portfolio fraction. At the same time, excessive breadth diluted rank separation: TOP10 fell below the pool on both full and recent windows. Concentration and dilution are therefore competing errors.</w:t>
      </w:r>
    </w:p>
    <w:p>
      <w:pPr>
        <w:pStyle w:val="Heading1"/>
      </w:pPr>
      <w:r>
        <w:t>15. Rebalance-frequency tests</w:t>
      </w:r>
    </w:p>
    <w:p>
      <w:r>
        <w:t>Daily, weekly and monthly implementations used the same signal family, breadth, cash and weight logic but different review schedules. Gross daily CAGR was highest, yet daily turnover of 31.86× produced 8.40 pp of CAGR drag at baseline costs. Weekly remained economically plausible, while monthly combined the lowest turnover with the strongest baseline MDD and the only positive doubled-cost excess versus the equal pool.</w:t>
      </w:r>
    </w:p>
    <w:p>
      <w:pPr>
        <w:sectPr>
          <w:pgSz w:w="11906" w:h="16838"/>
          <w:pgMar w:top="992" w:right="1077" w:bottom="935" w:left="1077" w:header="425" w:footer="425" w:gutter="0"/>
          <w:cols w:space="720"/>
          <w:docGrid w:linePitch="360"/>
        </w:sectPr>
      </w:pPr>
    </w:p>
    <w:p>
      <w:pPr>
        <w:keepNext/>
        <w:spacing w:before="160" w:after="80"/>
      </w:pPr>
      <w:r>
        <w:rPr>
          <w:b/>
        </w:rPr>
        <w:t>Table 8. Rebalance-frequency comparison</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gridCol w:w="1169"/>
        <w:gridCol w:w="1169"/>
        <w:gridCol w:w="1169"/>
        <w:gridCol w:w="1169"/>
        <w:gridCol w:w="1169"/>
      </w:tblGrid>
      <w:tr>
        <w:trPr>
          <w:tblHeader w:val="true"/>
        </w:trPr>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Frequency</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Gross CAGR</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Net CAGR</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Net excess vs pool</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Doubled-cost net CAGR</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Doubled-cost excess vs pool</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MDD</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Ulcer</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Turnover</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Cost drag</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Avg holding days</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Replacement rate</w:t>
            </w:r>
          </w:p>
        </w:tc>
        <w:tc>
          <w:tcPr>
            <w:tcW w:type="dxa" w:w="116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Legs</w:t>
            </w:r>
          </w:p>
        </w:tc>
      </w:tr>
      <w:tr>
        <w:tc>
          <w:tcPr>
            <w:tcW w:type="dxa" w:w="1169"/>
            <w:tcMar>
              <w:top w:w="70" w:type="dxa"/>
              <w:start w:w="85" w:type="dxa"/>
              <w:bottom w:w="70" w:type="dxa"/>
              <w:end w:w="85" w:type="dxa"/>
            </w:tcMar>
            <w:vAlign w:val="center"/>
          </w:tcPr>
          <w:p>
            <w:pPr>
              <w:spacing w:before="0" w:after="0" w:line="240" w:lineRule="auto"/>
            </w:pPr>
            <w:r/>
            <w:r>
              <w:rPr>
                <w:sz w:val="15"/>
              </w:rPr>
              <w:t>Daily</w:t>
            </w:r>
          </w:p>
        </w:tc>
        <w:tc>
          <w:tcPr>
            <w:tcW w:type="dxa" w:w="1169"/>
            <w:tcMar>
              <w:top w:w="70" w:type="dxa"/>
              <w:start w:w="85" w:type="dxa"/>
              <w:bottom w:w="70" w:type="dxa"/>
              <w:end w:w="85" w:type="dxa"/>
            </w:tcMar>
            <w:vAlign w:val="center"/>
          </w:tcPr>
          <w:p>
            <w:pPr>
              <w:spacing w:before="0" w:after="0" w:line="240" w:lineRule="auto"/>
            </w:pPr>
            <w:r/>
            <w:r>
              <w:rPr>
                <w:sz w:val="15"/>
              </w:rPr>
              <w:t>18.04%</w:t>
            </w:r>
          </w:p>
        </w:tc>
        <w:tc>
          <w:tcPr>
            <w:tcW w:type="dxa" w:w="1169"/>
            <w:tcMar>
              <w:top w:w="70" w:type="dxa"/>
              <w:start w:w="85" w:type="dxa"/>
              <w:bottom w:w="70" w:type="dxa"/>
              <w:end w:w="85" w:type="dxa"/>
            </w:tcMar>
            <w:vAlign w:val="center"/>
          </w:tcPr>
          <w:p>
            <w:pPr>
              <w:spacing w:before="0" w:after="0" w:line="240" w:lineRule="auto"/>
            </w:pPr>
            <w:r/>
            <w:r>
              <w:rPr>
                <w:sz w:val="15"/>
              </w:rPr>
              <w:t>9.64%</w:t>
            </w:r>
          </w:p>
        </w:tc>
        <w:tc>
          <w:tcPr>
            <w:tcW w:type="dxa" w:w="1169"/>
            <w:tcMar>
              <w:top w:w="70" w:type="dxa"/>
              <w:start w:w="85" w:type="dxa"/>
              <w:bottom w:w="70" w:type="dxa"/>
              <w:end w:w="85" w:type="dxa"/>
            </w:tcMar>
            <w:vAlign w:val="center"/>
          </w:tcPr>
          <w:p>
            <w:pPr>
              <w:spacing w:before="0" w:after="0" w:line="240" w:lineRule="auto"/>
            </w:pPr>
            <w:r/>
            <w:r>
              <w:rPr>
                <w:sz w:val="15"/>
              </w:rPr>
              <w:t>−2.77 pp</w:t>
            </w:r>
          </w:p>
        </w:tc>
        <w:tc>
          <w:tcPr>
            <w:tcW w:type="dxa" w:w="1169"/>
            <w:tcMar>
              <w:top w:w="70" w:type="dxa"/>
              <w:start w:w="85" w:type="dxa"/>
              <w:bottom w:w="70" w:type="dxa"/>
              <w:end w:w="85" w:type="dxa"/>
            </w:tcMar>
            <w:vAlign w:val="center"/>
          </w:tcPr>
          <w:p>
            <w:pPr>
              <w:spacing w:before="0" w:after="0" w:line="240" w:lineRule="auto"/>
            </w:pPr>
            <w:r/>
            <w:r>
              <w:rPr>
                <w:sz w:val="15"/>
              </w:rPr>
              <w:t>0.91%</w:t>
            </w:r>
          </w:p>
        </w:tc>
        <w:tc>
          <w:tcPr>
            <w:tcW w:type="dxa" w:w="1169"/>
            <w:tcMar>
              <w:top w:w="70" w:type="dxa"/>
              <w:start w:w="85" w:type="dxa"/>
              <w:bottom w:w="70" w:type="dxa"/>
              <w:end w:w="85" w:type="dxa"/>
            </w:tcMar>
            <w:vAlign w:val="center"/>
          </w:tcPr>
          <w:p>
            <w:pPr>
              <w:spacing w:before="0" w:after="0" w:line="240" w:lineRule="auto"/>
            </w:pPr>
            <w:r/>
            <w:r>
              <w:rPr>
                <w:sz w:val="15"/>
              </w:rPr>
              <w:t>−11.50 pp</w:t>
            </w:r>
          </w:p>
        </w:tc>
        <w:tc>
          <w:tcPr>
            <w:tcW w:type="dxa" w:w="1169"/>
            <w:tcMar>
              <w:top w:w="70" w:type="dxa"/>
              <w:start w:w="85" w:type="dxa"/>
              <w:bottom w:w="70" w:type="dxa"/>
              <w:end w:w="85" w:type="dxa"/>
            </w:tcMar>
            <w:vAlign w:val="center"/>
          </w:tcPr>
          <w:p>
            <w:pPr>
              <w:spacing w:before="0" w:after="0" w:line="240" w:lineRule="auto"/>
            </w:pPr>
            <w:r/>
            <w:r>
              <w:rPr>
                <w:sz w:val="15"/>
              </w:rPr>
              <w:t>−28.10%</w:t>
            </w:r>
          </w:p>
        </w:tc>
        <w:tc>
          <w:tcPr>
            <w:tcW w:type="dxa" w:w="1169"/>
            <w:tcMar>
              <w:top w:w="70" w:type="dxa"/>
              <w:start w:w="85" w:type="dxa"/>
              <w:bottom w:w="70" w:type="dxa"/>
              <w:end w:w="85" w:type="dxa"/>
            </w:tcMar>
            <w:vAlign w:val="center"/>
          </w:tcPr>
          <w:p>
            <w:pPr>
              <w:spacing w:before="0" w:after="0" w:line="240" w:lineRule="auto"/>
            </w:pPr>
            <w:r/>
            <w:r>
              <w:rPr>
                <w:sz w:val="15"/>
              </w:rPr>
              <w:t>9.00%</w:t>
            </w:r>
          </w:p>
        </w:tc>
        <w:tc>
          <w:tcPr>
            <w:tcW w:type="dxa" w:w="1169"/>
            <w:tcMar>
              <w:top w:w="70" w:type="dxa"/>
              <w:start w:w="85" w:type="dxa"/>
              <w:bottom w:w="70" w:type="dxa"/>
              <w:end w:w="85" w:type="dxa"/>
            </w:tcMar>
            <w:vAlign w:val="center"/>
          </w:tcPr>
          <w:p>
            <w:pPr>
              <w:spacing w:before="0" w:after="0" w:line="240" w:lineRule="auto"/>
            </w:pPr>
            <w:r/>
            <w:r>
              <w:rPr>
                <w:sz w:val="15"/>
              </w:rPr>
              <w:t>31.86×</w:t>
            </w:r>
          </w:p>
        </w:tc>
        <w:tc>
          <w:tcPr>
            <w:tcW w:type="dxa" w:w="1169"/>
            <w:tcMar>
              <w:top w:w="70" w:type="dxa"/>
              <w:start w:w="85" w:type="dxa"/>
              <w:bottom w:w="70" w:type="dxa"/>
              <w:end w:w="85" w:type="dxa"/>
            </w:tcMar>
            <w:vAlign w:val="center"/>
          </w:tcPr>
          <w:p>
            <w:pPr>
              <w:spacing w:before="0" w:after="0" w:line="240" w:lineRule="auto"/>
            </w:pPr>
            <w:r/>
            <w:r>
              <w:rPr>
                <w:sz w:val="15"/>
              </w:rPr>
              <w:t>8.40 pp</w:t>
            </w:r>
          </w:p>
        </w:tc>
        <w:tc>
          <w:tcPr>
            <w:tcW w:type="dxa" w:w="1169"/>
            <w:tcMar>
              <w:top w:w="70" w:type="dxa"/>
              <w:start w:w="85" w:type="dxa"/>
              <w:bottom w:w="70" w:type="dxa"/>
              <w:end w:w="85" w:type="dxa"/>
            </w:tcMar>
            <w:vAlign w:val="center"/>
          </w:tcPr>
          <w:p>
            <w:pPr>
              <w:spacing w:before="0" w:after="0" w:line="240" w:lineRule="auto"/>
            </w:pPr>
            <w:r/>
            <w:r>
              <w:rPr>
                <w:sz w:val="15"/>
              </w:rPr>
              <w:t>23.85</w:t>
            </w:r>
          </w:p>
        </w:tc>
        <w:tc>
          <w:tcPr>
            <w:tcW w:type="dxa" w:w="1169"/>
            <w:tcMar>
              <w:top w:w="70" w:type="dxa"/>
              <w:start w:w="85" w:type="dxa"/>
              <w:bottom w:w="70" w:type="dxa"/>
              <w:end w:w="85" w:type="dxa"/>
            </w:tcMar>
            <w:vAlign w:val="center"/>
          </w:tcPr>
          <w:p>
            <w:pPr>
              <w:spacing w:before="0" w:after="0" w:line="240" w:lineRule="auto"/>
            </w:pPr>
            <w:r/>
            <w:r>
              <w:rPr>
                <w:sz w:val="15"/>
              </w:rPr>
              <w:t>15.15%</w:t>
            </w:r>
          </w:p>
        </w:tc>
        <w:tc>
          <w:tcPr>
            <w:tcW w:type="dxa" w:w="1169"/>
            <w:tcMar>
              <w:top w:w="70" w:type="dxa"/>
              <w:start w:w="85" w:type="dxa"/>
              <w:bottom w:w="70" w:type="dxa"/>
              <w:end w:w="85" w:type="dxa"/>
            </w:tcMar>
            <w:vAlign w:val="center"/>
          </w:tcPr>
          <w:p>
            <w:pPr>
              <w:spacing w:before="0" w:after="0" w:line="240" w:lineRule="auto"/>
            </w:pPr>
            <w:r/>
            <w:r>
              <w:rPr>
                <w:sz w:val="15"/>
              </w:rPr>
              <w:t>7,699</w:t>
            </w:r>
          </w:p>
        </w:tc>
      </w:tr>
      <w:tr>
        <w:tc>
          <w:tcPr>
            <w:tcW w:type="dxa" w:w="1169"/>
            <w:tcMar>
              <w:top w:w="70" w:type="dxa"/>
              <w:start w:w="85" w:type="dxa"/>
              <w:bottom w:w="70" w:type="dxa"/>
              <w:end w:w="85" w:type="dxa"/>
            </w:tcMar>
            <w:vAlign w:val="center"/>
          </w:tcPr>
          <w:p>
            <w:pPr>
              <w:spacing w:before="0" w:after="0" w:line="240" w:lineRule="auto"/>
            </w:pPr>
            <w:r/>
            <w:r>
              <w:rPr>
                <w:sz w:val="15"/>
              </w:rPr>
              <w:t>Weekly</w:t>
            </w:r>
          </w:p>
        </w:tc>
        <w:tc>
          <w:tcPr>
            <w:tcW w:type="dxa" w:w="1169"/>
            <w:tcMar>
              <w:top w:w="70" w:type="dxa"/>
              <w:start w:w="85" w:type="dxa"/>
              <w:bottom w:w="70" w:type="dxa"/>
              <w:end w:w="85" w:type="dxa"/>
            </w:tcMar>
            <w:vAlign w:val="center"/>
          </w:tcPr>
          <w:p>
            <w:pPr>
              <w:spacing w:before="0" w:after="0" w:line="240" w:lineRule="auto"/>
            </w:pPr>
            <w:r/>
            <w:r>
              <w:rPr>
                <w:sz w:val="15"/>
              </w:rPr>
              <w:t>16.76%</w:t>
            </w:r>
          </w:p>
        </w:tc>
        <w:tc>
          <w:tcPr>
            <w:tcW w:type="dxa" w:w="1169"/>
            <w:tcMar>
              <w:top w:w="70" w:type="dxa"/>
              <w:start w:w="85" w:type="dxa"/>
              <w:bottom w:w="70" w:type="dxa"/>
              <w:end w:w="85" w:type="dxa"/>
            </w:tcMar>
            <w:vAlign w:val="center"/>
          </w:tcPr>
          <w:p>
            <w:pPr>
              <w:spacing w:before="0" w:after="0" w:line="240" w:lineRule="auto"/>
            </w:pPr>
            <w:r/>
            <w:r>
              <w:rPr>
                <w:sz w:val="15"/>
              </w:rPr>
              <w:t>13.39%</w:t>
            </w:r>
          </w:p>
        </w:tc>
        <w:tc>
          <w:tcPr>
            <w:tcW w:type="dxa" w:w="1169"/>
            <w:tcMar>
              <w:top w:w="70" w:type="dxa"/>
              <w:start w:w="85" w:type="dxa"/>
              <w:bottom w:w="70" w:type="dxa"/>
              <w:end w:w="85" w:type="dxa"/>
            </w:tcMar>
            <w:vAlign w:val="center"/>
          </w:tcPr>
          <w:p>
            <w:pPr>
              <w:spacing w:before="0" w:after="0" w:line="240" w:lineRule="auto"/>
            </w:pPr>
            <w:r/>
            <w:r>
              <w:rPr>
                <w:sz w:val="15"/>
              </w:rPr>
              <w:t>1.10 pp</w:t>
            </w:r>
          </w:p>
        </w:tc>
        <w:tc>
          <w:tcPr>
            <w:tcW w:type="dxa" w:w="1169"/>
            <w:tcMar>
              <w:top w:w="70" w:type="dxa"/>
              <w:start w:w="85" w:type="dxa"/>
              <w:bottom w:w="70" w:type="dxa"/>
              <w:end w:w="85" w:type="dxa"/>
            </w:tcMar>
            <w:vAlign w:val="center"/>
          </w:tcPr>
          <w:p>
            <w:pPr>
              <w:spacing w:before="0" w:after="0" w:line="240" w:lineRule="auto"/>
            </w:pPr>
            <w:r/>
            <w:r>
              <w:rPr>
                <w:sz w:val="15"/>
              </w:rPr>
              <w:t>10.03%</w:t>
            </w:r>
          </w:p>
        </w:tc>
        <w:tc>
          <w:tcPr>
            <w:tcW w:type="dxa" w:w="1169"/>
            <w:tcMar>
              <w:top w:w="70" w:type="dxa"/>
              <w:start w:w="85" w:type="dxa"/>
              <w:bottom w:w="70" w:type="dxa"/>
              <w:end w:w="85" w:type="dxa"/>
            </w:tcMar>
            <w:vAlign w:val="center"/>
          </w:tcPr>
          <w:p>
            <w:pPr>
              <w:spacing w:before="0" w:after="0" w:line="240" w:lineRule="auto"/>
            </w:pPr>
            <w:r/>
            <w:r>
              <w:rPr>
                <w:sz w:val="15"/>
              </w:rPr>
              <w:t>−2.26 pp</w:t>
            </w:r>
          </w:p>
        </w:tc>
        <w:tc>
          <w:tcPr>
            <w:tcW w:type="dxa" w:w="1169"/>
            <w:tcMar>
              <w:top w:w="70" w:type="dxa"/>
              <w:start w:w="85" w:type="dxa"/>
              <w:bottom w:w="70" w:type="dxa"/>
              <w:end w:w="85" w:type="dxa"/>
            </w:tcMar>
            <w:vAlign w:val="center"/>
          </w:tcPr>
          <w:p>
            <w:pPr>
              <w:spacing w:before="0" w:after="0" w:line="240" w:lineRule="auto"/>
            </w:pPr>
            <w:r/>
            <w:r>
              <w:rPr>
                <w:sz w:val="15"/>
              </w:rPr>
              <w:t>−25.98%</w:t>
            </w:r>
          </w:p>
        </w:tc>
        <w:tc>
          <w:tcPr>
            <w:tcW w:type="dxa" w:w="1169"/>
            <w:tcMar>
              <w:top w:w="70" w:type="dxa"/>
              <w:start w:w="85" w:type="dxa"/>
              <w:bottom w:w="70" w:type="dxa"/>
              <w:end w:w="85" w:type="dxa"/>
            </w:tcMar>
            <w:vAlign w:val="center"/>
          </w:tcPr>
          <w:p>
            <w:pPr>
              <w:spacing w:before="0" w:after="0" w:line="240" w:lineRule="auto"/>
            </w:pPr>
            <w:r/>
            <w:r>
              <w:rPr>
                <w:sz w:val="15"/>
              </w:rPr>
              <w:t>6.98%</w:t>
            </w:r>
          </w:p>
        </w:tc>
        <w:tc>
          <w:tcPr>
            <w:tcW w:type="dxa" w:w="1169"/>
            <w:tcMar>
              <w:top w:w="70" w:type="dxa"/>
              <w:start w:w="85" w:type="dxa"/>
              <w:bottom w:w="70" w:type="dxa"/>
              <w:end w:w="85" w:type="dxa"/>
            </w:tcMar>
            <w:vAlign w:val="center"/>
          </w:tcPr>
          <w:p>
            <w:pPr>
              <w:spacing w:before="0" w:after="0" w:line="240" w:lineRule="auto"/>
            </w:pPr>
            <w:r/>
            <w:r>
              <w:rPr>
                <w:sz w:val="15"/>
              </w:rPr>
              <w:t>13.18×</w:t>
            </w:r>
          </w:p>
        </w:tc>
        <w:tc>
          <w:tcPr>
            <w:tcW w:type="dxa" w:w="1169"/>
            <w:tcMar>
              <w:top w:w="70" w:type="dxa"/>
              <w:start w:w="85" w:type="dxa"/>
              <w:bottom w:w="70" w:type="dxa"/>
              <w:end w:w="85" w:type="dxa"/>
            </w:tcMar>
            <w:vAlign w:val="center"/>
          </w:tcPr>
          <w:p>
            <w:pPr>
              <w:spacing w:before="0" w:after="0" w:line="240" w:lineRule="auto"/>
            </w:pPr>
            <w:r/>
            <w:r>
              <w:rPr>
                <w:sz w:val="15"/>
              </w:rPr>
              <w:t>3.37 pp</w:t>
            </w:r>
          </w:p>
        </w:tc>
        <w:tc>
          <w:tcPr>
            <w:tcW w:type="dxa" w:w="1169"/>
            <w:tcMar>
              <w:top w:w="70" w:type="dxa"/>
              <w:start w:w="85" w:type="dxa"/>
              <w:bottom w:w="70" w:type="dxa"/>
              <w:end w:w="85" w:type="dxa"/>
            </w:tcMar>
            <w:vAlign w:val="center"/>
          </w:tcPr>
          <w:p>
            <w:pPr>
              <w:spacing w:before="0" w:after="0" w:line="240" w:lineRule="auto"/>
            </w:pPr>
            <w:r/>
            <w:r>
              <w:rPr>
                <w:sz w:val="15"/>
              </w:rPr>
              <w:t>57.54</w:t>
            </w:r>
          </w:p>
        </w:tc>
        <w:tc>
          <w:tcPr>
            <w:tcW w:type="dxa" w:w="1169"/>
            <w:tcMar>
              <w:top w:w="70" w:type="dxa"/>
              <w:start w:w="85" w:type="dxa"/>
              <w:bottom w:w="70" w:type="dxa"/>
              <w:end w:w="85" w:type="dxa"/>
            </w:tcMar>
            <w:vAlign w:val="center"/>
          </w:tcPr>
          <w:p>
            <w:pPr>
              <w:spacing w:before="0" w:after="0" w:line="240" w:lineRule="auto"/>
            </w:pPr>
            <w:r/>
            <w:r>
              <w:rPr>
                <w:sz w:val="15"/>
              </w:rPr>
              <w:t>17.48%</w:t>
            </w:r>
          </w:p>
        </w:tc>
        <w:tc>
          <w:tcPr>
            <w:tcW w:type="dxa" w:w="1169"/>
            <w:tcMar>
              <w:top w:w="70" w:type="dxa"/>
              <w:start w:w="85" w:type="dxa"/>
              <w:bottom w:w="70" w:type="dxa"/>
              <w:end w:w="85" w:type="dxa"/>
            </w:tcMar>
            <w:vAlign w:val="center"/>
          </w:tcPr>
          <w:p>
            <w:pPr>
              <w:spacing w:before="0" w:after="0" w:line="240" w:lineRule="auto"/>
            </w:pPr>
            <w:r/>
            <w:r>
              <w:rPr>
                <w:sz w:val="15"/>
              </w:rPr>
              <w:t>2,800</w:t>
            </w:r>
          </w:p>
        </w:tc>
      </w:tr>
      <w:tr>
        <w:tc>
          <w:tcPr>
            <w:tcW w:type="dxa" w:w="1169"/>
            <w:tcMar>
              <w:top w:w="70" w:type="dxa"/>
              <w:start w:w="85" w:type="dxa"/>
              <w:bottom w:w="70" w:type="dxa"/>
              <w:end w:w="85" w:type="dxa"/>
            </w:tcMar>
            <w:vAlign w:val="center"/>
          </w:tcPr>
          <w:p>
            <w:pPr>
              <w:spacing w:before="0" w:after="0" w:line="240" w:lineRule="auto"/>
            </w:pPr>
            <w:r/>
            <w:r>
              <w:rPr>
                <w:b/>
                <w:sz w:val="15"/>
              </w:rPr>
              <w:t>Monthly</w:t>
            </w:r>
          </w:p>
        </w:tc>
        <w:tc>
          <w:tcPr>
            <w:tcW w:type="dxa" w:w="1169"/>
            <w:tcMar>
              <w:top w:w="70" w:type="dxa"/>
              <w:start w:w="85" w:type="dxa"/>
              <w:bottom w:w="70" w:type="dxa"/>
              <w:end w:w="85" w:type="dxa"/>
            </w:tcMar>
            <w:vAlign w:val="center"/>
          </w:tcPr>
          <w:p>
            <w:pPr>
              <w:spacing w:before="0" w:after="0" w:line="240" w:lineRule="auto"/>
            </w:pPr>
            <w:r/>
            <w:r>
              <w:rPr>
                <w:sz w:val="15"/>
              </w:rPr>
              <w:t>14.48%</w:t>
            </w:r>
          </w:p>
        </w:tc>
        <w:tc>
          <w:tcPr>
            <w:tcW w:type="dxa" w:w="1169"/>
            <w:tcMar>
              <w:top w:w="70" w:type="dxa"/>
              <w:start w:w="85" w:type="dxa"/>
              <w:bottom w:w="70" w:type="dxa"/>
              <w:end w:w="85" w:type="dxa"/>
            </w:tcMar>
            <w:vAlign w:val="center"/>
          </w:tcPr>
          <w:p>
            <w:pPr>
              <w:spacing w:before="0" w:after="0" w:line="240" w:lineRule="auto"/>
            </w:pPr>
            <w:r/>
            <w:r>
              <w:rPr>
                <w:b/>
                <w:sz w:val="15"/>
              </w:rPr>
              <w:t>13.14%</w:t>
            </w:r>
          </w:p>
        </w:tc>
        <w:tc>
          <w:tcPr>
            <w:tcW w:type="dxa" w:w="1169"/>
            <w:tcMar>
              <w:top w:w="70" w:type="dxa"/>
              <w:start w:w="85" w:type="dxa"/>
              <w:bottom w:w="70" w:type="dxa"/>
              <w:end w:w="85" w:type="dxa"/>
            </w:tcMar>
            <w:vAlign w:val="center"/>
          </w:tcPr>
          <w:p>
            <w:pPr>
              <w:spacing w:before="0" w:after="0" w:line="240" w:lineRule="auto"/>
            </w:pPr>
            <w:r/>
            <w:r>
              <w:rPr>
                <w:b/>
                <w:sz w:val="15"/>
              </w:rPr>
              <w:t>1.61 pp</w:t>
            </w:r>
          </w:p>
        </w:tc>
        <w:tc>
          <w:tcPr>
            <w:tcW w:type="dxa" w:w="1169"/>
            <w:tcMar>
              <w:top w:w="70" w:type="dxa"/>
              <w:start w:w="85" w:type="dxa"/>
              <w:bottom w:w="70" w:type="dxa"/>
              <w:end w:w="85" w:type="dxa"/>
            </w:tcMar>
            <w:vAlign w:val="center"/>
          </w:tcPr>
          <w:p>
            <w:pPr>
              <w:spacing w:before="0" w:after="0" w:line="240" w:lineRule="auto"/>
            </w:pPr>
            <w:r/>
            <w:r>
              <w:rPr>
                <w:b/>
                <w:sz w:val="15"/>
              </w:rPr>
              <w:t>11.80%</w:t>
            </w:r>
          </w:p>
        </w:tc>
        <w:tc>
          <w:tcPr>
            <w:tcW w:type="dxa" w:w="1169"/>
            <w:tcMar>
              <w:top w:w="70" w:type="dxa"/>
              <w:start w:w="85" w:type="dxa"/>
              <w:bottom w:w="70" w:type="dxa"/>
              <w:end w:w="85" w:type="dxa"/>
            </w:tcMar>
            <w:vAlign w:val="center"/>
          </w:tcPr>
          <w:p>
            <w:pPr>
              <w:spacing w:before="0" w:after="0" w:line="240" w:lineRule="auto"/>
            </w:pPr>
            <w:r/>
            <w:r>
              <w:rPr>
                <w:b/>
                <w:sz w:val="15"/>
              </w:rPr>
              <w:t>0.27 pp</w:t>
            </w:r>
          </w:p>
        </w:tc>
        <w:tc>
          <w:tcPr>
            <w:tcW w:type="dxa" w:w="1169"/>
            <w:tcMar>
              <w:top w:w="70" w:type="dxa"/>
              <w:start w:w="85" w:type="dxa"/>
              <w:bottom w:w="70" w:type="dxa"/>
              <w:end w:w="85" w:type="dxa"/>
            </w:tcMar>
            <w:vAlign w:val="center"/>
          </w:tcPr>
          <w:p>
            <w:pPr>
              <w:spacing w:before="0" w:after="0" w:line="240" w:lineRule="auto"/>
            </w:pPr>
            <w:r/>
            <w:r>
              <w:rPr>
                <w:b/>
                <w:sz w:val="15"/>
              </w:rPr>
              <w:t>−23.53%</w:t>
            </w:r>
          </w:p>
        </w:tc>
        <w:tc>
          <w:tcPr>
            <w:tcW w:type="dxa" w:w="1169"/>
            <w:tcMar>
              <w:top w:w="70" w:type="dxa"/>
              <w:start w:w="85" w:type="dxa"/>
              <w:bottom w:w="70" w:type="dxa"/>
              <w:end w:w="85" w:type="dxa"/>
            </w:tcMar>
            <w:vAlign w:val="center"/>
          </w:tcPr>
          <w:p>
            <w:pPr>
              <w:spacing w:before="0" w:after="0" w:line="240" w:lineRule="auto"/>
            </w:pPr>
            <w:r/>
            <w:r>
              <w:rPr>
                <w:sz w:val="15"/>
              </w:rPr>
              <w:t>8.20%</w:t>
            </w:r>
          </w:p>
        </w:tc>
        <w:tc>
          <w:tcPr>
            <w:tcW w:type="dxa" w:w="1169"/>
            <w:tcMar>
              <w:top w:w="70" w:type="dxa"/>
              <w:start w:w="85" w:type="dxa"/>
              <w:bottom w:w="70" w:type="dxa"/>
              <w:end w:w="85" w:type="dxa"/>
            </w:tcMar>
            <w:vAlign w:val="center"/>
          </w:tcPr>
          <w:p>
            <w:pPr>
              <w:spacing w:before="0" w:after="0" w:line="240" w:lineRule="auto"/>
            </w:pPr>
            <w:r/>
            <w:r>
              <w:rPr>
                <w:b/>
                <w:sz w:val="15"/>
              </w:rPr>
              <w:t>5.52×</w:t>
            </w:r>
          </w:p>
        </w:tc>
        <w:tc>
          <w:tcPr>
            <w:tcW w:type="dxa" w:w="1169"/>
            <w:tcMar>
              <w:top w:w="70" w:type="dxa"/>
              <w:start w:w="85" w:type="dxa"/>
              <w:bottom w:w="70" w:type="dxa"/>
              <w:end w:w="85" w:type="dxa"/>
            </w:tcMar>
            <w:vAlign w:val="center"/>
          </w:tcPr>
          <w:p>
            <w:pPr>
              <w:spacing w:before="0" w:after="0" w:line="240" w:lineRule="auto"/>
            </w:pPr>
            <w:r/>
            <w:r>
              <w:rPr>
                <w:b/>
                <w:sz w:val="15"/>
              </w:rPr>
              <w:t>1.34 pp</w:t>
            </w:r>
          </w:p>
        </w:tc>
        <w:tc>
          <w:tcPr>
            <w:tcW w:type="dxa" w:w="1169"/>
            <w:tcMar>
              <w:top w:w="70" w:type="dxa"/>
              <w:start w:w="85" w:type="dxa"/>
              <w:bottom w:w="70" w:type="dxa"/>
              <w:end w:w="85" w:type="dxa"/>
            </w:tcMar>
            <w:vAlign w:val="center"/>
          </w:tcPr>
          <w:p>
            <w:pPr>
              <w:spacing w:before="0" w:after="0" w:line="240" w:lineRule="auto"/>
            </w:pPr>
            <w:r/>
            <w:r>
              <w:rPr>
                <w:b/>
                <w:sz w:val="15"/>
              </w:rPr>
              <w:t>134.38</w:t>
            </w:r>
          </w:p>
        </w:tc>
        <w:tc>
          <w:tcPr>
            <w:tcW w:type="dxa" w:w="1169"/>
            <w:tcMar>
              <w:top w:w="70" w:type="dxa"/>
              <w:start w:w="85" w:type="dxa"/>
              <w:bottom w:w="70" w:type="dxa"/>
              <w:end w:w="85" w:type="dxa"/>
            </w:tcMar>
            <w:vAlign w:val="center"/>
          </w:tcPr>
          <w:p>
            <w:pPr>
              <w:spacing w:before="0" w:after="0" w:line="240" w:lineRule="auto"/>
            </w:pPr>
            <w:r/>
            <w:r>
              <w:rPr>
                <w:sz w:val="15"/>
              </w:rPr>
              <w:t>25.22%</w:t>
            </w:r>
          </w:p>
        </w:tc>
        <w:tc>
          <w:tcPr>
            <w:tcW w:type="dxa" w:w="1169"/>
            <w:tcMar>
              <w:top w:w="70" w:type="dxa"/>
              <w:start w:w="85" w:type="dxa"/>
              <w:bottom w:w="70" w:type="dxa"/>
              <w:end w:w="85" w:type="dxa"/>
            </w:tcMar>
            <w:vAlign w:val="center"/>
          </w:tcPr>
          <w:p>
            <w:pPr>
              <w:spacing w:before="0" w:after="0" w:line="240" w:lineRule="auto"/>
            </w:pPr>
            <w:r/>
            <w:r>
              <w:rPr>
                <w:b/>
                <w:sz w:val="15"/>
              </w:rPr>
              <w:t>865</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Sample: 2017-03-01–2026-08-21. M2 TOP7 CASH0 equal weight; net metrics use 20 bps one-way plus fixed fee; doubled-cost metrics use 40 bps one-way. Internal sources [FREQ-DAILY], [FREQ-WEEKLY], [FREQ-MONTHLY]: </w:t>
      </w:r>
      <w:r>
        <w:rPr>
          <w:rFonts w:ascii="Consolas" w:hAnsi="Consolas"/>
          <w:color w:val="1F4D78"/>
          <w:sz w:val="16"/>
        </w:rPr>
        <w:t>UKACTIVE_A4D_FREQUENCY_RESULTS.csv</w:t>
      </w:r>
      <w:r>
        <w:rPr>
          <w:sz w:val="16"/>
        </w:rPr>
        <w:t xml:space="preserve">, A4D commit </w:t>
      </w:r>
      <w:r>
        <w:rPr>
          <w:rFonts w:ascii="Consolas" w:hAnsi="Consolas"/>
          <w:color w:val="1F4D78"/>
          <w:sz w:val="16"/>
        </w:rPr>
        <w:t>f411e0d</w:t>
      </w:r>
      <w:r>
        <w:rPr>
          <w:sz w:val="16"/>
        </w:rPr>
        <w:t>.</w:t>
      </w:r>
    </w:p>
    <w:p>
      <w:pPr>
        <w:keepNext/>
        <w:jc w:val="center"/>
      </w:pPr>
      <w:r>
        <w:drawing>
          <wp:inline xmlns:a="http://schemas.openxmlformats.org/drawingml/2006/main" xmlns:pic="http://schemas.openxmlformats.org/drawingml/2006/picture">
            <wp:extent cx="5806440" cy="2912770"/>
            <wp:docPr id="4" name="Picture 4"/>
            <wp:cNvGraphicFramePr>
              <a:graphicFrameLocks noChangeAspect="1"/>
            </wp:cNvGraphicFramePr>
            <a:graphic>
              <a:graphicData uri="http://schemas.openxmlformats.org/drawingml/2006/picture">
                <pic:pic>
                  <pic:nvPicPr>
                    <pic:cNvPr id="0" name="FIGURE_04_FREQUENCY_TURNOVER_COST.png"/>
                    <pic:cNvPicPr/>
                  </pic:nvPicPr>
                  <pic:blipFill>
                    <a:blip r:embed="rId14"/>
                    <a:stretch>
                      <a:fillRect/>
                    </a:stretch>
                  </pic:blipFill>
                  <pic:spPr>
                    <a:xfrm>
                      <a:off x="0" y="0"/>
                      <a:ext cx="5806440" cy="2912770"/>
                    </a:xfrm>
                    <a:prstGeom prst="rect"/>
                  </pic:spPr>
                </pic:pic>
              </a:graphicData>
            </a:graphic>
          </wp:inline>
        </w:drawing>
      </w:r>
    </w:p>
    <w:p>
      <w:pPr>
        <w:pStyle w:val="FigureCaptionUKACTIVE"/>
      </w:pPr>
      <w:r>
        <w:rPr>
          <w:b/>
          <w:sz w:val="18"/>
        </w:rPr>
        <w:t>Figure 4.</w:t>
      </w:r>
      <w:r>
        <w:rPr>
          <w:sz w:val="18"/>
        </w:rPr>
        <w:t xml:space="preserve"> Higher review frequency increased gross responsiveness but also replacement opportunities, trade legs and proportional friction. The monthly choice was based on the joint after-cost profile, not merely its raw return.</w:t>
      </w:r>
    </w:p>
    <w:p>
      <w:r>
        <w:t>Weekly's baseline net CAGR was 0.26 pp above monthly, but its MDD was 2.45 pp deeper and its turnover more than twice as large. Under doubled costs its excess versus the equal pool reversed to −2.26 pp, whereas monthly retained +0.27 pp. Daily was dominated by noise and trading intensity. Monthly was thus the most defensible operating frequency even though it did not maximise every metric.</w:t>
      </w:r>
    </w:p>
    <w:p>
      <w:pPr>
        <w:pStyle w:val="Heading1"/>
      </w:pPr>
      <w:r>
        <w:t>16. Cash and defensive-overlay tests</w:t>
      </w:r>
    </w:p>
    <w:p>
      <w:r>
        <w:t>A4D tested five architectures. CASH0 always invested the selected risky families. CASH1 admitted cash family by family using a 252-session relative-to-cash rule. CASH2 used pool breadth, CASH3 required global confirmation, and CASH4 combined defensive conditions. The exact definitions are reproduced in the supplement; Table 9 reports the central outcomes.</w:t>
      </w:r>
    </w:p>
    <w:p>
      <w:pPr>
        <w:sectPr>
          <w:pgSz w:w="11906" w:h="16838"/>
          <w:pgMar w:top="992" w:right="1077" w:bottom="935" w:left="1077" w:header="425" w:footer="425" w:gutter="0"/>
          <w:cols w:space="720"/>
          <w:docGrid w:linePitch="360"/>
        </w:sectPr>
      </w:pPr>
    </w:p>
    <w:p>
      <w:pPr>
        <w:keepNext/>
        <w:spacing w:before="160" w:after="80"/>
      </w:pPr>
      <w:r>
        <w:rPr>
          <w:b/>
        </w:rPr>
        <w:t>Table 9. Cash and defensive architectures</w:t>
      </w:r>
    </w:p>
    <w:tbl>
      <w:tblPr>
        <w:tblStyle w:val="TableGrid"/>
        <w:tblW w:type="auto" w:w="0"/>
        <w:jc w:val="center"/>
        <w:tblLayout w:type="autofit"/>
        <w:tblLook w:firstColumn="1" w:firstRow="1" w:lastColumn="0" w:lastRow="0" w:noHBand="0" w:noVBand="1" w:val="04A0"/>
      </w:tblPr>
      <w:tblGrid>
        <w:gridCol w:w="1519"/>
        <w:gridCol w:w="1519"/>
        <w:gridCol w:w="1519"/>
        <w:gridCol w:w="1519"/>
        <w:gridCol w:w="1519"/>
        <w:gridCol w:w="1519"/>
        <w:gridCol w:w="1519"/>
        <w:gridCol w:w="1519"/>
        <w:gridCol w:w="1519"/>
        <w:gridCol w:w="1519"/>
      </w:tblGrid>
      <w:tr>
        <w:trPr>
          <w:tblHeader w:val="true"/>
        </w:trPr>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Rule</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net CAGR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excess vs pool</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MDD</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Ulcer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Full Calmar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Avg cash weight</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Latest-5y net CAGR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Latest-5y excess vs pool</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Latest-5y MDD</w:t>
            </w:r>
          </w:p>
        </w:tc>
      </w:tr>
      <w:tr>
        <w:tc>
          <w:tcPr>
            <w:tcW w:type="dxa" w:w="1519"/>
            <w:tcMar>
              <w:top w:w="70" w:type="dxa"/>
              <w:start w:w="85" w:type="dxa"/>
              <w:bottom w:w="70" w:type="dxa"/>
              <w:end w:w="85" w:type="dxa"/>
            </w:tcMar>
            <w:vAlign w:val="center"/>
          </w:tcPr>
          <w:p>
            <w:pPr>
              <w:spacing w:before="0" w:after="0" w:line="240" w:lineRule="auto"/>
            </w:pPr>
            <w:r/>
            <w:r>
              <w:rPr>
                <w:b/>
                <w:sz w:val="15"/>
              </w:rPr>
              <w:t>CASH0 always invested</w:t>
            </w:r>
          </w:p>
        </w:tc>
        <w:tc>
          <w:tcPr>
            <w:tcW w:type="dxa" w:w="1519"/>
            <w:tcMar>
              <w:top w:w="70" w:type="dxa"/>
              <w:start w:w="85" w:type="dxa"/>
              <w:bottom w:w="70" w:type="dxa"/>
              <w:end w:w="85" w:type="dxa"/>
            </w:tcMar>
            <w:vAlign w:val="center"/>
          </w:tcPr>
          <w:p>
            <w:pPr>
              <w:spacing w:before="0" w:after="0" w:line="240" w:lineRule="auto"/>
            </w:pPr>
            <w:r/>
            <w:r>
              <w:rPr>
                <w:b/>
                <w:sz w:val="15"/>
              </w:rPr>
              <w:t>13.14%</w:t>
            </w:r>
          </w:p>
        </w:tc>
        <w:tc>
          <w:tcPr>
            <w:tcW w:type="dxa" w:w="1519"/>
            <w:tcMar>
              <w:top w:w="70" w:type="dxa"/>
              <w:start w:w="85" w:type="dxa"/>
              <w:bottom w:w="70" w:type="dxa"/>
              <w:end w:w="85" w:type="dxa"/>
            </w:tcMar>
            <w:vAlign w:val="center"/>
          </w:tcPr>
          <w:p>
            <w:pPr>
              <w:spacing w:before="0" w:after="0" w:line="240" w:lineRule="auto"/>
            </w:pPr>
            <w:r/>
            <w:r>
              <w:rPr>
                <w:b/>
                <w:sz w:val="15"/>
              </w:rPr>
              <w:t>1.61 pp</w:t>
            </w:r>
          </w:p>
        </w:tc>
        <w:tc>
          <w:tcPr>
            <w:tcW w:type="dxa" w:w="1519"/>
            <w:tcMar>
              <w:top w:w="70" w:type="dxa"/>
              <w:start w:w="85" w:type="dxa"/>
              <w:bottom w:w="70" w:type="dxa"/>
              <w:end w:w="85" w:type="dxa"/>
            </w:tcMar>
            <w:vAlign w:val="center"/>
          </w:tcPr>
          <w:p>
            <w:pPr>
              <w:spacing w:before="0" w:after="0" w:line="240" w:lineRule="auto"/>
            </w:pPr>
            <w:r/>
            <w:r>
              <w:rPr>
                <w:b/>
                <w:sz w:val="15"/>
              </w:rPr>
              <w:t>−23.53%</w:t>
            </w:r>
          </w:p>
        </w:tc>
        <w:tc>
          <w:tcPr>
            <w:tcW w:type="dxa" w:w="1519"/>
            <w:tcMar>
              <w:top w:w="70" w:type="dxa"/>
              <w:start w:w="85" w:type="dxa"/>
              <w:bottom w:w="70" w:type="dxa"/>
              <w:end w:w="85" w:type="dxa"/>
            </w:tcMar>
            <w:vAlign w:val="center"/>
          </w:tcPr>
          <w:p>
            <w:pPr>
              <w:spacing w:before="0" w:after="0" w:line="240" w:lineRule="auto"/>
            </w:pPr>
            <w:r/>
            <w:r>
              <w:rPr>
                <w:b/>
                <w:sz w:val="15"/>
              </w:rPr>
              <w:t>8.20%</w:t>
            </w:r>
          </w:p>
        </w:tc>
        <w:tc>
          <w:tcPr>
            <w:tcW w:type="dxa" w:w="1519"/>
            <w:tcMar>
              <w:top w:w="70" w:type="dxa"/>
              <w:start w:w="85" w:type="dxa"/>
              <w:bottom w:w="70" w:type="dxa"/>
              <w:end w:w="85" w:type="dxa"/>
            </w:tcMar>
            <w:vAlign w:val="center"/>
          </w:tcPr>
          <w:p>
            <w:pPr>
              <w:spacing w:before="0" w:after="0" w:line="240" w:lineRule="auto"/>
            </w:pPr>
            <w:r/>
            <w:r>
              <w:rPr>
                <w:b/>
                <w:sz w:val="15"/>
              </w:rPr>
              <w:t>0.56</w:t>
            </w:r>
          </w:p>
        </w:tc>
        <w:tc>
          <w:tcPr>
            <w:tcW w:type="dxa" w:w="1519"/>
            <w:tcMar>
              <w:top w:w="70" w:type="dxa"/>
              <w:start w:w="85" w:type="dxa"/>
              <w:bottom w:w="70" w:type="dxa"/>
              <w:end w:w="85" w:type="dxa"/>
            </w:tcMar>
            <w:vAlign w:val="center"/>
          </w:tcPr>
          <w:p>
            <w:pPr>
              <w:spacing w:before="0" w:after="0" w:line="240" w:lineRule="auto"/>
            </w:pPr>
            <w:r/>
            <w:r>
              <w:rPr>
                <w:b/>
                <w:sz w:val="15"/>
              </w:rPr>
              <w:t>0.00%</w:t>
            </w:r>
          </w:p>
        </w:tc>
        <w:tc>
          <w:tcPr>
            <w:tcW w:type="dxa" w:w="1519"/>
            <w:tcMar>
              <w:top w:w="70" w:type="dxa"/>
              <w:start w:w="85" w:type="dxa"/>
              <w:bottom w:w="70" w:type="dxa"/>
              <w:end w:w="85" w:type="dxa"/>
            </w:tcMar>
            <w:vAlign w:val="center"/>
          </w:tcPr>
          <w:p>
            <w:pPr>
              <w:spacing w:before="0" w:after="0" w:line="240" w:lineRule="auto"/>
            </w:pPr>
            <w:r/>
            <w:r>
              <w:rPr>
                <w:b/>
                <w:sz w:val="15"/>
              </w:rPr>
              <w:t>13.62%</w:t>
            </w:r>
          </w:p>
        </w:tc>
        <w:tc>
          <w:tcPr>
            <w:tcW w:type="dxa" w:w="1519"/>
            <w:tcMar>
              <w:top w:w="70" w:type="dxa"/>
              <w:start w:w="85" w:type="dxa"/>
              <w:bottom w:w="70" w:type="dxa"/>
              <w:end w:w="85" w:type="dxa"/>
            </w:tcMar>
            <w:vAlign w:val="center"/>
          </w:tcPr>
          <w:p>
            <w:pPr>
              <w:spacing w:before="0" w:after="0" w:line="240" w:lineRule="auto"/>
            </w:pPr>
            <w:r/>
            <w:r>
              <w:rPr>
                <w:b/>
                <w:sz w:val="15"/>
              </w:rPr>
              <w:t>2.63 pp</w:t>
            </w:r>
          </w:p>
        </w:tc>
        <w:tc>
          <w:tcPr>
            <w:tcW w:type="dxa" w:w="1519"/>
            <w:tcMar>
              <w:top w:w="70" w:type="dxa"/>
              <w:start w:w="85" w:type="dxa"/>
              <w:bottom w:w="70" w:type="dxa"/>
              <w:end w:w="85" w:type="dxa"/>
            </w:tcMar>
            <w:vAlign w:val="center"/>
          </w:tcPr>
          <w:p>
            <w:pPr>
              <w:spacing w:before="0" w:after="0" w:line="240" w:lineRule="auto"/>
            </w:pPr>
            <w:r/>
            <w:r>
              <w:rPr>
                <w:sz w:val="15"/>
              </w:rPr>
              <w:t>−22.34%</w:t>
            </w:r>
          </w:p>
        </w:tc>
      </w:tr>
      <w:tr>
        <w:tc>
          <w:tcPr>
            <w:tcW w:type="dxa" w:w="1519"/>
            <w:tcMar>
              <w:top w:w="70" w:type="dxa"/>
              <w:start w:w="85" w:type="dxa"/>
              <w:bottom w:w="70" w:type="dxa"/>
              <w:end w:w="85" w:type="dxa"/>
            </w:tcMar>
            <w:vAlign w:val="center"/>
          </w:tcPr>
          <w:p>
            <w:pPr>
              <w:spacing w:before="0" w:after="0" w:line="240" w:lineRule="auto"/>
            </w:pPr>
            <w:r/>
            <w:r>
              <w:rPr>
                <w:sz w:val="15"/>
              </w:rPr>
              <w:t>CASH1 individual above cash</w:t>
            </w:r>
          </w:p>
        </w:tc>
        <w:tc>
          <w:tcPr>
            <w:tcW w:type="dxa" w:w="1519"/>
            <w:tcMar>
              <w:top w:w="70" w:type="dxa"/>
              <w:start w:w="85" w:type="dxa"/>
              <w:bottom w:w="70" w:type="dxa"/>
              <w:end w:w="85" w:type="dxa"/>
            </w:tcMar>
            <w:vAlign w:val="center"/>
          </w:tcPr>
          <w:p>
            <w:pPr>
              <w:spacing w:before="0" w:after="0" w:line="240" w:lineRule="auto"/>
            </w:pPr>
            <w:r/>
            <w:r>
              <w:rPr>
                <w:sz w:val="15"/>
              </w:rPr>
              <w:t>9.53%</w:t>
            </w:r>
          </w:p>
        </w:tc>
        <w:tc>
          <w:tcPr>
            <w:tcW w:type="dxa" w:w="1519"/>
            <w:tcMar>
              <w:top w:w="70" w:type="dxa"/>
              <w:start w:w="85" w:type="dxa"/>
              <w:bottom w:w="70" w:type="dxa"/>
              <w:end w:w="85" w:type="dxa"/>
            </w:tcMar>
            <w:vAlign w:val="center"/>
          </w:tcPr>
          <w:p>
            <w:pPr>
              <w:spacing w:before="0" w:after="0" w:line="240" w:lineRule="auto"/>
            </w:pPr>
            <w:r/>
            <w:r>
              <w:rPr>
                <w:sz w:val="15"/>
              </w:rPr>
              <w:t>−2.00 pp</w:t>
            </w:r>
          </w:p>
        </w:tc>
        <w:tc>
          <w:tcPr>
            <w:tcW w:type="dxa" w:w="1519"/>
            <w:tcMar>
              <w:top w:w="70" w:type="dxa"/>
              <w:start w:w="85" w:type="dxa"/>
              <w:bottom w:w="70" w:type="dxa"/>
              <w:end w:w="85" w:type="dxa"/>
            </w:tcMar>
            <w:vAlign w:val="center"/>
          </w:tcPr>
          <w:p>
            <w:pPr>
              <w:spacing w:before="0" w:after="0" w:line="240" w:lineRule="auto"/>
            </w:pPr>
            <w:r/>
            <w:r>
              <w:rPr>
                <w:sz w:val="15"/>
              </w:rPr>
              <w:t>−27.16%</w:t>
            </w:r>
          </w:p>
        </w:tc>
        <w:tc>
          <w:tcPr>
            <w:tcW w:type="dxa" w:w="1519"/>
            <w:tcMar>
              <w:top w:w="70" w:type="dxa"/>
              <w:start w:w="85" w:type="dxa"/>
              <w:bottom w:w="70" w:type="dxa"/>
              <w:end w:w="85" w:type="dxa"/>
            </w:tcMar>
            <w:vAlign w:val="center"/>
          </w:tcPr>
          <w:p>
            <w:pPr>
              <w:spacing w:before="0" w:after="0" w:line="240" w:lineRule="auto"/>
            </w:pPr>
            <w:r/>
            <w:r>
              <w:rPr>
                <w:sz w:val="15"/>
              </w:rPr>
              <w:t>8.32%</w:t>
            </w:r>
          </w:p>
        </w:tc>
        <w:tc>
          <w:tcPr>
            <w:tcW w:type="dxa" w:w="1519"/>
            <w:tcMar>
              <w:top w:w="70" w:type="dxa"/>
              <w:start w:w="85" w:type="dxa"/>
              <w:bottom w:w="70" w:type="dxa"/>
              <w:end w:w="85" w:type="dxa"/>
            </w:tcMar>
            <w:vAlign w:val="center"/>
          </w:tcPr>
          <w:p>
            <w:pPr>
              <w:spacing w:before="0" w:after="0" w:line="240" w:lineRule="auto"/>
            </w:pPr>
            <w:r/>
            <w:r>
              <w:rPr>
                <w:sz w:val="15"/>
              </w:rPr>
              <w:t>0.35</w:t>
            </w:r>
          </w:p>
        </w:tc>
        <w:tc>
          <w:tcPr>
            <w:tcW w:type="dxa" w:w="1519"/>
            <w:tcMar>
              <w:top w:w="70" w:type="dxa"/>
              <w:start w:w="85" w:type="dxa"/>
              <w:bottom w:w="70" w:type="dxa"/>
              <w:end w:w="85" w:type="dxa"/>
            </w:tcMar>
            <w:vAlign w:val="center"/>
          </w:tcPr>
          <w:p>
            <w:pPr>
              <w:spacing w:before="0" w:after="0" w:line="240" w:lineRule="auto"/>
            </w:pPr>
            <w:r/>
            <w:r>
              <w:rPr>
                <w:sz w:val="15"/>
              </w:rPr>
              <w:t>17.54%</w:t>
            </w:r>
          </w:p>
        </w:tc>
        <w:tc>
          <w:tcPr>
            <w:tcW w:type="dxa" w:w="1519"/>
            <w:tcMar>
              <w:top w:w="70" w:type="dxa"/>
              <w:start w:w="85" w:type="dxa"/>
              <w:bottom w:w="70" w:type="dxa"/>
              <w:end w:w="85" w:type="dxa"/>
            </w:tcMar>
            <w:vAlign w:val="center"/>
          </w:tcPr>
          <w:p>
            <w:pPr>
              <w:spacing w:before="0" w:after="0" w:line="240" w:lineRule="auto"/>
            </w:pPr>
            <w:r/>
            <w:r>
              <w:rPr>
                <w:sz w:val="15"/>
              </w:rPr>
              <w:t>13.21%</w:t>
            </w:r>
          </w:p>
        </w:tc>
        <w:tc>
          <w:tcPr>
            <w:tcW w:type="dxa" w:w="1519"/>
            <w:tcMar>
              <w:top w:w="70" w:type="dxa"/>
              <w:start w:w="85" w:type="dxa"/>
              <w:bottom w:w="70" w:type="dxa"/>
              <w:end w:w="85" w:type="dxa"/>
            </w:tcMar>
            <w:vAlign w:val="center"/>
          </w:tcPr>
          <w:p>
            <w:pPr>
              <w:spacing w:before="0" w:after="0" w:line="240" w:lineRule="auto"/>
            </w:pPr>
            <w:r/>
            <w:r>
              <w:rPr>
                <w:sz w:val="15"/>
              </w:rPr>
              <w:t>2.22 pp</w:t>
            </w:r>
          </w:p>
        </w:tc>
        <w:tc>
          <w:tcPr>
            <w:tcW w:type="dxa" w:w="1519"/>
            <w:tcMar>
              <w:top w:w="70" w:type="dxa"/>
              <w:start w:w="85" w:type="dxa"/>
              <w:bottom w:w="70" w:type="dxa"/>
              <w:end w:w="85" w:type="dxa"/>
            </w:tcMar>
            <w:vAlign w:val="center"/>
          </w:tcPr>
          <w:p>
            <w:pPr>
              <w:spacing w:before="0" w:after="0" w:line="240" w:lineRule="auto"/>
            </w:pPr>
            <w:r/>
            <w:r>
              <w:rPr>
                <w:b/>
                <w:sz w:val="15"/>
              </w:rPr>
              <w:t>−18.92%</w:t>
            </w:r>
          </w:p>
        </w:tc>
      </w:tr>
      <w:tr>
        <w:tc>
          <w:tcPr>
            <w:tcW w:type="dxa" w:w="1519"/>
            <w:tcMar>
              <w:top w:w="70" w:type="dxa"/>
              <w:start w:w="85" w:type="dxa"/>
              <w:bottom w:w="70" w:type="dxa"/>
              <w:end w:w="85" w:type="dxa"/>
            </w:tcMar>
            <w:vAlign w:val="center"/>
          </w:tcPr>
          <w:p>
            <w:pPr>
              <w:spacing w:before="0" w:after="0" w:line="240" w:lineRule="auto"/>
            </w:pPr>
            <w:r/>
            <w:r>
              <w:rPr>
                <w:sz w:val="15"/>
              </w:rPr>
              <w:t>CASH2 breadth defence</w:t>
            </w:r>
          </w:p>
        </w:tc>
        <w:tc>
          <w:tcPr>
            <w:tcW w:type="dxa" w:w="1519"/>
            <w:tcMar>
              <w:top w:w="70" w:type="dxa"/>
              <w:start w:w="85" w:type="dxa"/>
              <w:bottom w:w="70" w:type="dxa"/>
              <w:end w:w="85" w:type="dxa"/>
            </w:tcMar>
            <w:vAlign w:val="center"/>
          </w:tcPr>
          <w:p>
            <w:pPr>
              <w:spacing w:before="0" w:after="0" w:line="240" w:lineRule="auto"/>
            </w:pPr>
            <w:r/>
            <w:r>
              <w:rPr>
                <w:sz w:val="15"/>
              </w:rPr>
              <w:t>6.96%</w:t>
            </w:r>
          </w:p>
        </w:tc>
        <w:tc>
          <w:tcPr>
            <w:tcW w:type="dxa" w:w="1519"/>
            <w:tcMar>
              <w:top w:w="70" w:type="dxa"/>
              <w:start w:w="85" w:type="dxa"/>
              <w:bottom w:w="70" w:type="dxa"/>
              <w:end w:w="85" w:type="dxa"/>
            </w:tcMar>
            <w:vAlign w:val="center"/>
          </w:tcPr>
          <w:p>
            <w:pPr>
              <w:spacing w:before="0" w:after="0" w:line="240" w:lineRule="auto"/>
            </w:pPr>
            <w:r/>
            <w:r>
              <w:rPr>
                <w:sz w:val="15"/>
              </w:rPr>
              <w:t>−4.57 pp</w:t>
            </w:r>
          </w:p>
        </w:tc>
        <w:tc>
          <w:tcPr>
            <w:tcW w:type="dxa" w:w="1519"/>
            <w:tcMar>
              <w:top w:w="70" w:type="dxa"/>
              <w:start w:w="85" w:type="dxa"/>
              <w:bottom w:w="70" w:type="dxa"/>
              <w:end w:w="85" w:type="dxa"/>
            </w:tcMar>
            <w:vAlign w:val="center"/>
          </w:tcPr>
          <w:p>
            <w:pPr>
              <w:spacing w:before="0" w:after="0" w:line="240" w:lineRule="auto"/>
            </w:pPr>
            <w:r/>
            <w:r>
              <w:rPr>
                <w:sz w:val="15"/>
              </w:rPr>
              <w:t>−32.18%</w:t>
            </w:r>
          </w:p>
        </w:tc>
        <w:tc>
          <w:tcPr>
            <w:tcW w:type="dxa" w:w="1519"/>
            <w:tcMar>
              <w:top w:w="70" w:type="dxa"/>
              <w:start w:w="85" w:type="dxa"/>
              <w:bottom w:w="70" w:type="dxa"/>
              <w:end w:w="85" w:type="dxa"/>
            </w:tcMar>
            <w:vAlign w:val="center"/>
          </w:tcPr>
          <w:p>
            <w:pPr>
              <w:spacing w:before="0" w:after="0" w:line="240" w:lineRule="auto"/>
            </w:pPr>
            <w:r/>
            <w:r>
              <w:rPr>
                <w:sz w:val="15"/>
              </w:rPr>
              <w:t>11.11%</w:t>
            </w:r>
          </w:p>
        </w:tc>
        <w:tc>
          <w:tcPr>
            <w:tcW w:type="dxa" w:w="1519"/>
            <w:tcMar>
              <w:top w:w="70" w:type="dxa"/>
              <w:start w:w="85" w:type="dxa"/>
              <w:bottom w:w="70" w:type="dxa"/>
              <w:end w:w="85" w:type="dxa"/>
            </w:tcMar>
            <w:vAlign w:val="center"/>
          </w:tcPr>
          <w:p>
            <w:pPr>
              <w:spacing w:before="0" w:after="0" w:line="240" w:lineRule="auto"/>
            </w:pPr>
            <w:r/>
            <w:r>
              <w:rPr>
                <w:sz w:val="15"/>
              </w:rPr>
              <w:t>0.22</w:t>
            </w:r>
          </w:p>
        </w:tc>
        <w:tc>
          <w:tcPr>
            <w:tcW w:type="dxa" w:w="1519"/>
            <w:tcMar>
              <w:top w:w="70" w:type="dxa"/>
              <w:start w:w="85" w:type="dxa"/>
              <w:bottom w:w="70" w:type="dxa"/>
              <w:end w:w="85" w:type="dxa"/>
            </w:tcMar>
            <w:vAlign w:val="center"/>
          </w:tcPr>
          <w:p>
            <w:pPr>
              <w:spacing w:before="0" w:after="0" w:line="240" w:lineRule="auto"/>
            </w:pPr>
            <w:r/>
            <w:r>
              <w:rPr>
                <w:sz w:val="15"/>
              </w:rPr>
              <w:t>28.63%</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r>
      <w:tr>
        <w:tc>
          <w:tcPr>
            <w:tcW w:type="dxa" w:w="1519"/>
            <w:tcMar>
              <w:top w:w="70" w:type="dxa"/>
              <w:start w:w="85" w:type="dxa"/>
              <w:bottom w:w="70" w:type="dxa"/>
              <w:end w:w="85" w:type="dxa"/>
            </w:tcMar>
            <w:vAlign w:val="center"/>
          </w:tcPr>
          <w:p>
            <w:pPr>
              <w:spacing w:before="0" w:after="0" w:line="240" w:lineRule="auto"/>
            </w:pPr>
            <w:r/>
            <w:r>
              <w:rPr>
                <w:sz w:val="15"/>
              </w:rPr>
              <w:t>CASH3 global confirmation</w:t>
            </w:r>
          </w:p>
        </w:tc>
        <w:tc>
          <w:tcPr>
            <w:tcW w:type="dxa" w:w="1519"/>
            <w:tcMar>
              <w:top w:w="70" w:type="dxa"/>
              <w:start w:w="85" w:type="dxa"/>
              <w:bottom w:w="70" w:type="dxa"/>
              <w:end w:w="85" w:type="dxa"/>
            </w:tcMar>
            <w:vAlign w:val="center"/>
          </w:tcPr>
          <w:p>
            <w:pPr>
              <w:spacing w:before="0" w:after="0" w:line="240" w:lineRule="auto"/>
            </w:pPr>
            <w:r/>
            <w:r>
              <w:rPr>
                <w:sz w:val="15"/>
              </w:rPr>
              <w:t>8.35%</w:t>
            </w:r>
          </w:p>
        </w:tc>
        <w:tc>
          <w:tcPr>
            <w:tcW w:type="dxa" w:w="1519"/>
            <w:tcMar>
              <w:top w:w="70" w:type="dxa"/>
              <w:start w:w="85" w:type="dxa"/>
              <w:bottom w:w="70" w:type="dxa"/>
              <w:end w:w="85" w:type="dxa"/>
            </w:tcMar>
            <w:vAlign w:val="center"/>
          </w:tcPr>
          <w:p>
            <w:pPr>
              <w:spacing w:before="0" w:after="0" w:line="240" w:lineRule="auto"/>
            </w:pPr>
            <w:r/>
            <w:r>
              <w:rPr>
                <w:sz w:val="15"/>
              </w:rPr>
              <w:t>−3.18 pp</w:t>
            </w:r>
          </w:p>
        </w:tc>
        <w:tc>
          <w:tcPr>
            <w:tcW w:type="dxa" w:w="1519"/>
            <w:tcMar>
              <w:top w:w="70" w:type="dxa"/>
              <w:start w:w="85" w:type="dxa"/>
              <w:bottom w:w="70" w:type="dxa"/>
              <w:end w:w="85" w:type="dxa"/>
            </w:tcMar>
            <w:vAlign w:val="center"/>
          </w:tcPr>
          <w:p>
            <w:pPr>
              <w:spacing w:before="0" w:after="0" w:line="240" w:lineRule="auto"/>
            </w:pPr>
            <w:r/>
            <w:r>
              <w:rPr>
                <w:sz w:val="15"/>
              </w:rPr>
              <w:t>−25.51%</w:t>
            </w:r>
          </w:p>
        </w:tc>
        <w:tc>
          <w:tcPr>
            <w:tcW w:type="dxa" w:w="1519"/>
            <w:tcMar>
              <w:top w:w="70" w:type="dxa"/>
              <w:start w:w="85" w:type="dxa"/>
              <w:bottom w:w="70" w:type="dxa"/>
              <w:end w:w="85" w:type="dxa"/>
            </w:tcMar>
            <w:vAlign w:val="center"/>
          </w:tcPr>
          <w:p>
            <w:pPr>
              <w:spacing w:before="0" w:after="0" w:line="240" w:lineRule="auto"/>
            </w:pPr>
            <w:r/>
            <w:r>
              <w:rPr>
                <w:sz w:val="15"/>
              </w:rPr>
              <w:t>10.89%</w:t>
            </w:r>
          </w:p>
        </w:tc>
        <w:tc>
          <w:tcPr>
            <w:tcW w:type="dxa" w:w="1519"/>
            <w:tcMar>
              <w:top w:w="70" w:type="dxa"/>
              <w:start w:w="85" w:type="dxa"/>
              <w:bottom w:w="70" w:type="dxa"/>
              <w:end w:w="85" w:type="dxa"/>
            </w:tcMar>
            <w:vAlign w:val="center"/>
          </w:tcPr>
          <w:p>
            <w:pPr>
              <w:spacing w:before="0" w:after="0" w:line="240" w:lineRule="auto"/>
            </w:pPr>
            <w:r/>
            <w:r>
              <w:rPr>
                <w:sz w:val="15"/>
              </w:rPr>
              <w:t>0.33</w:t>
            </w:r>
          </w:p>
        </w:tc>
        <w:tc>
          <w:tcPr>
            <w:tcW w:type="dxa" w:w="1519"/>
            <w:tcMar>
              <w:top w:w="70" w:type="dxa"/>
              <w:start w:w="85" w:type="dxa"/>
              <w:bottom w:w="70" w:type="dxa"/>
              <w:end w:w="85" w:type="dxa"/>
            </w:tcMar>
            <w:vAlign w:val="center"/>
          </w:tcPr>
          <w:p>
            <w:pPr>
              <w:spacing w:before="0" w:after="0" w:line="240" w:lineRule="auto"/>
            </w:pPr>
            <w:r/>
            <w:r>
              <w:rPr>
                <w:sz w:val="15"/>
              </w:rPr>
              <w:t>27.43%</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r>
      <w:tr>
        <w:tc>
          <w:tcPr>
            <w:tcW w:type="dxa" w:w="1519"/>
            <w:tcMar>
              <w:top w:w="70" w:type="dxa"/>
              <w:start w:w="85" w:type="dxa"/>
              <w:bottom w:w="70" w:type="dxa"/>
              <w:end w:w="85" w:type="dxa"/>
            </w:tcMar>
            <w:vAlign w:val="center"/>
          </w:tcPr>
          <w:p>
            <w:pPr>
              <w:spacing w:before="0" w:after="0" w:line="240" w:lineRule="auto"/>
            </w:pPr>
            <w:r/>
            <w:r>
              <w:rPr>
                <w:sz w:val="15"/>
              </w:rPr>
              <w:t>CASH4 combined defence</w:t>
            </w:r>
          </w:p>
        </w:tc>
        <w:tc>
          <w:tcPr>
            <w:tcW w:type="dxa" w:w="1519"/>
            <w:tcMar>
              <w:top w:w="70" w:type="dxa"/>
              <w:start w:w="85" w:type="dxa"/>
              <w:bottom w:w="70" w:type="dxa"/>
              <w:end w:w="85" w:type="dxa"/>
            </w:tcMar>
            <w:vAlign w:val="center"/>
          </w:tcPr>
          <w:p>
            <w:pPr>
              <w:spacing w:before="0" w:after="0" w:line="240" w:lineRule="auto"/>
            </w:pPr>
            <w:r/>
            <w:r>
              <w:rPr>
                <w:sz w:val="15"/>
              </w:rPr>
              <w:t>5.79%</w:t>
            </w:r>
          </w:p>
        </w:tc>
        <w:tc>
          <w:tcPr>
            <w:tcW w:type="dxa" w:w="1519"/>
            <w:tcMar>
              <w:top w:w="70" w:type="dxa"/>
              <w:start w:w="85" w:type="dxa"/>
              <w:bottom w:w="70" w:type="dxa"/>
              <w:end w:w="85" w:type="dxa"/>
            </w:tcMar>
            <w:vAlign w:val="center"/>
          </w:tcPr>
          <w:p>
            <w:pPr>
              <w:spacing w:before="0" w:after="0" w:line="240" w:lineRule="auto"/>
            </w:pPr>
            <w:r/>
            <w:r>
              <w:rPr>
                <w:sz w:val="15"/>
              </w:rPr>
              <w:t>−5.74 pp</w:t>
            </w:r>
          </w:p>
        </w:tc>
        <w:tc>
          <w:tcPr>
            <w:tcW w:type="dxa" w:w="1519"/>
            <w:tcMar>
              <w:top w:w="70" w:type="dxa"/>
              <w:start w:w="85" w:type="dxa"/>
              <w:bottom w:w="70" w:type="dxa"/>
              <w:end w:w="85" w:type="dxa"/>
            </w:tcMar>
            <w:vAlign w:val="center"/>
          </w:tcPr>
          <w:p>
            <w:pPr>
              <w:spacing w:before="0" w:after="0" w:line="240" w:lineRule="auto"/>
            </w:pPr>
            <w:r/>
            <w:r>
              <w:rPr>
                <w:sz w:val="15"/>
              </w:rPr>
              <w:t>−21.56%</w:t>
            </w:r>
          </w:p>
        </w:tc>
        <w:tc>
          <w:tcPr>
            <w:tcW w:type="dxa" w:w="1519"/>
            <w:tcMar>
              <w:top w:w="70" w:type="dxa"/>
              <w:start w:w="85" w:type="dxa"/>
              <w:bottom w:w="70" w:type="dxa"/>
              <w:end w:w="85" w:type="dxa"/>
            </w:tcMar>
            <w:vAlign w:val="center"/>
          </w:tcPr>
          <w:p>
            <w:pPr>
              <w:spacing w:before="0" w:after="0" w:line="240" w:lineRule="auto"/>
            </w:pPr>
            <w:r/>
            <w:r>
              <w:rPr>
                <w:sz w:val="15"/>
              </w:rPr>
              <w:t>10.13%</w:t>
            </w:r>
          </w:p>
        </w:tc>
        <w:tc>
          <w:tcPr>
            <w:tcW w:type="dxa" w:w="1519"/>
            <w:tcMar>
              <w:top w:w="70" w:type="dxa"/>
              <w:start w:w="85" w:type="dxa"/>
              <w:bottom w:w="70" w:type="dxa"/>
              <w:end w:w="85" w:type="dxa"/>
            </w:tcMar>
            <w:vAlign w:val="center"/>
          </w:tcPr>
          <w:p>
            <w:pPr>
              <w:spacing w:before="0" w:after="0" w:line="240" w:lineRule="auto"/>
            </w:pPr>
            <w:r/>
            <w:r>
              <w:rPr>
                <w:sz w:val="15"/>
              </w:rPr>
              <w:t>0.27</w:t>
            </w:r>
          </w:p>
        </w:tc>
        <w:tc>
          <w:tcPr>
            <w:tcW w:type="dxa" w:w="1519"/>
            <w:tcMar>
              <w:top w:w="70" w:type="dxa"/>
              <w:start w:w="85" w:type="dxa"/>
              <w:bottom w:w="70" w:type="dxa"/>
              <w:end w:w="85" w:type="dxa"/>
            </w:tcMar>
            <w:vAlign w:val="center"/>
          </w:tcPr>
          <w:p>
            <w:pPr>
              <w:spacing w:before="0" w:after="0" w:line="240" w:lineRule="auto"/>
            </w:pPr>
            <w:r/>
            <w:r>
              <w:rPr>
                <w:sz w:val="15"/>
              </w:rPr>
              <w:t>46.30%</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Samples: full 2017-03-01–2026-08-21; latest five years 2021-09-01–2026-08-21. Baseline costs, monthly M2 TOP7 equal weight; net returns. Dashes indicate values omitted from the concise table, not unrun tests; full rows are in the supplement. Internal sources [CASH-0]–[CASH-4]: </w:t>
      </w:r>
      <w:r>
        <w:rPr>
          <w:rFonts w:ascii="Consolas" w:hAnsi="Consolas"/>
          <w:color w:val="1F4D78"/>
          <w:sz w:val="16"/>
        </w:rPr>
        <w:t>UKACTIVE_A4D_CASH_DEFENCE_RESULTS.csv</w:t>
      </w:r>
      <w:r>
        <w:rPr>
          <w:sz w:val="16"/>
        </w:rPr>
        <w:t xml:space="preserve">, A4D commit </w:t>
      </w:r>
      <w:r>
        <w:rPr>
          <w:rFonts w:ascii="Consolas" w:hAnsi="Consolas"/>
          <w:color w:val="1F4D78"/>
          <w:sz w:val="16"/>
        </w:rPr>
        <w:t>f411e0d</w:t>
      </w:r>
      <w:r>
        <w:rPr>
          <w:sz w:val="16"/>
        </w:rPr>
        <w:t>.</w:t>
      </w:r>
    </w:p>
    <w:p>
      <w:r>
        <w:t>CASH1 is the most instructive failure. In the latest five years it reduced MDD to −18.92% while retaining 13.21% CAGR and a positive 2.22 pp pool excess. On the full window, however, CAGR fell to 9.53%, the pool difference reversed to −2.00 pp, MDD worsened to −27.16%, and average cash weight was 17.54%. Its apparent recent success was not stable.</w:t>
      </w:r>
    </w:p>
    <w:p>
      <w:r>
        <w:t xml:space="preserve">Matched-exposure controls then asked whether CASH1 timed risk or simply held less. A static portfolio with the same average rotation exposure produced 11.27% CAGR and −19.64% MDD, versus CASH1's 9.53% and −27.16%. A global/cash comparator at the same average exposure produced 9.96% and −21.38%. CASH1 failed both comparisons. (Internal source: A4E-SIPP, </w:t>
      </w:r>
      <w:r>
        <w:rPr>
          <w:rFonts w:ascii="Consolas" w:hAnsi="Consolas"/>
          <w:color w:val="1F4D78"/>
        </w:rPr>
        <w:t>UKACTIVE_A4E_SIPP_MATCHED_EXPOSURE_CONTROLS.csv</w:t>
      </w:r>
      <w:r>
        <w:t xml:space="preserve">, commit </w:t>
      </w:r>
      <w:r>
        <w:rPr>
          <w:rFonts w:ascii="Consolas" w:hAnsi="Consolas"/>
          <w:color w:val="1F4D78"/>
        </w:rPr>
        <w:t>6eef0e413a2ee269bd5748cb244ce4f19577723a</w:t>
      </w:r>
      <w:r>
        <w:t>, CASH1 matched-exposure rows.)</w:t>
      </w:r>
    </w:p>
    <w:p>
      <w:r>
        <w:t xml:space="preserve">Global confirmation and combined defence sacrificed still more return. A separate binary 252-session global/cash rule compounded at 6.82% with a −25.58% MDD and retained only 58.8% of the global-core return; it failed promotion. These results distinguish </w:t>
      </w:r>
      <w:r>
        <w:rPr>
          <w:b/>
        </w:rPr>
        <w:t>holding less risk</w:t>
      </w:r>
      <w:r>
        <w:t xml:space="preserve">, which can mechanically reduce some losses, from </w:t>
      </w:r>
      <w:r>
        <w:rPr>
          <w:b/>
        </w:rPr>
        <w:t>successfully timing risk</w:t>
      </w:r>
      <w:r>
        <w:t>, which must outperform a static comparator with similar exposure after costs. No tested cash rule did so. The scientific active strategy therefore remains CASH0, while the whole SIPP separately holds a fixed defensive budget.</w:t>
      </w:r>
    </w:p>
    <w:p>
      <w:pPr>
        <w:pStyle w:val="Heading1"/>
      </w:pPr>
      <w:r>
        <w:t>17. Weighting, deterioration and momentum-age tests</w:t>
      </w:r>
    </w:p>
    <w:p>
      <w:r>
        <w:t>Equal weighting was compared with a bounded rank-decay scheme and a fixed top-heavy scheme. Concentrating capital toward the highest ranks did not improve the full-window outcome and increased turnover.</w:t>
      </w:r>
    </w:p>
    <w:p>
      <w:pPr>
        <w:keepNext/>
        <w:spacing w:before="160" w:after="80"/>
      </w:pPr>
      <w:r>
        <w:rPr>
          <w:b/>
        </w:rPr>
        <w:t>Table 10. Weighting comparison</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Weighting</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Full net CAGR</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Full excess vs pool</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Full MDD</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Full turnover</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Decision</w:t>
            </w:r>
          </w:p>
        </w:tc>
      </w:tr>
      <w:tr>
        <w:tc>
          <w:tcPr>
            <w:tcW w:type="dxa" w:w="1625"/>
            <w:tcMar>
              <w:top w:w="70" w:type="dxa"/>
              <w:start w:w="85" w:type="dxa"/>
              <w:bottom w:w="70" w:type="dxa"/>
              <w:end w:w="85" w:type="dxa"/>
            </w:tcMar>
            <w:vAlign w:val="center"/>
          </w:tcPr>
          <w:p>
            <w:pPr>
              <w:spacing w:before="0" w:after="0" w:line="240" w:lineRule="auto"/>
            </w:pPr>
            <w:r/>
            <w:r>
              <w:rPr>
                <w:b/>
                <w:sz w:val="17"/>
              </w:rPr>
              <w:t>Equal</w:t>
            </w:r>
          </w:p>
        </w:tc>
        <w:tc>
          <w:tcPr>
            <w:tcW w:type="dxa" w:w="1625"/>
            <w:tcMar>
              <w:top w:w="70" w:type="dxa"/>
              <w:start w:w="85" w:type="dxa"/>
              <w:bottom w:w="70" w:type="dxa"/>
              <w:end w:w="85" w:type="dxa"/>
            </w:tcMar>
            <w:vAlign w:val="center"/>
          </w:tcPr>
          <w:p>
            <w:pPr>
              <w:spacing w:before="0" w:after="0" w:line="240" w:lineRule="auto"/>
            </w:pPr>
            <w:r/>
            <w:r>
              <w:rPr>
                <w:b/>
                <w:sz w:val="17"/>
              </w:rPr>
              <w:t>13.14%</w:t>
            </w:r>
          </w:p>
        </w:tc>
        <w:tc>
          <w:tcPr>
            <w:tcW w:type="dxa" w:w="1625"/>
            <w:tcMar>
              <w:top w:w="70" w:type="dxa"/>
              <w:start w:w="85" w:type="dxa"/>
              <w:bottom w:w="70" w:type="dxa"/>
              <w:end w:w="85" w:type="dxa"/>
            </w:tcMar>
            <w:vAlign w:val="center"/>
          </w:tcPr>
          <w:p>
            <w:pPr>
              <w:spacing w:before="0" w:after="0" w:line="240" w:lineRule="auto"/>
            </w:pPr>
            <w:r/>
            <w:r>
              <w:rPr>
                <w:b/>
                <w:sz w:val="17"/>
              </w:rPr>
              <w:t>1.61 pp</w:t>
            </w:r>
          </w:p>
        </w:tc>
        <w:tc>
          <w:tcPr>
            <w:tcW w:type="dxa" w:w="1625"/>
            <w:tcMar>
              <w:top w:w="70" w:type="dxa"/>
              <w:start w:w="85" w:type="dxa"/>
              <w:bottom w:w="70" w:type="dxa"/>
              <w:end w:w="85" w:type="dxa"/>
            </w:tcMar>
            <w:vAlign w:val="center"/>
          </w:tcPr>
          <w:p>
            <w:pPr>
              <w:spacing w:before="0" w:after="0" w:line="240" w:lineRule="auto"/>
            </w:pPr>
            <w:r/>
            <w:r>
              <w:rPr>
                <w:b/>
                <w:sz w:val="17"/>
              </w:rPr>
              <w:t>−23.53%</w:t>
            </w:r>
          </w:p>
        </w:tc>
        <w:tc>
          <w:tcPr>
            <w:tcW w:type="dxa" w:w="1625"/>
            <w:tcMar>
              <w:top w:w="70" w:type="dxa"/>
              <w:start w:w="85" w:type="dxa"/>
              <w:bottom w:w="70" w:type="dxa"/>
              <w:end w:w="85" w:type="dxa"/>
            </w:tcMar>
            <w:vAlign w:val="center"/>
          </w:tcPr>
          <w:p>
            <w:pPr>
              <w:spacing w:before="0" w:after="0" w:line="240" w:lineRule="auto"/>
            </w:pPr>
            <w:r/>
            <w:r>
              <w:rPr>
                <w:b/>
                <w:sz w:val="17"/>
              </w:rPr>
              <w:t>5.52×</w:t>
            </w:r>
          </w:p>
        </w:tc>
        <w:tc>
          <w:tcPr>
            <w:tcW w:type="dxa" w:w="1625"/>
            <w:tcMar>
              <w:top w:w="70" w:type="dxa"/>
              <w:start w:w="85" w:type="dxa"/>
              <w:bottom w:w="70" w:type="dxa"/>
              <w:end w:w="85" w:type="dxa"/>
            </w:tcMar>
            <w:vAlign w:val="center"/>
          </w:tcPr>
          <w:p>
            <w:pPr>
              <w:spacing w:before="0" w:after="0" w:line="240" w:lineRule="auto"/>
            </w:pPr>
            <w:r/>
            <w:r>
              <w:rPr>
                <w:sz w:val="17"/>
              </w:rPr>
              <w:t>Retained</w:t>
            </w:r>
          </w:p>
        </w:tc>
      </w:tr>
      <w:tr>
        <w:tc>
          <w:tcPr>
            <w:tcW w:type="dxa" w:w="1625"/>
            <w:tcMar>
              <w:top w:w="70" w:type="dxa"/>
              <w:start w:w="85" w:type="dxa"/>
              <w:bottom w:w="70" w:type="dxa"/>
              <w:end w:w="85" w:type="dxa"/>
            </w:tcMar>
            <w:vAlign w:val="center"/>
          </w:tcPr>
          <w:p>
            <w:pPr>
              <w:spacing w:before="0" w:after="0" w:line="240" w:lineRule="auto"/>
            </w:pPr>
            <w:r/>
            <w:r>
              <w:rPr>
                <w:sz w:val="17"/>
              </w:rPr>
              <w:t>Bounded rank decay</w:t>
            </w:r>
          </w:p>
        </w:tc>
        <w:tc>
          <w:tcPr>
            <w:tcW w:type="dxa" w:w="1625"/>
            <w:tcMar>
              <w:top w:w="70" w:type="dxa"/>
              <w:start w:w="85" w:type="dxa"/>
              <w:bottom w:w="70" w:type="dxa"/>
              <w:end w:w="85" w:type="dxa"/>
            </w:tcMar>
            <w:vAlign w:val="center"/>
          </w:tcPr>
          <w:p>
            <w:pPr>
              <w:spacing w:before="0" w:after="0" w:line="240" w:lineRule="auto"/>
            </w:pPr>
            <w:r/>
            <w:r>
              <w:rPr>
                <w:sz w:val="17"/>
              </w:rPr>
              <w:t>12.40%</w:t>
            </w:r>
          </w:p>
        </w:tc>
        <w:tc>
          <w:tcPr>
            <w:tcW w:type="dxa" w:w="1625"/>
            <w:tcMar>
              <w:top w:w="70" w:type="dxa"/>
              <w:start w:w="85" w:type="dxa"/>
              <w:bottom w:w="70" w:type="dxa"/>
              <w:end w:w="85" w:type="dxa"/>
            </w:tcMar>
            <w:vAlign w:val="center"/>
          </w:tcPr>
          <w:p>
            <w:pPr>
              <w:spacing w:before="0" w:after="0" w:line="240" w:lineRule="auto"/>
            </w:pPr>
            <w:r/>
            <w:r>
              <w:rPr>
                <w:sz w:val="17"/>
              </w:rPr>
              <w:t>0.87 pp</w:t>
            </w:r>
          </w:p>
        </w:tc>
        <w:tc>
          <w:tcPr>
            <w:tcW w:type="dxa" w:w="1625"/>
            <w:tcMar>
              <w:top w:w="70" w:type="dxa"/>
              <w:start w:w="85" w:type="dxa"/>
              <w:bottom w:w="70" w:type="dxa"/>
              <w:end w:w="85" w:type="dxa"/>
            </w:tcMar>
            <w:vAlign w:val="center"/>
          </w:tcPr>
          <w:p>
            <w:pPr>
              <w:spacing w:before="0" w:after="0" w:line="240" w:lineRule="auto"/>
            </w:pPr>
            <w:r/>
            <w:r>
              <w:rPr>
                <w:sz w:val="17"/>
              </w:rPr>
              <w:t>−25.95%</w:t>
            </w:r>
          </w:p>
        </w:tc>
        <w:tc>
          <w:tcPr>
            <w:tcW w:type="dxa" w:w="1625"/>
            <w:tcMar>
              <w:top w:w="70" w:type="dxa"/>
              <w:start w:w="85" w:type="dxa"/>
              <w:bottom w:w="70" w:type="dxa"/>
              <w:end w:w="85" w:type="dxa"/>
            </w:tcMar>
            <w:vAlign w:val="center"/>
          </w:tcPr>
          <w:p>
            <w:pPr>
              <w:spacing w:before="0" w:after="0" w:line="240" w:lineRule="auto"/>
            </w:pPr>
            <w:r/>
            <w:r>
              <w:rPr>
                <w:sz w:val="17"/>
              </w:rPr>
              <w:t>8.14×</w:t>
            </w:r>
          </w:p>
        </w:tc>
        <w:tc>
          <w:tcPr>
            <w:tcW w:type="dxa" w:w="1625"/>
            <w:tcMar>
              <w:top w:w="70" w:type="dxa"/>
              <w:start w:w="85" w:type="dxa"/>
              <w:bottom w:w="70" w:type="dxa"/>
              <w:end w:w="85" w:type="dxa"/>
            </w:tcMar>
            <w:vAlign w:val="center"/>
          </w:tcPr>
          <w:p>
            <w:pPr>
              <w:spacing w:before="0" w:after="0" w:line="240" w:lineRule="auto"/>
            </w:pPr>
            <w:r/>
            <w:r>
              <w:rPr>
                <w:sz w:val="17"/>
              </w:rPr>
              <w:t>Rejected</w:t>
            </w:r>
          </w:p>
        </w:tc>
      </w:tr>
      <w:tr>
        <w:tc>
          <w:tcPr>
            <w:tcW w:type="dxa" w:w="1625"/>
            <w:tcMar>
              <w:top w:w="70" w:type="dxa"/>
              <w:start w:w="85" w:type="dxa"/>
              <w:bottom w:w="70" w:type="dxa"/>
              <w:end w:w="85" w:type="dxa"/>
            </w:tcMar>
            <w:vAlign w:val="center"/>
          </w:tcPr>
          <w:p>
            <w:pPr>
              <w:spacing w:before="0" w:after="0" w:line="240" w:lineRule="auto"/>
            </w:pPr>
            <w:r/>
            <w:r>
              <w:rPr>
                <w:sz w:val="17"/>
              </w:rPr>
              <w:t>Fixed top-heavy</w:t>
            </w:r>
          </w:p>
        </w:tc>
        <w:tc>
          <w:tcPr>
            <w:tcW w:type="dxa" w:w="1625"/>
            <w:tcMar>
              <w:top w:w="70" w:type="dxa"/>
              <w:start w:w="85" w:type="dxa"/>
              <w:bottom w:w="70" w:type="dxa"/>
              <w:end w:w="85" w:type="dxa"/>
            </w:tcMar>
            <w:vAlign w:val="center"/>
          </w:tcPr>
          <w:p>
            <w:pPr>
              <w:spacing w:before="0" w:after="0" w:line="240" w:lineRule="auto"/>
            </w:pPr>
            <w:r/>
            <w:r>
              <w:rPr>
                <w:sz w:val="17"/>
              </w:rPr>
              <w:t>12.02%</w:t>
            </w:r>
          </w:p>
        </w:tc>
        <w:tc>
          <w:tcPr>
            <w:tcW w:type="dxa" w:w="1625"/>
            <w:tcMar>
              <w:top w:w="70" w:type="dxa"/>
              <w:start w:w="85" w:type="dxa"/>
              <w:bottom w:w="70" w:type="dxa"/>
              <w:end w:w="85" w:type="dxa"/>
            </w:tcMar>
            <w:vAlign w:val="center"/>
          </w:tcPr>
          <w:p>
            <w:pPr>
              <w:spacing w:before="0" w:after="0" w:line="240" w:lineRule="auto"/>
            </w:pPr>
            <w:r/>
            <w:r>
              <w:rPr>
                <w:sz w:val="17"/>
              </w:rPr>
              <w:t>0.49 pp</w:t>
            </w:r>
          </w:p>
        </w:tc>
        <w:tc>
          <w:tcPr>
            <w:tcW w:type="dxa" w:w="1625"/>
            <w:tcMar>
              <w:top w:w="70" w:type="dxa"/>
              <w:start w:w="85" w:type="dxa"/>
              <w:bottom w:w="70" w:type="dxa"/>
              <w:end w:w="85" w:type="dxa"/>
            </w:tcMar>
            <w:vAlign w:val="center"/>
          </w:tcPr>
          <w:p>
            <w:pPr>
              <w:spacing w:before="0" w:after="0" w:line="240" w:lineRule="auto"/>
            </w:pPr>
            <w:r/>
            <w:r>
              <w:rPr>
                <w:sz w:val="17"/>
              </w:rPr>
              <w:t>−25.25%</w:t>
            </w:r>
          </w:p>
        </w:tc>
        <w:tc>
          <w:tcPr>
            <w:tcW w:type="dxa" w:w="1625"/>
            <w:tcMar>
              <w:top w:w="70" w:type="dxa"/>
              <w:start w:w="85" w:type="dxa"/>
              <w:bottom w:w="70" w:type="dxa"/>
              <w:end w:w="85" w:type="dxa"/>
            </w:tcMar>
            <w:vAlign w:val="center"/>
          </w:tcPr>
          <w:p>
            <w:pPr>
              <w:spacing w:before="0" w:after="0" w:line="240" w:lineRule="auto"/>
            </w:pPr>
            <w:r/>
            <w:r>
              <w:rPr>
                <w:sz w:val="17"/>
              </w:rPr>
              <w:t>7.57×</w:t>
            </w:r>
          </w:p>
        </w:tc>
        <w:tc>
          <w:tcPr>
            <w:tcW w:type="dxa" w:w="1625"/>
            <w:tcMar>
              <w:top w:w="70" w:type="dxa"/>
              <w:start w:w="85" w:type="dxa"/>
              <w:bottom w:w="70" w:type="dxa"/>
              <w:end w:w="85" w:type="dxa"/>
            </w:tcMar>
            <w:vAlign w:val="center"/>
          </w:tcPr>
          <w:p>
            <w:pPr>
              <w:spacing w:before="0" w:after="0" w:line="240" w:lineRule="auto"/>
            </w:pPr>
            <w:r/>
            <w:r>
              <w:rPr>
                <w:sz w:val="17"/>
              </w:rPr>
              <w:t>Rejected</w:t>
            </w:r>
          </w:p>
        </w:tc>
      </w:tr>
    </w:tbl>
    <w:p>
      <w:pPr>
        <w:pStyle w:val="SourceCitation"/>
      </w:pPr>
      <w:r>
        <w:rPr>
          <w:sz w:val="16"/>
        </w:rPr>
        <w:t xml:space="preserve">Sample: 2017-03-01–2026-08-21; baseline costs; monthly M2 TOP7 CASH0; net returns. Internal sources [WT-W0_EQUAL], [WT-W1_RANK_DECAY], [WT-W2_FIXED_TOP_HEAVY]: </w:t>
      </w:r>
      <w:r>
        <w:rPr>
          <w:rFonts w:ascii="Consolas" w:hAnsi="Consolas"/>
          <w:color w:val="1F4D78"/>
          <w:sz w:val="16"/>
        </w:rPr>
        <w:t>UKACTIVE_A4D_WEIGHTING_RESULTS.csv</w:t>
      </w:r>
      <w:r>
        <w:rPr>
          <w:sz w:val="16"/>
        </w:rPr>
        <w:t xml:space="preserve">, A4D commit </w:t>
      </w:r>
      <w:r>
        <w:rPr>
          <w:rFonts w:ascii="Consolas" w:hAnsi="Consolas"/>
          <w:color w:val="1F4D78"/>
          <w:sz w:val="16"/>
        </w:rPr>
        <w:t>f411e0d</w:t>
      </w:r>
      <w:r>
        <w:rPr>
          <w:sz w:val="16"/>
        </w:rPr>
        <w:t>.</w:t>
      </w:r>
    </w:p>
    <w:p>
      <w:r>
        <w:t xml:space="preserve">A4B and A4C also examined fast tapers, maximum-favourable-excursion giveback locks, strength harvesting, deceleration, early participation, volatility sizing and trend-failure exits. The modules frequently exited or reduced the very mature trends that generated the right tail. Early-participation variants either lost terminal wealth or worsened drawdown; trend-failure exits had negative net monetisation value; volatility targeting reduced drawdown but retained too little of the top-three contribution for standalone promotion. (Internal sources: A4B </w:t>
      </w:r>
      <w:r>
        <w:rPr>
          <w:rFonts w:ascii="Consolas" w:hAnsi="Consolas"/>
          <w:color w:val="1F4D78"/>
        </w:rPr>
        <w:t>UKACTIVE_A4B_MODULE_DECISIONS.csv</w:t>
      </w:r>
      <w:r>
        <w:t xml:space="preserve">; A4C </w:t>
      </w:r>
      <w:r>
        <w:rPr>
          <w:rFonts w:ascii="Consolas" w:hAnsi="Consolas"/>
          <w:color w:val="1F4D78"/>
        </w:rPr>
        <w:t>UKACTIVE_A4C_MODULE_DECISIONS.csv</w:t>
      </w:r>
      <w:r>
        <w:t xml:space="preserve">; commit </w:t>
      </w:r>
      <w:r>
        <w:rPr>
          <w:rFonts w:ascii="Consolas" w:hAnsi="Consolas"/>
          <w:color w:val="1F4D78"/>
        </w:rPr>
        <w:t>1802820f9a4201847b13c7526b5170e27309983a</w:t>
      </w:r>
      <w:r>
        <w:t>.)</w:t>
      </w:r>
    </w:p>
    <w:p>
      <w:r>
        <w:t>Momentum-age diagnostics classified states such as mature or decelerating, but ex-post association did not become a causal exit rule. A mature trend can be near its end or in the middle of a much larger move. No completed test justified a fast exit, age rule, deterioration override or discretionary sell. M3's inferior economic result reinforced that conclusion. The frozen model exits only through the next monthly cross-sectional rank.</w:t>
      </w:r>
    </w:p>
    <w:p>
      <w:pPr>
        <w:pStyle w:val="Heading1"/>
      </w:pPr>
      <w:r>
        <w:t>18. Full-history economic results</w:t>
      </w:r>
    </w:p>
    <w:p>
      <w:r>
        <w:t>Table 11 places the principal strategies on the identical 2017-03-01 to 2026-08-21 executable window. The equal pool path is a deterministic diagnostic from the canonical A4D equity curve; the other rows are the final A4F static frontier. Metrics are net under their stated historical cost treatment. The static controls are not active-edge candidates.</w:t>
      </w:r>
    </w:p>
    <w:p>
      <w:pPr>
        <w:sectPr>
          <w:pgSz w:w="11906" w:h="16838"/>
          <w:pgMar w:top="992" w:right="1077" w:bottom="935" w:left="1077" w:header="425" w:footer="425" w:gutter="0"/>
          <w:cols w:space="720"/>
          <w:docGrid w:linePitch="360"/>
        </w:sectPr>
      </w:pPr>
    </w:p>
    <w:p>
      <w:pPr>
        <w:keepNext/>
        <w:spacing w:before="160" w:after="80"/>
      </w:pPr>
      <w:r>
        <w:rPr>
          <w:b/>
        </w:rPr>
        <w:t>Table 11. Full common-window strategy comparison</w:t>
      </w:r>
    </w:p>
    <w:tbl>
      <w:tblPr>
        <w:tblStyle w:val="TableGrid"/>
        <w:tblW w:type="auto" w:w="0"/>
        <w:jc w:val="center"/>
        <w:tblLayout w:type="autofit"/>
        <w:tblLook w:firstColumn="1" w:firstRow="1" w:lastColumn="0" w:lastRow="0" w:noHBand="0" w:noVBand="1" w:val="04A0"/>
      </w:tblPr>
      <w:tblGrid>
        <w:gridCol w:w="1519"/>
        <w:gridCol w:w="1519"/>
        <w:gridCol w:w="1519"/>
        <w:gridCol w:w="1519"/>
        <w:gridCol w:w="1519"/>
        <w:gridCol w:w="1519"/>
        <w:gridCol w:w="1519"/>
        <w:gridCol w:w="1519"/>
        <w:gridCol w:w="1519"/>
        <w:gridCol w:w="1519"/>
      </w:tblGrid>
      <w:tr>
        <w:trPr>
          <w:tblHeader w:val="true"/>
        </w:trPr>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Strategy</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Net CAGR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Wealth / £100k</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MDD</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Calmar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Ulcer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Volatility</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Longest underwater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Turnover</w:t>
            </w:r>
          </w:p>
        </w:tc>
        <w:tc>
          <w:tcPr>
            <w:tcW w:type="dxa" w:w="1519"/>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Cost drag</w:t>
            </w:r>
          </w:p>
        </w:tc>
      </w:tr>
      <w:tr>
        <w:tc>
          <w:tcPr>
            <w:tcW w:type="dxa" w:w="1519"/>
            <w:tcMar>
              <w:top w:w="70" w:type="dxa"/>
              <w:start w:w="85" w:type="dxa"/>
              <w:bottom w:w="70" w:type="dxa"/>
              <w:end w:w="85" w:type="dxa"/>
            </w:tcMar>
            <w:vAlign w:val="center"/>
          </w:tcPr>
          <w:p>
            <w:pPr>
              <w:spacing w:before="0" w:after="0" w:line="240" w:lineRule="auto"/>
            </w:pPr>
            <w:r/>
            <w:r>
              <w:rPr>
                <w:sz w:val="15"/>
              </w:rPr>
              <w:t>SWDA/global 100%</w:t>
            </w:r>
          </w:p>
        </w:tc>
        <w:tc>
          <w:tcPr>
            <w:tcW w:type="dxa" w:w="1519"/>
            <w:tcMar>
              <w:top w:w="70" w:type="dxa"/>
              <w:start w:w="85" w:type="dxa"/>
              <w:bottom w:w="70" w:type="dxa"/>
              <w:end w:w="85" w:type="dxa"/>
            </w:tcMar>
            <w:vAlign w:val="center"/>
          </w:tcPr>
          <w:p>
            <w:pPr>
              <w:spacing w:before="0" w:after="0" w:line="240" w:lineRule="auto"/>
            </w:pPr>
            <w:r/>
            <w:r>
              <w:rPr>
                <w:sz w:val="15"/>
              </w:rPr>
              <w:t>11.60%</w:t>
            </w:r>
          </w:p>
        </w:tc>
        <w:tc>
          <w:tcPr>
            <w:tcW w:type="dxa" w:w="1519"/>
            <w:tcMar>
              <w:top w:w="70" w:type="dxa"/>
              <w:start w:w="85" w:type="dxa"/>
              <w:bottom w:w="70" w:type="dxa"/>
              <w:end w:w="85" w:type="dxa"/>
            </w:tcMar>
            <w:vAlign w:val="center"/>
          </w:tcPr>
          <w:p>
            <w:pPr>
              <w:spacing w:before="0" w:after="0" w:line="240" w:lineRule="auto"/>
            </w:pPr>
            <w:r/>
            <w:r>
              <w:rPr>
                <w:sz w:val="15"/>
              </w:rPr>
              <w:t>£282,859</w:t>
            </w:r>
          </w:p>
        </w:tc>
        <w:tc>
          <w:tcPr>
            <w:tcW w:type="dxa" w:w="1519"/>
            <w:tcMar>
              <w:top w:w="70" w:type="dxa"/>
              <w:start w:w="85" w:type="dxa"/>
              <w:bottom w:w="70" w:type="dxa"/>
              <w:end w:w="85" w:type="dxa"/>
            </w:tcMar>
            <w:vAlign w:val="center"/>
          </w:tcPr>
          <w:p>
            <w:pPr>
              <w:spacing w:before="0" w:after="0" w:line="240" w:lineRule="auto"/>
            </w:pPr>
            <w:r/>
            <w:r>
              <w:rPr>
                <w:sz w:val="15"/>
              </w:rPr>
              <w:t>−25.58%</w:t>
            </w:r>
          </w:p>
        </w:tc>
        <w:tc>
          <w:tcPr>
            <w:tcW w:type="dxa" w:w="1519"/>
            <w:tcMar>
              <w:top w:w="70" w:type="dxa"/>
              <w:start w:w="85" w:type="dxa"/>
              <w:bottom w:w="70" w:type="dxa"/>
              <w:end w:w="85" w:type="dxa"/>
            </w:tcMar>
            <w:vAlign w:val="center"/>
          </w:tcPr>
          <w:p>
            <w:pPr>
              <w:spacing w:before="0" w:after="0" w:line="240" w:lineRule="auto"/>
            </w:pPr>
            <w:r/>
            <w:r>
              <w:rPr>
                <w:sz w:val="15"/>
              </w:rPr>
              <w:t>0.45</w:t>
            </w:r>
          </w:p>
        </w:tc>
        <w:tc>
          <w:tcPr>
            <w:tcW w:type="dxa" w:w="1519"/>
            <w:tcMar>
              <w:top w:w="70" w:type="dxa"/>
              <w:start w:w="85" w:type="dxa"/>
              <w:bottom w:w="70" w:type="dxa"/>
              <w:end w:w="85" w:type="dxa"/>
            </w:tcMar>
            <w:vAlign w:val="center"/>
          </w:tcPr>
          <w:p>
            <w:pPr>
              <w:spacing w:before="0" w:after="0" w:line="240" w:lineRule="auto"/>
            </w:pPr>
            <w:r/>
            <w:r>
              <w:rPr>
                <w:sz w:val="15"/>
              </w:rPr>
              <w:t>4.89%</w:t>
            </w:r>
          </w:p>
        </w:tc>
        <w:tc>
          <w:tcPr>
            <w:tcW w:type="dxa" w:w="1519"/>
            <w:tcMar>
              <w:top w:w="70" w:type="dxa"/>
              <w:start w:w="85" w:type="dxa"/>
              <w:bottom w:w="70" w:type="dxa"/>
              <w:end w:w="85" w:type="dxa"/>
            </w:tcMar>
            <w:vAlign w:val="center"/>
          </w:tcPr>
          <w:p>
            <w:pPr>
              <w:spacing w:before="0" w:after="0" w:line="240" w:lineRule="auto"/>
            </w:pPr>
            <w:r/>
            <w:r>
              <w:rPr>
                <w:sz w:val="15"/>
              </w:rPr>
              <w:t>14.57%</w:t>
            </w:r>
          </w:p>
        </w:tc>
        <w:tc>
          <w:tcPr>
            <w:tcW w:type="dxa" w:w="1519"/>
            <w:tcMar>
              <w:top w:w="70" w:type="dxa"/>
              <w:start w:w="85" w:type="dxa"/>
              <w:bottom w:w="70" w:type="dxa"/>
              <w:end w:w="85" w:type="dxa"/>
            </w:tcMar>
            <w:vAlign w:val="center"/>
          </w:tcPr>
          <w:p>
            <w:pPr>
              <w:spacing w:before="0" w:after="0" w:line="240" w:lineRule="auto"/>
            </w:pPr>
            <w:r/>
            <w:r>
              <w:rPr>
                <w:sz w:val="15"/>
              </w:rPr>
              <w:t>586 d</w:t>
            </w:r>
          </w:p>
        </w:tc>
        <w:tc>
          <w:tcPr>
            <w:tcW w:type="dxa" w:w="1519"/>
            <w:tcMar>
              <w:top w:w="70" w:type="dxa"/>
              <w:start w:w="85" w:type="dxa"/>
              <w:bottom w:w="70" w:type="dxa"/>
              <w:end w:w="85" w:type="dxa"/>
            </w:tcMar>
            <w:vAlign w:val="center"/>
          </w:tcPr>
          <w:p>
            <w:pPr>
              <w:spacing w:before="0" w:after="0" w:line="240" w:lineRule="auto"/>
            </w:pPr>
            <w:r/>
            <w:r>
              <w:rPr>
                <w:sz w:val="15"/>
              </w:rPr>
              <w:t>0.11×</w:t>
            </w:r>
          </w:p>
        </w:tc>
        <w:tc>
          <w:tcPr>
            <w:tcW w:type="dxa" w:w="1519"/>
            <w:tcMar>
              <w:top w:w="70" w:type="dxa"/>
              <w:start w:w="85" w:type="dxa"/>
              <w:bottom w:w="70" w:type="dxa"/>
              <w:end w:w="85" w:type="dxa"/>
            </w:tcMar>
            <w:vAlign w:val="center"/>
          </w:tcPr>
          <w:p>
            <w:pPr>
              <w:spacing w:before="0" w:after="0" w:line="240" w:lineRule="auto"/>
            </w:pPr>
            <w:r/>
            <w:r>
              <w:rPr>
                <w:sz w:val="15"/>
              </w:rPr>
              <w:t>0.00 pp</w:t>
            </w:r>
          </w:p>
        </w:tc>
      </w:tr>
      <w:tr>
        <w:tc>
          <w:tcPr>
            <w:tcW w:type="dxa" w:w="1519"/>
            <w:tcMar>
              <w:top w:w="70" w:type="dxa"/>
              <w:start w:w="85" w:type="dxa"/>
              <w:bottom w:w="70" w:type="dxa"/>
              <w:end w:w="85" w:type="dxa"/>
            </w:tcMar>
            <w:vAlign w:val="center"/>
          </w:tcPr>
          <w:p>
            <w:pPr>
              <w:spacing w:before="0" w:after="0" w:line="240" w:lineRule="auto"/>
            </w:pPr>
            <w:r/>
            <w:r>
              <w:rPr>
                <w:sz w:val="15"/>
              </w:rPr>
              <w:t>75% SWDA / 25% cash control</w:t>
            </w:r>
          </w:p>
        </w:tc>
        <w:tc>
          <w:tcPr>
            <w:tcW w:type="dxa" w:w="1519"/>
            <w:tcMar>
              <w:top w:w="70" w:type="dxa"/>
              <w:start w:w="85" w:type="dxa"/>
              <w:bottom w:w="70" w:type="dxa"/>
              <w:end w:w="85" w:type="dxa"/>
            </w:tcMar>
            <w:vAlign w:val="center"/>
          </w:tcPr>
          <w:p>
            <w:pPr>
              <w:spacing w:before="0" w:after="0" w:line="240" w:lineRule="auto"/>
            </w:pPr>
            <w:r/>
            <w:r>
              <w:rPr>
                <w:sz w:val="15"/>
              </w:rPr>
              <w:t>9.26%</w:t>
            </w:r>
          </w:p>
        </w:tc>
        <w:tc>
          <w:tcPr>
            <w:tcW w:type="dxa" w:w="1519"/>
            <w:tcMar>
              <w:top w:w="70" w:type="dxa"/>
              <w:start w:w="85" w:type="dxa"/>
              <w:bottom w:w="70" w:type="dxa"/>
              <w:end w:w="85" w:type="dxa"/>
            </w:tcMar>
            <w:vAlign w:val="center"/>
          </w:tcPr>
          <w:p>
            <w:pPr>
              <w:spacing w:before="0" w:after="0" w:line="240" w:lineRule="auto"/>
            </w:pPr>
            <w:r/>
            <w:r>
              <w:rPr>
                <w:sz w:val="15"/>
              </w:rPr>
              <w:t>£231,457</w:t>
            </w:r>
          </w:p>
        </w:tc>
        <w:tc>
          <w:tcPr>
            <w:tcW w:type="dxa" w:w="1519"/>
            <w:tcMar>
              <w:top w:w="70" w:type="dxa"/>
              <w:start w:w="85" w:type="dxa"/>
              <w:bottom w:w="70" w:type="dxa"/>
              <w:end w:w="85" w:type="dxa"/>
            </w:tcMar>
            <w:vAlign w:val="center"/>
          </w:tcPr>
          <w:p>
            <w:pPr>
              <w:spacing w:before="0" w:after="0" w:line="240" w:lineRule="auto"/>
            </w:pPr>
            <w:r/>
            <w:r>
              <w:rPr>
                <w:sz w:val="15"/>
              </w:rPr>
              <w:t>−19.55%</w:t>
            </w:r>
          </w:p>
        </w:tc>
        <w:tc>
          <w:tcPr>
            <w:tcW w:type="dxa" w:w="1519"/>
            <w:tcMar>
              <w:top w:w="70" w:type="dxa"/>
              <w:start w:w="85" w:type="dxa"/>
              <w:bottom w:w="70" w:type="dxa"/>
              <w:end w:w="85" w:type="dxa"/>
            </w:tcMar>
            <w:vAlign w:val="center"/>
          </w:tcPr>
          <w:p>
            <w:pPr>
              <w:spacing w:before="0" w:after="0" w:line="240" w:lineRule="auto"/>
            </w:pPr>
            <w:r/>
            <w:r>
              <w:rPr>
                <w:sz w:val="15"/>
              </w:rPr>
              <w:t>0.47</w:t>
            </w:r>
          </w:p>
        </w:tc>
        <w:tc>
          <w:tcPr>
            <w:tcW w:type="dxa" w:w="1519"/>
            <w:tcMar>
              <w:top w:w="70" w:type="dxa"/>
              <w:start w:w="85" w:type="dxa"/>
              <w:bottom w:w="70" w:type="dxa"/>
              <w:end w:w="85" w:type="dxa"/>
            </w:tcMar>
            <w:vAlign w:val="center"/>
          </w:tcPr>
          <w:p>
            <w:pPr>
              <w:spacing w:before="0" w:after="0" w:line="240" w:lineRule="auto"/>
            </w:pPr>
            <w:r/>
            <w:r>
              <w:rPr>
                <w:b/>
                <w:sz w:val="15"/>
              </w:rPr>
              <w:t>3.60%</w:t>
            </w:r>
          </w:p>
        </w:tc>
        <w:tc>
          <w:tcPr>
            <w:tcW w:type="dxa" w:w="1519"/>
            <w:tcMar>
              <w:top w:w="70" w:type="dxa"/>
              <w:start w:w="85" w:type="dxa"/>
              <w:bottom w:w="70" w:type="dxa"/>
              <w:end w:w="85" w:type="dxa"/>
            </w:tcMar>
            <w:vAlign w:val="center"/>
          </w:tcPr>
          <w:p>
            <w:pPr>
              <w:spacing w:before="0" w:after="0" w:line="240" w:lineRule="auto"/>
            </w:pPr>
            <w:r/>
            <w:r>
              <w:rPr>
                <w:b/>
                <w:sz w:val="15"/>
              </w:rPr>
              <w:t>10.88%</w:t>
            </w:r>
          </w:p>
        </w:tc>
        <w:tc>
          <w:tcPr>
            <w:tcW w:type="dxa" w:w="1519"/>
            <w:tcMar>
              <w:top w:w="70" w:type="dxa"/>
              <w:start w:w="85" w:type="dxa"/>
              <w:bottom w:w="70" w:type="dxa"/>
              <w:end w:w="85" w:type="dxa"/>
            </w:tcMar>
            <w:vAlign w:val="center"/>
          </w:tcPr>
          <w:p>
            <w:pPr>
              <w:spacing w:before="0" w:after="0" w:line="240" w:lineRule="auto"/>
            </w:pPr>
            <w:r/>
            <w:r>
              <w:rPr>
                <w:b/>
                <w:sz w:val="15"/>
              </w:rPr>
              <w:t>550 d</w:t>
            </w:r>
          </w:p>
        </w:tc>
        <w:tc>
          <w:tcPr>
            <w:tcW w:type="dxa" w:w="1519"/>
            <w:tcMar>
              <w:top w:w="70" w:type="dxa"/>
              <w:start w:w="85" w:type="dxa"/>
              <w:bottom w:w="70" w:type="dxa"/>
              <w:end w:w="85" w:type="dxa"/>
            </w:tcMar>
            <w:vAlign w:val="center"/>
          </w:tcPr>
          <w:p>
            <w:pPr>
              <w:spacing w:before="0" w:after="0" w:line="240" w:lineRule="auto"/>
            </w:pPr>
            <w:r/>
            <w:r>
              <w:rPr>
                <w:sz w:val="15"/>
              </w:rPr>
              <w:t>0.14×</w:t>
            </w:r>
          </w:p>
        </w:tc>
        <w:tc>
          <w:tcPr>
            <w:tcW w:type="dxa" w:w="1519"/>
            <w:tcMar>
              <w:top w:w="70" w:type="dxa"/>
              <w:start w:w="85" w:type="dxa"/>
              <w:bottom w:w="70" w:type="dxa"/>
              <w:end w:w="85" w:type="dxa"/>
            </w:tcMar>
            <w:vAlign w:val="center"/>
          </w:tcPr>
          <w:p>
            <w:pPr>
              <w:spacing w:before="0" w:after="0" w:line="240" w:lineRule="auto"/>
            </w:pPr>
            <w:r/>
            <w:r>
              <w:rPr>
                <w:sz w:val="15"/>
              </w:rPr>
              <w:t>0.03 pp</w:t>
            </w:r>
          </w:p>
        </w:tc>
      </w:tr>
      <w:tr>
        <w:tc>
          <w:tcPr>
            <w:tcW w:type="dxa" w:w="1519"/>
            <w:tcMar>
              <w:top w:w="70" w:type="dxa"/>
              <w:start w:w="85" w:type="dxa"/>
              <w:bottom w:w="70" w:type="dxa"/>
              <w:end w:w="85" w:type="dxa"/>
            </w:tcMar>
            <w:vAlign w:val="center"/>
          </w:tcPr>
          <w:p>
            <w:pPr>
              <w:spacing w:before="0" w:after="0" w:line="240" w:lineRule="auto"/>
            </w:pPr>
            <w:r/>
            <w:r>
              <w:rPr>
                <w:b/>
                <w:sz w:val="15"/>
              </w:rPr>
              <w:t>M2 TOP7 100%</w:t>
            </w:r>
          </w:p>
        </w:tc>
        <w:tc>
          <w:tcPr>
            <w:tcW w:type="dxa" w:w="1519"/>
            <w:tcMar>
              <w:top w:w="70" w:type="dxa"/>
              <w:start w:w="85" w:type="dxa"/>
              <w:bottom w:w="70" w:type="dxa"/>
              <w:end w:w="85" w:type="dxa"/>
            </w:tcMar>
            <w:vAlign w:val="center"/>
          </w:tcPr>
          <w:p>
            <w:pPr>
              <w:spacing w:before="0" w:after="0" w:line="240" w:lineRule="auto"/>
            </w:pPr>
            <w:r/>
            <w:r>
              <w:rPr>
                <w:b/>
                <w:sz w:val="15"/>
              </w:rPr>
              <w:t>13.14%</w:t>
            </w:r>
          </w:p>
        </w:tc>
        <w:tc>
          <w:tcPr>
            <w:tcW w:type="dxa" w:w="1519"/>
            <w:tcMar>
              <w:top w:w="70" w:type="dxa"/>
              <w:start w:w="85" w:type="dxa"/>
              <w:bottom w:w="70" w:type="dxa"/>
              <w:end w:w="85" w:type="dxa"/>
            </w:tcMar>
            <w:vAlign w:val="center"/>
          </w:tcPr>
          <w:p>
            <w:pPr>
              <w:spacing w:before="0" w:after="0" w:line="240" w:lineRule="auto"/>
            </w:pPr>
            <w:r/>
            <w:r>
              <w:rPr>
                <w:b/>
                <w:sz w:val="15"/>
              </w:rPr>
              <w:t>£321,979</w:t>
            </w:r>
          </w:p>
        </w:tc>
        <w:tc>
          <w:tcPr>
            <w:tcW w:type="dxa" w:w="1519"/>
            <w:tcMar>
              <w:top w:w="70" w:type="dxa"/>
              <w:start w:w="85" w:type="dxa"/>
              <w:bottom w:w="70" w:type="dxa"/>
              <w:end w:w="85" w:type="dxa"/>
            </w:tcMar>
            <w:vAlign w:val="center"/>
          </w:tcPr>
          <w:p>
            <w:pPr>
              <w:spacing w:before="0" w:after="0" w:line="240" w:lineRule="auto"/>
            </w:pPr>
            <w:r/>
            <w:r>
              <w:rPr>
                <w:sz w:val="15"/>
              </w:rPr>
              <w:t>−23.53%</w:t>
            </w:r>
          </w:p>
        </w:tc>
        <w:tc>
          <w:tcPr>
            <w:tcW w:type="dxa" w:w="1519"/>
            <w:tcMar>
              <w:top w:w="70" w:type="dxa"/>
              <w:start w:w="85" w:type="dxa"/>
              <w:bottom w:w="70" w:type="dxa"/>
              <w:end w:w="85" w:type="dxa"/>
            </w:tcMar>
            <w:vAlign w:val="center"/>
          </w:tcPr>
          <w:p>
            <w:pPr>
              <w:spacing w:before="0" w:after="0" w:line="240" w:lineRule="auto"/>
            </w:pPr>
            <w:r/>
            <w:r>
              <w:rPr>
                <w:sz w:val="15"/>
              </w:rPr>
              <w:t>0.56</w:t>
            </w:r>
          </w:p>
        </w:tc>
        <w:tc>
          <w:tcPr>
            <w:tcW w:type="dxa" w:w="1519"/>
            <w:tcMar>
              <w:top w:w="70" w:type="dxa"/>
              <w:start w:w="85" w:type="dxa"/>
              <w:bottom w:w="70" w:type="dxa"/>
              <w:end w:w="85" w:type="dxa"/>
            </w:tcMar>
            <w:vAlign w:val="center"/>
          </w:tcPr>
          <w:p>
            <w:pPr>
              <w:spacing w:before="0" w:after="0" w:line="240" w:lineRule="auto"/>
            </w:pPr>
            <w:r/>
            <w:r>
              <w:rPr>
                <w:sz w:val="15"/>
              </w:rPr>
              <w:t>8.20%</w:t>
            </w:r>
          </w:p>
        </w:tc>
        <w:tc>
          <w:tcPr>
            <w:tcW w:type="dxa" w:w="1519"/>
            <w:tcMar>
              <w:top w:w="70" w:type="dxa"/>
              <w:start w:w="85" w:type="dxa"/>
              <w:bottom w:w="70" w:type="dxa"/>
              <w:end w:w="85" w:type="dxa"/>
            </w:tcMar>
            <w:vAlign w:val="center"/>
          </w:tcPr>
          <w:p>
            <w:pPr>
              <w:spacing w:before="0" w:after="0" w:line="240" w:lineRule="auto"/>
            </w:pPr>
            <w:r/>
            <w:r>
              <w:rPr>
                <w:sz w:val="15"/>
              </w:rPr>
              <w:t>18.49%</w:t>
            </w:r>
          </w:p>
        </w:tc>
        <w:tc>
          <w:tcPr>
            <w:tcW w:type="dxa" w:w="1519"/>
            <w:tcMar>
              <w:top w:w="70" w:type="dxa"/>
              <w:start w:w="85" w:type="dxa"/>
              <w:bottom w:w="70" w:type="dxa"/>
              <w:end w:w="85" w:type="dxa"/>
            </w:tcMar>
            <w:vAlign w:val="center"/>
          </w:tcPr>
          <w:p>
            <w:pPr>
              <w:spacing w:before="0" w:after="0" w:line="240" w:lineRule="auto"/>
            </w:pPr>
            <w:r/>
            <w:r>
              <w:rPr>
                <w:sz w:val="15"/>
              </w:rPr>
              <w:t>857 d</w:t>
            </w:r>
          </w:p>
        </w:tc>
        <w:tc>
          <w:tcPr>
            <w:tcW w:type="dxa" w:w="1519"/>
            <w:tcMar>
              <w:top w:w="70" w:type="dxa"/>
              <w:start w:w="85" w:type="dxa"/>
              <w:bottom w:w="70" w:type="dxa"/>
              <w:end w:w="85" w:type="dxa"/>
            </w:tcMar>
            <w:vAlign w:val="center"/>
          </w:tcPr>
          <w:p>
            <w:pPr>
              <w:spacing w:before="0" w:after="0" w:line="240" w:lineRule="auto"/>
            </w:pPr>
            <w:r/>
            <w:r>
              <w:rPr>
                <w:sz w:val="15"/>
              </w:rPr>
              <w:t>5.52×</w:t>
            </w:r>
          </w:p>
        </w:tc>
        <w:tc>
          <w:tcPr>
            <w:tcW w:type="dxa" w:w="1519"/>
            <w:tcMar>
              <w:top w:w="70" w:type="dxa"/>
              <w:start w:w="85" w:type="dxa"/>
              <w:bottom w:w="70" w:type="dxa"/>
              <w:end w:w="85" w:type="dxa"/>
            </w:tcMar>
            <w:vAlign w:val="center"/>
          </w:tcPr>
          <w:p>
            <w:pPr>
              <w:spacing w:before="0" w:after="0" w:line="240" w:lineRule="auto"/>
            </w:pPr>
            <w:r/>
            <w:r>
              <w:rPr>
                <w:sz w:val="15"/>
              </w:rPr>
              <w:t>1.34 pp</w:t>
            </w:r>
          </w:p>
        </w:tc>
      </w:tr>
      <w:tr>
        <w:tc>
          <w:tcPr>
            <w:tcW w:type="dxa" w:w="1519"/>
            <w:tcMar>
              <w:top w:w="70" w:type="dxa"/>
              <w:start w:w="85" w:type="dxa"/>
              <w:bottom w:w="70" w:type="dxa"/>
              <w:end w:w="85" w:type="dxa"/>
            </w:tcMar>
            <w:vAlign w:val="center"/>
          </w:tcPr>
          <w:p>
            <w:pPr>
              <w:spacing w:before="0" w:after="0" w:line="240" w:lineRule="auto"/>
            </w:pPr>
            <w:r/>
            <w:r>
              <w:rPr>
                <w:sz w:val="15"/>
              </w:rPr>
              <w:t>50% SWDA / 50% M2</w:t>
            </w:r>
          </w:p>
        </w:tc>
        <w:tc>
          <w:tcPr>
            <w:tcW w:type="dxa" w:w="1519"/>
            <w:tcMar>
              <w:top w:w="70" w:type="dxa"/>
              <w:start w:w="85" w:type="dxa"/>
              <w:bottom w:w="70" w:type="dxa"/>
              <w:end w:w="85" w:type="dxa"/>
            </w:tcMar>
            <w:vAlign w:val="center"/>
          </w:tcPr>
          <w:p>
            <w:pPr>
              <w:spacing w:before="0" w:after="0" w:line="240" w:lineRule="auto"/>
            </w:pPr>
            <w:r/>
            <w:r>
              <w:rPr>
                <w:sz w:val="15"/>
              </w:rPr>
              <w:t>12.40%</w:t>
            </w:r>
          </w:p>
        </w:tc>
        <w:tc>
          <w:tcPr>
            <w:tcW w:type="dxa" w:w="1519"/>
            <w:tcMar>
              <w:top w:w="70" w:type="dxa"/>
              <w:start w:w="85" w:type="dxa"/>
              <w:bottom w:w="70" w:type="dxa"/>
              <w:end w:w="85" w:type="dxa"/>
            </w:tcMar>
            <w:vAlign w:val="center"/>
          </w:tcPr>
          <w:p>
            <w:pPr>
              <w:spacing w:before="0" w:after="0" w:line="240" w:lineRule="auto"/>
            </w:pPr>
            <w:r/>
            <w:r>
              <w:rPr>
                <w:sz w:val="15"/>
              </w:rPr>
              <w:t>£302,751</w:t>
            </w:r>
          </w:p>
        </w:tc>
        <w:tc>
          <w:tcPr>
            <w:tcW w:type="dxa" w:w="1519"/>
            <w:tcMar>
              <w:top w:w="70" w:type="dxa"/>
              <w:start w:w="85" w:type="dxa"/>
              <w:bottom w:w="70" w:type="dxa"/>
              <w:end w:w="85" w:type="dxa"/>
            </w:tcMar>
            <w:vAlign w:val="center"/>
          </w:tcPr>
          <w:p>
            <w:pPr>
              <w:spacing w:before="0" w:after="0" w:line="240" w:lineRule="auto"/>
            </w:pPr>
            <w:r/>
            <w:r>
              <w:rPr>
                <w:sz w:val="15"/>
              </w:rPr>
              <w:t>−23.62%</w:t>
            </w:r>
          </w:p>
        </w:tc>
        <w:tc>
          <w:tcPr>
            <w:tcW w:type="dxa" w:w="1519"/>
            <w:tcMar>
              <w:top w:w="70" w:type="dxa"/>
              <w:start w:w="85" w:type="dxa"/>
              <w:bottom w:w="70" w:type="dxa"/>
              <w:end w:w="85" w:type="dxa"/>
            </w:tcMar>
            <w:vAlign w:val="center"/>
          </w:tcPr>
          <w:p>
            <w:pPr>
              <w:spacing w:before="0" w:after="0" w:line="240" w:lineRule="auto"/>
            </w:pPr>
            <w:r/>
            <w:r>
              <w:rPr>
                <w:sz w:val="15"/>
              </w:rPr>
              <w:t>0.53</w:t>
            </w:r>
          </w:p>
        </w:tc>
        <w:tc>
          <w:tcPr>
            <w:tcW w:type="dxa" w:w="1519"/>
            <w:tcMar>
              <w:top w:w="70" w:type="dxa"/>
              <w:start w:w="85" w:type="dxa"/>
              <w:bottom w:w="70" w:type="dxa"/>
              <w:end w:w="85" w:type="dxa"/>
            </w:tcMar>
            <w:vAlign w:val="center"/>
          </w:tcPr>
          <w:p>
            <w:pPr>
              <w:spacing w:before="0" w:after="0" w:line="240" w:lineRule="auto"/>
            </w:pPr>
            <w:r/>
            <w:r>
              <w:rPr>
                <w:sz w:val="15"/>
              </w:rPr>
              <w:t>5.89%</w:t>
            </w:r>
          </w:p>
        </w:tc>
        <w:tc>
          <w:tcPr>
            <w:tcW w:type="dxa" w:w="1519"/>
            <w:tcMar>
              <w:top w:w="70" w:type="dxa"/>
              <w:start w:w="85" w:type="dxa"/>
              <w:bottom w:w="70" w:type="dxa"/>
              <w:end w:w="85" w:type="dxa"/>
            </w:tcMar>
            <w:vAlign w:val="center"/>
          </w:tcPr>
          <w:p>
            <w:pPr>
              <w:spacing w:before="0" w:after="0" w:line="240" w:lineRule="auto"/>
            </w:pPr>
            <w:r/>
            <w:r>
              <w:rPr>
                <w:sz w:val="15"/>
              </w:rPr>
              <w:t>15.87%</w:t>
            </w:r>
          </w:p>
        </w:tc>
        <w:tc>
          <w:tcPr>
            <w:tcW w:type="dxa" w:w="1519"/>
            <w:tcMar>
              <w:top w:w="70" w:type="dxa"/>
              <w:start w:w="85" w:type="dxa"/>
              <w:bottom w:w="70" w:type="dxa"/>
              <w:end w:w="85" w:type="dxa"/>
            </w:tcMar>
            <w:vAlign w:val="center"/>
          </w:tcPr>
          <w:p>
            <w:pPr>
              <w:spacing w:before="0" w:after="0" w:line="240" w:lineRule="auto"/>
            </w:pPr>
            <w:r/>
            <w:r>
              <w:rPr>
                <w:sz w:val="15"/>
              </w:rPr>
              <w:t>763 d</w:t>
            </w:r>
          </w:p>
        </w:tc>
        <w:tc>
          <w:tcPr>
            <w:tcW w:type="dxa" w:w="1519"/>
            <w:tcMar>
              <w:top w:w="70" w:type="dxa"/>
              <w:start w:w="85" w:type="dxa"/>
              <w:bottom w:w="70" w:type="dxa"/>
              <w:end w:w="85" w:type="dxa"/>
            </w:tcMar>
            <w:vAlign w:val="center"/>
          </w:tcPr>
          <w:p>
            <w:pPr>
              <w:spacing w:before="0" w:after="0" w:line="240" w:lineRule="auto"/>
            </w:pPr>
            <w:r/>
            <w:r>
              <w:rPr>
                <w:sz w:val="15"/>
              </w:rPr>
              <w:t>2.89×</w:t>
            </w:r>
          </w:p>
        </w:tc>
        <w:tc>
          <w:tcPr>
            <w:tcW w:type="dxa" w:w="1519"/>
            <w:tcMar>
              <w:top w:w="70" w:type="dxa"/>
              <w:start w:w="85" w:type="dxa"/>
              <w:bottom w:w="70" w:type="dxa"/>
              <w:end w:w="85" w:type="dxa"/>
            </w:tcMar>
            <w:vAlign w:val="center"/>
          </w:tcPr>
          <w:p>
            <w:pPr>
              <w:spacing w:before="0" w:after="0" w:line="240" w:lineRule="auto"/>
            </w:pPr>
            <w:r/>
            <w:r>
              <w:rPr>
                <w:sz w:val="15"/>
              </w:rPr>
              <w:t>0.77 pp</w:t>
            </w:r>
          </w:p>
        </w:tc>
      </w:tr>
      <w:tr>
        <w:tc>
          <w:tcPr>
            <w:tcW w:type="dxa" w:w="1519"/>
            <w:tcMar>
              <w:top w:w="70" w:type="dxa"/>
              <w:start w:w="85" w:type="dxa"/>
              <w:bottom w:w="70" w:type="dxa"/>
              <w:end w:w="85" w:type="dxa"/>
            </w:tcMar>
            <w:vAlign w:val="center"/>
          </w:tcPr>
          <w:p>
            <w:pPr>
              <w:spacing w:before="0" w:after="0" w:line="240" w:lineRule="auto"/>
            </w:pPr>
            <w:r/>
            <w:r>
              <w:rPr>
                <w:sz w:val="15"/>
              </w:rPr>
              <w:t>Equal-weight opportunity pool</w:t>
            </w:r>
          </w:p>
        </w:tc>
        <w:tc>
          <w:tcPr>
            <w:tcW w:type="dxa" w:w="1519"/>
            <w:tcMar>
              <w:top w:w="70" w:type="dxa"/>
              <w:start w:w="85" w:type="dxa"/>
              <w:bottom w:w="70" w:type="dxa"/>
              <w:end w:w="85" w:type="dxa"/>
            </w:tcMar>
            <w:vAlign w:val="center"/>
          </w:tcPr>
          <w:p>
            <w:pPr>
              <w:spacing w:before="0" w:after="0" w:line="240" w:lineRule="auto"/>
            </w:pPr>
            <w:r/>
            <w:r>
              <w:rPr>
                <w:sz w:val="15"/>
              </w:rPr>
              <w:t>11.53%</w:t>
            </w:r>
          </w:p>
        </w:tc>
        <w:tc>
          <w:tcPr>
            <w:tcW w:type="dxa" w:w="1519"/>
            <w:tcMar>
              <w:top w:w="70" w:type="dxa"/>
              <w:start w:w="85" w:type="dxa"/>
              <w:bottom w:w="70" w:type="dxa"/>
              <w:end w:w="85" w:type="dxa"/>
            </w:tcMar>
            <w:vAlign w:val="center"/>
          </w:tcPr>
          <w:p>
            <w:pPr>
              <w:spacing w:before="0" w:after="0" w:line="240" w:lineRule="auto"/>
            </w:pPr>
            <w:r/>
            <w:r>
              <w:rPr>
                <w:sz w:val="15"/>
              </w:rPr>
              <w:t>£281,204</w:t>
            </w:r>
          </w:p>
        </w:tc>
        <w:tc>
          <w:tcPr>
            <w:tcW w:type="dxa" w:w="1519"/>
            <w:tcMar>
              <w:top w:w="70" w:type="dxa"/>
              <w:start w:w="85" w:type="dxa"/>
              <w:bottom w:w="70" w:type="dxa"/>
              <w:end w:w="85" w:type="dxa"/>
            </w:tcMar>
            <w:vAlign w:val="center"/>
          </w:tcPr>
          <w:p>
            <w:pPr>
              <w:spacing w:before="0" w:after="0" w:line="240" w:lineRule="auto"/>
            </w:pPr>
            <w:r/>
            <w:r>
              <w:rPr>
                <w:sz w:val="15"/>
              </w:rPr>
              <w:t>−28.30%</w:t>
            </w:r>
          </w:p>
        </w:tc>
        <w:tc>
          <w:tcPr>
            <w:tcW w:type="dxa" w:w="1519"/>
            <w:tcMar>
              <w:top w:w="70" w:type="dxa"/>
              <w:start w:w="85" w:type="dxa"/>
              <w:bottom w:w="70" w:type="dxa"/>
              <w:end w:w="85" w:type="dxa"/>
            </w:tcMar>
            <w:vAlign w:val="center"/>
          </w:tcPr>
          <w:p>
            <w:pPr>
              <w:spacing w:before="0" w:after="0" w:line="240" w:lineRule="auto"/>
            </w:pPr>
            <w:r/>
            <w:r>
              <w:rPr>
                <w:sz w:val="15"/>
              </w:rPr>
              <w:t>0.41</w:t>
            </w:r>
          </w:p>
        </w:tc>
        <w:tc>
          <w:tcPr>
            <w:tcW w:type="dxa" w:w="1519"/>
            <w:tcMar>
              <w:top w:w="70" w:type="dxa"/>
              <w:start w:w="85" w:type="dxa"/>
              <w:bottom w:w="70" w:type="dxa"/>
              <w:end w:w="85" w:type="dxa"/>
            </w:tcMar>
            <w:vAlign w:val="center"/>
          </w:tcPr>
          <w:p>
            <w:pPr>
              <w:spacing w:before="0" w:after="0" w:line="240" w:lineRule="auto"/>
            </w:pPr>
            <w:r/>
            <w:r>
              <w:rPr>
                <w:sz w:val="15"/>
              </w:rPr>
              <w:t>6.52%</w:t>
            </w:r>
          </w:p>
        </w:tc>
        <w:tc>
          <w:tcPr>
            <w:tcW w:type="dxa" w:w="1519"/>
            <w:tcMar>
              <w:top w:w="70" w:type="dxa"/>
              <w:start w:w="85" w:type="dxa"/>
              <w:bottom w:w="70" w:type="dxa"/>
              <w:end w:w="85" w:type="dxa"/>
            </w:tcMar>
            <w:vAlign w:val="center"/>
          </w:tcPr>
          <w:p>
            <w:pPr>
              <w:spacing w:before="0" w:after="0" w:line="240" w:lineRule="auto"/>
            </w:pPr>
            <w:r/>
            <w:r>
              <w:rPr>
                <w:sz w:val="15"/>
              </w:rPr>
              <w:t>16.77%</w:t>
            </w:r>
          </w:p>
        </w:tc>
        <w:tc>
          <w:tcPr>
            <w:tcW w:type="dxa" w:w="1519"/>
            <w:tcMar>
              <w:top w:w="70" w:type="dxa"/>
              <w:start w:w="85" w:type="dxa"/>
              <w:bottom w:w="70" w:type="dxa"/>
              <w:end w:w="85" w:type="dxa"/>
            </w:tcMar>
            <w:vAlign w:val="center"/>
          </w:tcPr>
          <w:p>
            <w:pPr>
              <w:spacing w:before="0" w:after="0" w:line="240" w:lineRule="auto"/>
            </w:pPr>
            <w:r/>
            <w:r>
              <w:rPr>
                <w:sz w:val="15"/>
              </w:rPr>
              <w:t>444 d</w:t>
            </w:r>
          </w:p>
        </w:tc>
        <w:tc>
          <w:tcPr>
            <w:tcW w:type="dxa" w:w="1519"/>
            <w:tcMar>
              <w:top w:w="70" w:type="dxa"/>
              <w:start w:w="85" w:type="dxa"/>
              <w:bottom w:w="70" w:type="dxa"/>
              <w:end w:w="85" w:type="dxa"/>
            </w:tcMar>
            <w:vAlign w:val="center"/>
          </w:tcPr>
          <w:p>
            <w:pPr>
              <w:spacing w:before="0" w:after="0" w:line="240" w:lineRule="auto"/>
            </w:pPr>
            <w:r/>
            <w:r>
              <w:rPr>
                <w:sz w:val="15"/>
              </w:rPr>
              <w:t>—</w:t>
            </w:r>
          </w:p>
        </w:tc>
        <w:tc>
          <w:tcPr>
            <w:tcW w:type="dxa" w:w="1519"/>
            <w:tcMar>
              <w:top w:w="70" w:type="dxa"/>
              <w:start w:w="85" w:type="dxa"/>
              <w:bottom w:w="70" w:type="dxa"/>
              <w:end w:w="85" w:type="dxa"/>
            </w:tcMar>
            <w:vAlign w:val="center"/>
          </w:tcPr>
          <w:p>
            <w:pPr>
              <w:spacing w:before="0" w:after="0" w:line="240" w:lineRule="auto"/>
            </w:pPr>
            <w:r/>
            <w:r>
              <w:rPr>
                <w:sz w:val="15"/>
              </w:rPr>
              <w:t>—</w:t>
            </w:r>
          </w:p>
        </w:tc>
      </w:tr>
      <w:tr>
        <w:tc>
          <w:tcPr>
            <w:tcW w:type="dxa" w:w="1519"/>
            <w:tcMar>
              <w:top w:w="70" w:type="dxa"/>
              <w:start w:w="85" w:type="dxa"/>
              <w:bottom w:w="70" w:type="dxa"/>
              <w:end w:w="85" w:type="dxa"/>
            </w:tcMar>
            <w:vAlign w:val="center"/>
          </w:tcPr>
          <w:p>
            <w:pPr>
              <w:spacing w:before="0" w:after="0" w:line="240" w:lineRule="auto"/>
            </w:pPr>
            <w:r/>
            <w:r>
              <w:rPr>
                <w:sz w:val="15"/>
              </w:rPr>
              <w:t>50% SWDA / 25% M2 / 25% cash</w:t>
            </w:r>
          </w:p>
        </w:tc>
        <w:tc>
          <w:tcPr>
            <w:tcW w:type="dxa" w:w="1519"/>
            <w:tcMar>
              <w:top w:w="70" w:type="dxa"/>
              <w:start w:w="85" w:type="dxa"/>
              <w:bottom w:w="70" w:type="dxa"/>
              <w:end w:w="85" w:type="dxa"/>
            </w:tcMar>
            <w:vAlign w:val="center"/>
          </w:tcPr>
          <w:p>
            <w:pPr>
              <w:spacing w:before="0" w:after="0" w:line="240" w:lineRule="auto"/>
            </w:pPr>
            <w:r/>
            <w:r>
              <w:rPr>
                <w:sz w:val="15"/>
              </w:rPr>
              <w:t>9.62%</w:t>
            </w:r>
          </w:p>
        </w:tc>
        <w:tc>
          <w:tcPr>
            <w:tcW w:type="dxa" w:w="1519"/>
            <w:tcMar>
              <w:top w:w="70" w:type="dxa"/>
              <w:start w:w="85" w:type="dxa"/>
              <w:bottom w:w="70" w:type="dxa"/>
              <w:end w:w="85" w:type="dxa"/>
            </w:tcMar>
            <w:vAlign w:val="center"/>
          </w:tcPr>
          <w:p>
            <w:pPr>
              <w:spacing w:before="0" w:after="0" w:line="240" w:lineRule="auto"/>
            </w:pPr>
            <w:r/>
            <w:r>
              <w:rPr>
                <w:sz w:val="15"/>
              </w:rPr>
              <w:t>£238,807</w:t>
            </w:r>
          </w:p>
        </w:tc>
        <w:tc>
          <w:tcPr>
            <w:tcW w:type="dxa" w:w="1519"/>
            <w:tcMar>
              <w:top w:w="70" w:type="dxa"/>
              <w:start w:w="85" w:type="dxa"/>
              <w:bottom w:w="70" w:type="dxa"/>
              <w:end w:w="85" w:type="dxa"/>
            </w:tcMar>
            <w:vAlign w:val="center"/>
          </w:tcPr>
          <w:p>
            <w:pPr>
              <w:spacing w:before="0" w:after="0" w:line="240" w:lineRule="auto"/>
            </w:pPr>
            <w:r/>
            <w:r>
              <w:rPr>
                <w:b/>
                <w:sz w:val="15"/>
              </w:rPr>
              <w:t>−18.44%</w:t>
            </w:r>
          </w:p>
        </w:tc>
        <w:tc>
          <w:tcPr>
            <w:tcW w:type="dxa" w:w="1519"/>
            <w:tcMar>
              <w:top w:w="70" w:type="dxa"/>
              <w:start w:w="85" w:type="dxa"/>
              <w:bottom w:w="70" w:type="dxa"/>
              <w:end w:w="85" w:type="dxa"/>
            </w:tcMar>
            <w:vAlign w:val="center"/>
          </w:tcPr>
          <w:p>
            <w:pPr>
              <w:spacing w:before="0" w:after="0" w:line="240" w:lineRule="auto"/>
            </w:pPr>
            <w:r/>
            <w:r>
              <w:rPr>
                <w:sz w:val="15"/>
              </w:rPr>
              <w:t>0.52</w:t>
            </w:r>
          </w:p>
        </w:tc>
        <w:tc>
          <w:tcPr>
            <w:tcW w:type="dxa" w:w="1519"/>
            <w:tcMar>
              <w:top w:w="70" w:type="dxa"/>
              <w:start w:w="85" w:type="dxa"/>
              <w:bottom w:w="70" w:type="dxa"/>
              <w:end w:w="85" w:type="dxa"/>
            </w:tcMar>
            <w:vAlign w:val="center"/>
          </w:tcPr>
          <w:p>
            <w:pPr>
              <w:spacing w:before="0" w:after="0" w:line="240" w:lineRule="auto"/>
            </w:pPr>
            <w:r/>
            <w:r>
              <w:rPr>
                <w:sz w:val="15"/>
              </w:rPr>
              <w:t>3.89%</w:t>
            </w:r>
          </w:p>
        </w:tc>
        <w:tc>
          <w:tcPr>
            <w:tcW w:type="dxa" w:w="1519"/>
            <w:tcMar>
              <w:top w:w="70" w:type="dxa"/>
              <w:start w:w="85" w:type="dxa"/>
              <w:bottom w:w="70" w:type="dxa"/>
              <w:end w:w="85" w:type="dxa"/>
            </w:tcMar>
            <w:vAlign w:val="center"/>
          </w:tcPr>
          <w:p>
            <w:pPr>
              <w:spacing w:before="0" w:after="0" w:line="240" w:lineRule="auto"/>
            </w:pPr>
            <w:r/>
            <w:r>
              <w:rPr>
                <w:sz w:val="15"/>
              </w:rPr>
              <w:t>11.48%</w:t>
            </w:r>
          </w:p>
        </w:tc>
        <w:tc>
          <w:tcPr>
            <w:tcW w:type="dxa" w:w="1519"/>
            <w:tcMar>
              <w:top w:w="70" w:type="dxa"/>
              <w:start w:w="85" w:type="dxa"/>
              <w:bottom w:w="70" w:type="dxa"/>
              <w:end w:w="85" w:type="dxa"/>
            </w:tcMar>
            <w:vAlign w:val="center"/>
          </w:tcPr>
          <w:p>
            <w:pPr>
              <w:spacing w:before="0" w:after="0" w:line="240" w:lineRule="auto"/>
            </w:pPr>
            <w:r/>
            <w:r>
              <w:rPr>
                <w:sz w:val="15"/>
              </w:rPr>
              <w:t>735 d</w:t>
            </w:r>
          </w:p>
        </w:tc>
        <w:tc>
          <w:tcPr>
            <w:tcW w:type="dxa" w:w="1519"/>
            <w:tcMar>
              <w:top w:w="70" w:type="dxa"/>
              <w:start w:w="85" w:type="dxa"/>
              <w:bottom w:w="70" w:type="dxa"/>
              <w:end w:w="85" w:type="dxa"/>
            </w:tcMar>
            <w:vAlign w:val="center"/>
          </w:tcPr>
          <w:p>
            <w:pPr>
              <w:spacing w:before="0" w:after="0" w:line="240" w:lineRule="auto"/>
            </w:pPr>
            <w:r/>
            <w:r>
              <w:rPr>
                <w:sz w:val="15"/>
              </w:rPr>
              <w:t>1.50×</w:t>
            </w:r>
          </w:p>
        </w:tc>
        <w:tc>
          <w:tcPr>
            <w:tcW w:type="dxa" w:w="1519"/>
            <w:tcMar>
              <w:top w:w="70" w:type="dxa"/>
              <w:start w:w="85" w:type="dxa"/>
              <w:bottom w:w="70" w:type="dxa"/>
              <w:end w:w="85" w:type="dxa"/>
            </w:tcMar>
            <w:vAlign w:val="center"/>
          </w:tcPr>
          <w:p>
            <w:pPr>
              <w:spacing w:before="0" w:after="0" w:line="240" w:lineRule="auto"/>
            </w:pPr>
            <w:r/>
            <w:r>
              <w:rPr>
                <w:sz w:val="15"/>
              </w:rPr>
              <w:t>0.46 pp</w:t>
            </w:r>
          </w:p>
        </w:tc>
      </w:tr>
      <w:tr>
        <w:tc>
          <w:tcPr>
            <w:tcW w:type="dxa" w:w="1519"/>
            <w:tcMar>
              <w:top w:w="70" w:type="dxa"/>
              <w:start w:w="85" w:type="dxa"/>
              <w:bottom w:w="70" w:type="dxa"/>
              <w:end w:w="85" w:type="dxa"/>
            </w:tcMar>
            <w:vAlign w:val="center"/>
          </w:tcPr>
          <w:p>
            <w:pPr>
              <w:spacing w:before="0" w:after="0" w:line="240" w:lineRule="auto"/>
            </w:pPr>
            <w:r/>
            <w:r>
              <w:rPr>
                <w:sz w:val="15"/>
              </w:rPr>
              <w:t>75% M2 / 25% cash</w:t>
            </w:r>
          </w:p>
        </w:tc>
        <w:tc>
          <w:tcPr>
            <w:tcW w:type="dxa" w:w="1519"/>
            <w:tcMar>
              <w:top w:w="70" w:type="dxa"/>
              <w:start w:w="85" w:type="dxa"/>
              <w:bottom w:w="70" w:type="dxa"/>
              <w:end w:w="85" w:type="dxa"/>
            </w:tcMar>
            <w:vAlign w:val="center"/>
          </w:tcPr>
          <w:p>
            <w:pPr>
              <w:spacing w:before="0" w:after="0" w:line="240" w:lineRule="auto"/>
            </w:pPr>
            <w:r/>
            <w:r>
              <w:rPr>
                <w:sz w:val="15"/>
              </w:rPr>
              <w:t>10.46%</w:t>
            </w:r>
          </w:p>
        </w:tc>
        <w:tc>
          <w:tcPr>
            <w:tcW w:type="dxa" w:w="1519"/>
            <w:tcMar>
              <w:top w:w="70" w:type="dxa"/>
              <w:start w:w="85" w:type="dxa"/>
              <w:bottom w:w="70" w:type="dxa"/>
              <w:end w:w="85" w:type="dxa"/>
            </w:tcMar>
            <w:vAlign w:val="center"/>
          </w:tcPr>
          <w:p>
            <w:pPr>
              <w:spacing w:before="0" w:after="0" w:line="240" w:lineRule="auto"/>
            </w:pPr>
            <w:r/>
            <w:r>
              <w:rPr>
                <w:sz w:val="15"/>
              </w:rPr>
              <w:t>£256,644</w:t>
            </w:r>
          </w:p>
        </w:tc>
        <w:tc>
          <w:tcPr>
            <w:tcW w:type="dxa" w:w="1519"/>
            <w:tcMar>
              <w:top w:w="70" w:type="dxa"/>
              <w:start w:w="85" w:type="dxa"/>
              <w:bottom w:w="70" w:type="dxa"/>
              <w:end w:w="85" w:type="dxa"/>
            </w:tcMar>
            <w:vAlign w:val="center"/>
          </w:tcPr>
          <w:p>
            <w:pPr>
              <w:spacing w:before="0" w:after="0" w:line="240" w:lineRule="auto"/>
            </w:pPr>
            <w:r/>
            <w:r>
              <w:rPr>
                <w:sz w:val="15"/>
              </w:rPr>
              <w:t>−17.95%</w:t>
            </w:r>
          </w:p>
        </w:tc>
        <w:tc>
          <w:tcPr>
            <w:tcW w:type="dxa" w:w="1519"/>
            <w:tcMar>
              <w:top w:w="70" w:type="dxa"/>
              <w:start w:w="85" w:type="dxa"/>
              <w:bottom w:w="70" w:type="dxa"/>
              <w:end w:w="85" w:type="dxa"/>
            </w:tcMar>
            <w:vAlign w:val="center"/>
          </w:tcPr>
          <w:p>
            <w:pPr>
              <w:spacing w:before="0" w:after="0" w:line="240" w:lineRule="auto"/>
            </w:pPr>
            <w:r/>
            <w:r>
              <w:rPr>
                <w:sz w:val="15"/>
              </w:rPr>
              <w:t>0.58</w:t>
            </w:r>
          </w:p>
        </w:tc>
        <w:tc>
          <w:tcPr>
            <w:tcW w:type="dxa" w:w="1519"/>
            <w:tcMar>
              <w:top w:w="70" w:type="dxa"/>
              <w:start w:w="85" w:type="dxa"/>
              <w:bottom w:w="70" w:type="dxa"/>
              <w:end w:w="85" w:type="dxa"/>
            </w:tcMar>
            <w:vAlign w:val="center"/>
          </w:tcPr>
          <w:p>
            <w:pPr>
              <w:spacing w:before="0" w:after="0" w:line="240" w:lineRule="auto"/>
            </w:pPr>
            <w:r/>
            <w:r>
              <w:rPr>
                <w:sz w:val="15"/>
              </w:rPr>
              <w:t>5.95%</w:t>
            </w:r>
          </w:p>
        </w:tc>
        <w:tc>
          <w:tcPr>
            <w:tcW w:type="dxa" w:w="1519"/>
            <w:tcMar>
              <w:top w:w="70" w:type="dxa"/>
              <w:start w:w="85" w:type="dxa"/>
              <w:bottom w:w="70" w:type="dxa"/>
              <w:end w:w="85" w:type="dxa"/>
            </w:tcMar>
            <w:vAlign w:val="center"/>
          </w:tcPr>
          <w:p>
            <w:pPr>
              <w:spacing w:before="0" w:after="0" w:line="240" w:lineRule="auto"/>
            </w:pPr>
            <w:r/>
            <w:r>
              <w:rPr>
                <w:sz w:val="15"/>
              </w:rPr>
              <w:t>13.84%</w:t>
            </w:r>
          </w:p>
        </w:tc>
        <w:tc>
          <w:tcPr>
            <w:tcW w:type="dxa" w:w="1519"/>
            <w:tcMar>
              <w:top w:w="70" w:type="dxa"/>
              <w:start w:w="85" w:type="dxa"/>
              <w:bottom w:w="70" w:type="dxa"/>
              <w:end w:w="85" w:type="dxa"/>
            </w:tcMar>
            <w:vAlign w:val="center"/>
          </w:tcPr>
          <w:p>
            <w:pPr>
              <w:spacing w:before="0" w:after="0" w:line="240" w:lineRule="auto"/>
            </w:pPr>
            <w:r/>
            <w:r>
              <w:rPr>
                <w:sz w:val="15"/>
              </w:rPr>
              <w:t>816 d</w:t>
            </w:r>
          </w:p>
        </w:tc>
        <w:tc>
          <w:tcPr>
            <w:tcW w:type="dxa" w:w="1519"/>
            <w:tcMar>
              <w:top w:w="70" w:type="dxa"/>
              <w:start w:w="85" w:type="dxa"/>
              <w:bottom w:w="70" w:type="dxa"/>
              <w:end w:w="85" w:type="dxa"/>
            </w:tcMar>
            <w:vAlign w:val="center"/>
          </w:tcPr>
          <w:p>
            <w:pPr>
              <w:spacing w:before="0" w:after="0" w:line="240" w:lineRule="auto"/>
            </w:pPr>
            <w:r/>
            <w:r>
              <w:rPr>
                <w:sz w:val="15"/>
              </w:rPr>
              <w:t>4.18×</w:t>
            </w:r>
          </w:p>
        </w:tc>
        <w:tc>
          <w:tcPr>
            <w:tcW w:type="dxa" w:w="1519"/>
            <w:tcMar>
              <w:top w:w="70" w:type="dxa"/>
              <w:start w:w="85" w:type="dxa"/>
              <w:bottom w:w="70" w:type="dxa"/>
              <w:end w:w="85" w:type="dxa"/>
            </w:tcMar>
            <w:vAlign w:val="center"/>
          </w:tcPr>
          <w:p>
            <w:pPr>
              <w:spacing w:before="0" w:after="0" w:line="240" w:lineRule="auto"/>
            </w:pPr>
            <w:r/>
            <w:r>
              <w:rPr>
                <w:sz w:val="15"/>
              </w:rPr>
              <w:t>1.04 pp</w:t>
            </w:r>
          </w:p>
        </w:tc>
      </w:tr>
      <w:tr>
        <w:tc>
          <w:tcPr>
            <w:tcW w:type="dxa" w:w="1519"/>
            <w:tcMar>
              <w:top w:w="70" w:type="dxa"/>
              <w:start w:w="85" w:type="dxa"/>
              <w:bottom w:w="70" w:type="dxa"/>
              <w:end w:w="85" w:type="dxa"/>
            </w:tcMar>
            <w:vAlign w:val="center"/>
          </w:tcPr>
          <w:p>
            <w:pPr>
              <w:spacing w:before="0" w:after="0" w:line="240" w:lineRule="auto"/>
            </w:pPr>
            <w:r/>
            <w:r>
              <w:rPr>
                <w:sz w:val="15"/>
              </w:rPr>
              <w:t>50% M2 / 50% cash</w:t>
            </w:r>
          </w:p>
        </w:tc>
        <w:tc>
          <w:tcPr>
            <w:tcW w:type="dxa" w:w="1519"/>
            <w:tcMar>
              <w:top w:w="70" w:type="dxa"/>
              <w:start w:w="85" w:type="dxa"/>
              <w:bottom w:w="70" w:type="dxa"/>
              <w:end w:w="85" w:type="dxa"/>
            </w:tcMar>
            <w:vAlign w:val="center"/>
          </w:tcPr>
          <w:p>
            <w:pPr>
              <w:spacing w:before="0" w:after="0" w:line="240" w:lineRule="auto"/>
            </w:pPr>
            <w:r/>
            <w:r>
              <w:rPr>
                <w:sz w:val="15"/>
              </w:rPr>
              <w:t>7.68%</w:t>
            </w:r>
          </w:p>
        </w:tc>
        <w:tc>
          <w:tcPr>
            <w:tcW w:type="dxa" w:w="1519"/>
            <w:tcMar>
              <w:top w:w="70" w:type="dxa"/>
              <w:start w:w="85" w:type="dxa"/>
              <w:bottom w:w="70" w:type="dxa"/>
              <w:end w:w="85" w:type="dxa"/>
            </w:tcMar>
            <w:vAlign w:val="center"/>
          </w:tcPr>
          <w:p>
            <w:pPr>
              <w:spacing w:before="0" w:after="0" w:line="240" w:lineRule="auto"/>
            </w:pPr>
            <w:r/>
            <w:r>
              <w:rPr>
                <w:sz w:val="15"/>
              </w:rPr>
              <w:t>£201,542</w:t>
            </w:r>
          </w:p>
        </w:tc>
        <w:tc>
          <w:tcPr>
            <w:tcW w:type="dxa" w:w="1519"/>
            <w:tcMar>
              <w:top w:w="70" w:type="dxa"/>
              <w:start w:w="85" w:type="dxa"/>
              <w:bottom w:w="70" w:type="dxa"/>
              <w:end w:w="85" w:type="dxa"/>
            </w:tcMar>
            <w:vAlign w:val="center"/>
          </w:tcPr>
          <w:p>
            <w:pPr>
              <w:spacing w:before="0" w:after="0" w:line="240" w:lineRule="auto"/>
            </w:pPr>
            <w:r/>
            <w:r>
              <w:rPr>
                <w:sz w:val="15"/>
              </w:rPr>
              <w:t>−12.16%</w:t>
            </w:r>
          </w:p>
        </w:tc>
        <w:tc>
          <w:tcPr>
            <w:tcW w:type="dxa" w:w="1519"/>
            <w:tcMar>
              <w:top w:w="70" w:type="dxa"/>
              <w:start w:w="85" w:type="dxa"/>
              <w:bottom w:w="70" w:type="dxa"/>
              <w:end w:w="85" w:type="dxa"/>
            </w:tcMar>
            <w:vAlign w:val="center"/>
          </w:tcPr>
          <w:p>
            <w:pPr>
              <w:spacing w:before="0" w:after="0" w:line="240" w:lineRule="auto"/>
            </w:pPr>
            <w:r/>
            <w:r>
              <w:rPr>
                <w:sz w:val="15"/>
              </w:rPr>
              <w:t>0.63</w:t>
            </w:r>
          </w:p>
        </w:tc>
        <w:tc>
          <w:tcPr>
            <w:tcW w:type="dxa" w:w="1519"/>
            <w:tcMar>
              <w:top w:w="70" w:type="dxa"/>
              <w:start w:w="85" w:type="dxa"/>
              <w:bottom w:w="70" w:type="dxa"/>
              <w:end w:w="85" w:type="dxa"/>
            </w:tcMar>
            <w:vAlign w:val="center"/>
          </w:tcPr>
          <w:p>
            <w:pPr>
              <w:spacing w:before="0" w:after="0" w:line="240" w:lineRule="auto"/>
            </w:pPr>
            <w:r/>
            <w:r>
              <w:rPr>
                <w:sz w:val="15"/>
              </w:rPr>
              <w:t>3.74%</w:t>
            </w:r>
          </w:p>
        </w:tc>
        <w:tc>
          <w:tcPr>
            <w:tcW w:type="dxa" w:w="1519"/>
            <w:tcMar>
              <w:top w:w="70" w:type="dxa"/>
              <w:start w:w="85" w:type="dxa"/>
              <w:bottom w:w="70" w:type="dxa"/>
              <w:end w:w="85" w:type="dxa"/>
            </w:tcMar>
            <w:vAlign w:val="center"/>
          </w:tcPr>
          <w:p>
            <w:pPr>
              <w:spacing w:before="0" w:after="0" w:line="240" w:lineRule="auto"/>
            </w:pPr>
            <w:r/>
            <w:r>
              <w:rPr>
                <w:sz w:val="15"/>
              </w:rPr>
              <w:t>9.21%</w:t>
            </w:r>
          </w:p>
        </w:tc>
        <w:tc>
          <w:tcPr>
            <w:tcW w:type="dxa" w:w="1519"/>
            <w:tcMar>
              <w:top w:w="70" w:type="dxa"/>
              <w:start w:w="85" w:type="dxa"/>
              <w:bottom w:w="70" w:type="dxa"/>
              <w:end w:w="85" w:type="dxa"/>
            </w:tcMar>
            <w:vAlign w:val="center"/>
          </w:tcPr>
          <w:p>
            <w:pPr>
              <w:spacing w:before="0" w:after="0" w:line="240" w:lineRule="auto"/>
            </w:pPr>
            <w:r/>
            <w:r>
              <w:rPr>
                <w:sz w:val="15"/>
              </w:rPr>
              <w:t>764 d</w:t>
            </w:r>
          </w:p>
        </w:tc>
        <w:tc>
          <w:tcPr>
            <w:tcW w:type="dxa" w:w="1519"/>
            <w:tcMar>
              <w:top w:w="70" w:type="dxa"/>
              <w:start w:w="85" w:type="dxa"/>
              <w:bottom w:w="70" w:type="dxa"/>
              <w:end w:w="85" w:type="dxa"/>
            </w:tcMar>
            <w:vAlign w:val="center"/>
          </w:tcPr>
          <w:p>
            <w:pPr>
              <w:spacing w:before="0" w:after="0" w:line="240" w:lineRule="auto"/>
            </w:pPr>
            <w:r/>
            <w:r>
              <w:rPr>
                <w:sz w:val="15"/>
              </w:rPr>
              <w:t>2.81×</w:t>
            </w:r>
          </w:p>
        </w:tc>
        <w:tc>
          <w:tcPr>
            <w:tcW w:type="dxa" w:w="1519"/>
            <w:tcMar>
              <w:top w:w="70" w:type="dxa"/>
              <w:start w:w="85" w:type="dxa"/>
              <w:bottom w:w="70" w:type="dxa"/>
              <w:end w:w="85" w:type="dxa"/>
            </w:tcMar>
            <w:vAlign w:val="center"/>
          </w:tcPr>
          <w:p>
            <w:pPr>
              <w:spacing w:before="0" w:after="0" w:line="240" w:lineRule="auto"/>
            </w:pPr>
            <w:r/>
            <w:r>
              <w:rPr>
                <w:sz w:val="15"/>
              </w:rPr>
              <w:t>0.73 pp</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Common sample: 2017-03-01–2026-08-21; monthly M2 TOP7 CASH0 equal weight; baseline costs; net results. Internal sources [ECON-GLOBAL_100]–[ECON-M2_TOP7_CASH0_75_CASH25]: A4F static frontier, commit </w:t>
      </w:r>
      <w:r>
        <w:rPr>
          <w:rFonts w:ascii="Consolas" w:hAnsi="Consolas"/>
          <w:color w:val="1F4D78"/>
          <w:sz w:val="16"/>
        </w:rPr>
        <w:t>6dba072dce65da56284a8c02f9f380301048d492</w:t>
      </w:r>
      <w:r>
        <w:rPr>
          <w:sz w:val="16"/>
        </w:rPr>
        <w:t xml:space="preserve">; [ECON-EQUAL_WEIGHT_OPPORTUNITY_POOL]: canonical A4D equity-curve parquet, historical source commit </w:t>
      </w:r>
      <w:r>
        <w:rPr>
          <w:rFonts w:ascii="Consolas" w:hAnsi="Consolas"/>
          <w:color w:val="1F4D78"/>
          <w:sz w:val="16"/>
        </w:rPr>
        <w:t>48cb69ffbaae25eb0dccc3226f47f5a7491e8bd7</w:t>
      </w:r>
      <w:r>
        <w:rPr>
          <w:sz w:val="16"/>
        </w:rPr>
        <w:t>, derived diagnostic.</w:t>
      </w:r>
    </w:p>
    <w:p>
      <w:r>
        <w:t>M2's full-history CAGR difference was 1.54 pp versus SWDA and 1.61 pp versus the equal pool. Its terminal wealth was highest, but so were annualised volatility, Ulcer and underwater duration among the main core/blend rows. M2 reduced MDD relative to SWDA by 2.05 pp, yet its larger Ulcer and 857-day underwater period show that risk reduction cannot be inferred from one drawdown statistic. The 75/25 control had substantially lower volatility and Ulcer because it held less equity; it is capital continuity, not timing skill.</w:t>
      </w:r>
    </w:p>
    <w:p>
      <w:pPr>
        <w:keepNext/>
        <w:jc w:val="center"/>
      </w:pPr>
      <w:r>
        <w:drawing>
          <wp:inline xmlns:a="http://schemas.openxmlformats.org/drawingml/2006/main" xmlns:pic="http://schemas.openxmlformats.org/drawingml/2006/picture">
            <wp:extent cx="5806440" cy="3156408"/>
            <wp:docPr id="5" name="Picture 5"/>
            <wp:cNvGraphicFramePr>
              <a:graphicFrameLocks noChangeAspect="1"/>
            </wp:cNvGraphicFramePr>
            <a:graphic>
              <a:graphicData uri="http://schemas.openxmlformats.org/drawingml/2006/picture">
                <pic:pic>
                  <pic:nvPicPr>
                    <pic:cNvPr id="0" name="FIGURE_05_EQUITY_CURVES.png"/>
                    <pic:cNvPicPr/>
                  </pic:nvPicPr>
                  <pic:blipFill>
                    <a:blip r:embed="rId15"/>
                    <a:stretch>
                      <a:fillRect/>
                    </a:stretch>
                  </pic:blipFill>
                  <pic:spPr>
                    <a:xfrm>
                      <a:off x="0" y="0"/>
                      <a:ext cx="5806440" cy="3156408"/>
                    </a:xfrm>
                    <a:prstGeom prst="rect"/>
                  </pic:spPr>
                </pic:pic>
              </a:graphicData>
            </a:graphic>
          </wp:inline>
        </w:drawing>
      </w:r>
    </w:p>
    <w:p>
      <w:pPr>
        <w:pStyle w:val="FigureCaptionUKACTIVE"/>
      </w:pPr>
      <w:r>
        <w:rPr>
          <w:b/>
          <w:sz w:val="18"/>
        </w:rPr>
        <w:t>Figure 5.</w:t>
      </w:r>
      <w:r>
        <w:rPr>
          <w:sz w:val="18"/>
        </w:rPr>
        <w:t xml:space="preserve"> Growth of £100,000 for M2, SWDA/global developed and the equal-weight opportunity pool on the common window. M2 is net of baseline costs; comparator conventions follow canonical reference paths.</w:t>
      </w:r>
    </w:p>
    <w:p>
      <w:pPr>
        <w:keepNext/>
        <w:jc w:val="center"/>
      </w:pPr>
      <w:r>
        <w:drawing>
          <wp:inline xmlns:a="http://schemas.openxmlformats.org/drawingml/2006/main" xmlns:pic="http://schemas.openxmlformats.org/drawingml/2006/picture">
            <wp:extent cx="5806440" cy="3156408"/>
            <wp:docPr id="6" name="Picture 6"/>
            <wp:cNvGraphicFramePr>
              <a:graphicFrameLocks noChangeAspect="1"/>
            </wp:cNvGraphicFramePr>
            <a:graphic>
              <a:graphicData uri="http://schemas.openxmlformats.org/drawingml/2006/picture">
                <pic:pic>
                  <pic:nvPicPr>
                    <pic:cNvPr id="0" name="FIGURE_06_DRAWDOWN_CURVES.png"/>
                    <pic:cNvPicPr/>
                  </pic:nvPicPr>
                  <pic:blipFill>
                    <a:blip r:embed="rId16"/>
                    <a:stretch>
                      <a:fillRect/>
                    </a:stretch>
                  </pic:blipFill>
                  <pic:spPr>
                    <a:xfrm>
                      <a:off x="0" y="0"/>
                      <a:ext cx="5806440" cy="3156408"/>
                    </a:xfrm>
                    <a:prstGeom prst="rect"/>
                  </pic:spPr>
                </pic:pic>
              </a:graphicData>
            </a:graphic>
          </wp:inline>
        </w:drawing>
      </w:r>
    </w:p>
    <w:p>
      <w:pPr>
        <w:pStyle w:val="FigureCaptionUKACTIVE"/>
      </w:pPr>
      <w:r>
        <w:rPr>
          <w:b/>
          <w:sz w:val="18"/>
        </w:rPr>
        <w:t>Figure 6.</w:t>
      </w:r>
      <w:r>
        <w:rPr>
          <w:sz w:val="18"/>
        </w:rPr>
        <w:t xml:space="preserve"> Drawdowns from each series' own wealth peak. M2's advantage was not a uniformly smoother path; prolonged 2022–2024 relative weakness is visible.</w:t>
      </w:r>
    </w:p>
    <w:p>
      <w:r>
        <w:t xml:space="preserve">Metric definitions explain apparently conflicting “excess” values. The 1.61 pp figure is a full-window difference in geometric CAGRs versus the pool. A full-history daily arithmetic annualised return difference was 4.3864%, while the latest-five-year monthly bootstrap used an observed arithmetic annualised difference of 2.9385%. They are different estimands, frequencies and windows, not contradictory measurements. (Internal source: A4E, </w:t>
      </w:r>
      <w:r>
        <w:rPr>
          <w:rFonts w:ascii="Consolas" w:hAnsi="Consolas"/>
          <w:color w:val="1F4D78"/>
        </w:rPr>
        <w:t>UKACTIVE_A4E_SIPP_METRIC_RECONCILIATION.csv</w:t>
      </w:r>
      <w:r>
        <w:t xml:space="preserve">, commit </w:t>
      </w:r>
      <w:r>
        <w:rPr>
          <w:rFonts w:ascii="Consolas" w:hAnsi="Consolas"/>
          <w:color w:val="1F4D78"/>
        </w:rPr>
        <w:t>6eef0e4</w:t>
      </w:r>
      <w:r>
        <w:t xml:space="preserve">; A4D bootstrap at </w:t>
      </w:r>
      <w:r>
        <w:rPr>
          <w:rFonts w:ascii="Consolas" w:hAnsi="Consolas"/>
          <w:color w:val="1F4D78"/>
        </w:rPr>
        <w:t>f411e0d</w:t>
      </w:r>
      <w:r>
        <w:t>.)</w:t>
      </w:r>
    </w:p>
    <w:p>
      <w:r>
        <w:rPr>
          <w:b/>
        </w:rPr>
        <w:t>Unresolved longer-core conflict.</w:t>
      </w:r>
      <w:r>
        <w:t xml:space="preserve"> The A4F reproduction narrative identifies a longer core-only context from 2010-01-08 to 2026-08-21. The final machine-readable </w:t>
      </w:r>
      <w:r>
        <w:rPr>
          <w:rFonts w:ascii="Consolas" w:hAnsi="Consolas"/>
          <w:color w:val="1F4D78"/>
        </w:rPr>
        <w:t>UKACTIVE_A4F_SIPP_LONGER_CORE_ONLY_RESULTS.csv</w:t>
      </w:r>
      <w:r>
        <w:t xml:space="preserve"> contains only dates 2010-03-01 to 2010-03-09 and implausible annualised results. Under the evidence hierarchy this is </w:t>
      </w:r>
      <w:r>
        <w:rPr>
          <w:rFonts w:ascii="Consolas" w:hAnsi="Consolas"/>
          <w:color w:val="1F4D78"/>
        </w:rPr>
        <w:t>UNRESOLVED_SOURCE_CONFLICT</w:t>
      </w:r>
      <w:r>
        <w:t xml:space="preserve">. No longer-window return statistic is reported or compared with the 2017–2026 rotation result. (Internal source [LONG-CORE-CONFLICT], A4F commit </w:t>
      </w:r>
      <w:r>
        <w:rPr>
          <w:rFonts w:ascii="Consolas" w:hAnsi="Consolas"/>
          <w:color w:val="1F4D78"/>
        </w:rPr>
        <w:t>6dba072</w:t>
      </w:r>
      <w:r>
        <w:t>.)</w:t>
      </w:r>
    </w:p>
    <w:p>
      <w:pPr>
        <w:pStyle w:val="Heading1"/>
      </w:pPr>
      <w:r>
        <w:t>19. Year-by-year performance</w:t>
      </w:r>
    </w:p>
    <w:p>
      <w:r>
        <w:t>Calendar-year decomposition shows why the full CAGR cannot be interpreted as a stable annual premium. The first and last years are partial. The 10% pilot column is its return difference from the 75/25 control, not its absolute whole-SIPP return.</w:t>
      </w:r>
    </w:p>
    <w:p>
      <w:pPr>
        <w:keepNext/>
        <w:spacing w:before="160" w:after="80"/>
      </w:pPr>
      <w:r>
        <w:rPr>
          <w:b/>
        </w:rPr>
        <w:t>Table 12. Calendar-year net performance</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Year</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SWDA</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50/50 SWDA/M2</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100% M2</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Equal pool</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75/25 control</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10% pilot minus control</w:t>
            </w:r>
          </w:p>
        </w:tc>
      </w:tr>
      <w:tr>
        <w:tc>
          <w:tcPr>
            <w:tcW w:type="dxa" w:w="1393"/>
            <w:tcMar>
              <w:top w:w="70" w:type="dxa"/>
              <w:start w:w="85" w:type="dxa"/>
              <w:bottom w:w="70" w:type="dxa"/>
              <w:end w:w="85" w:type="dxa"/>
            </w:tcMar>
            <w:vAlign w:val="center"/>
          </w:tcPr>
          <w:p>
            <w:pPr>
              <w:spacing w:before="0" w:after="0" w:line="240" w:lineRule="auto"/>
            </w:pPr>
            <w:r/>
            <w:r>
              <w:rPr>
                <w:sz w:val="16"/>
              </w:rPr>
              <w:t>2017*</w:t>
            </w:r>
          </w:p>
        </w:tc>
        <w:tc>
          <w:tcPr>
            <w:tcW w:type="dxa" w:w="1393"/>
            <w:tcMar>
              <w:top w:w="70" w:type="dxa"/>
              <w:start w:w="85" w:type="dxa"/>
              <w:bottom w:w="70" w:type="dxa"/>
              <w:end w:w="85" w:type="dxa"/>
            </w:tcMar>
            <w:vAlign w:val="center"/>
          </w:tcPr>
          <w:p>
            <w:pPr>
              <w:spacing w:before="0" w:after="0" w:line="240" w:lineRule="auto"/>
            </w:pPr>
            <w:r/>
            <w:r>
              <w:rPr>
                <w:sz w:val="16"/>
              </w:rPr>
              <w:t>5.27%</w:t>
            </w:r>
          </w:p>
        </w:tc>
        <w:tc>
          <w:tcPr>
            <w:tcW w:type="dxa" w:w="1393"/>
            <w:tcMar>
              <w:top w:w="70" w:type="dxa"/>
              <w:start w:w="85" w:type="dxa"/>
              <w:bottom w:w="70" w:type="dxa"/>
              <w:end w:w="85" w:type="dxa"/>
            </w:tcMar>
            <w:vAlign w:val="center"/>
          </w:tcPr>
          <w:p>
            <w:pPr>
              <w:spacing w:before="0" w:after="0" w:line="240" w:lineRule="auto"/>
            </w:pPr>
            <w:r/>
            <w:r>
              <w:rPr>
                <w:sz w:val="16"/>
              </w:rPr>
              <w:t>4.62%</w:t>
            </w:r>
          </w:p>
        </w:tc>
        <w:tc>
          <w:tcPr>
            <w:tcW w:type="dxa" w:w="1393"/>
            <w:tcMar>
              <w:top w:w="70" w:type="dxa"/>
              <w:start w:w="85" w:type="dxa"/>
              <w:bottom w:w="70" w:type="dxa"/>
              <w:end w:w="85" w:type="dxa"/>
            </w:tcMar>
            <w:vAlign w:val="center"/>
          </w:tcPr>
          <w:p>
            <w:pPr>
              <w:spacing w:before="0" w:after="0" w:line="240" w:lineRule="auto"/>
            </w:pPr>
            <w:r/>
            <w:r>
              <w:rPr>
                <w:sz w:val="16"/>
              </w:rPr>
              <w:t>4.27%</w:t>
            </w:r>
          </w:p>
        </w:tc>
        <w:tc>
          <w:tcPr>
            <w:tcW w:type="dxa" w:w="1393"/>
            <w:tcMar>
              <w:top w:w="70" w:type="dxa"/>
              <w:start w:w="85" w:type="dxa"/>
              <w:bottom w:w="70" w:type="dxa"/>
              <w:end w:w="85" w:type="dxa"/>
            </w:tcMar>
            <w:vAlign w:val="center"/>
          </w:tcPr>
          <w:p>
            <w:pPr>
              <w:spacing w:before="0" w:after="0" w:line="240" w:lineRule="auto"/>
            </w:pPr>
            <w:r/>
            <w:r>
              <w:rPr>
                <w:sz w:val="16"/>
              </w:rPr>
              <w:t>7.89%</w:t>
            </w:r>
          </w:p>
        </w:tc>
        <w:tc>
          <w:tcPr>
            <w:tcW w:type="dxa" w:w="1393"/>
            <w:tcMar>
              <w:top w:w="70" w:type="dxa"/>
              <w:start w:w="85" w:type="dxa"/>
              <w:bottom w:w="70" w:type="dxa"/>
              <w:end w:w="85" w:type="dxa"/>
            </w:tcMar>
            <w:vAlign w:val="center"/>
          </w:tcPr>
          <w:p>
            <w:pPr>
              <w:spacing w:before="0" w:after="0" w:line="240" w:lineRule="auto"/>
            </w:pPr>
            <w:r/>
            <w:r>
              <w:rPr>
                <w:sz w:val="16"/>
              </w:rPr>
              <w:t>3.99%</w:t>
            </w:r>
          </w:p>
        </w:tc>
        <w:tc>
          <w:tcPr>
            <w:tcW w:type="dxa" w:w="1393"/>
            <w:tcMar>
              <w:top w:w="70" w:type="dxa"/>
              <w:start w:w="85" w:type="dxa"/>
              <w:bottom w:w="70" w:type="dxa"/>
              <w:end w:w="85" w:type="dxa"/>
            </w:tcMar>
            <w:vAlign w:val="center"/>
          </w:tcPr>
          <w:p>
            <w:pPr>
              <w:spacing w:before="0" w:after="0" w:line="240" w:lineRule="auto"/>
            </w:pPr>
            <w:r/>
            <w:r>
              <w:rPr>
                <w:sz w:val="16"/>
              </w:rPr>
              <w:t>−0.15 pp</w:t>
            </w:r>
          </w:p>
        </w:tc>
      </w:tr>
      <w:tr>
        <w:tc>
          <w:tcPr>
            <w:tcW w:type="dxa" w:w="1393"/>
            <w:tcMar>
              <w:top w:w="70" w:type="dxa"/>
              <w:start w:w="85" w:type="dxa"/>
              <w:bottom w:w="70" w:type="dxa"/>
              <w:end w:w="85" w:type="dxa"/>
            </w:tcMar>
            <w:vAlign w:val="center"/>
          </w:tcPr>
          <w:p>
            <w:pPr>
              <w:spacing w:before="0" w:after="0" w:line="240" w:lineRule="auto"/>
            </w:pPr>
            <w:r/>
            <w:r>
              <w:rPr>
                <w:sz w:val="16"/>
              </w:rPr>
              <w:t>2018</w:t>
            </w:r>
          </w:p>
        </w:tc>
        <w:tc>
          <w:tcPr>
            <w:tcW w:type="dxa" w:w="1393"/>
            <w:tcMar>
              <w:top w:w="70" w:type="dxa"/>
              <w:start w:w="85" w:type="dxa"/>
              <w:bottom w:w="70" w:type="dxa"/>
              <w:end w:w="85" w:type="dxa"/>
            </w:tcMar>
            <w:vAlign w:val="center"/>
          </w:tcPr>
          <w:p>
            <w:pPr>
              <w:spacing w:before="0" w:after="0" w:line="240" w:lineRule="auto"/>
            </w:pPr>
            <w:r/>
            <w:r>
              <w:rPr>
                <w:sz w:val="16"/>
              </w:rPr>
              <w:t>−3.78%</w:t>
            </w:r>
          </w:p>
        </w:tc>
        <w:tc>
          <w:tcPr>
            <w:tcW w:type="dxa" w:w="1393"/>
            <w:tcMar>
              <w:top w:w="70" w:type="dxa"/>
              <w:start w:w="85" w:type="dxa"/>
              <w:bottom w:w="70" w:type="dxa"/>
              <w:end w:w="85" w:type="dxa"/>
            </w:tcMar>
            <w:vAlign w:val="center"/>
          </w:tcPr>
          <w:p>
            <w:pPr>
              <w:spacing w:before="0" w:after="0" w:line="240" w:lineRule="auto"/>
            </w:pPr>
            <w:r/>
            <w:r>
              <w:rPr>
                <w:sz w:val="16"/>
              </w:rPr>
              <w:t>−6.15%</w:t>
            </w:r>
          </w:p>
        </w:tc>
        <w:tc>
          <w:tcPr>
            <w:tcW w:type="dxa" w:w="1393"/>
            <w:tcMar>
              <w:top w:w="70" w:type="dxa"/>
              <w:start w:w="85" w:type="dxa"/>
              <w:bottom w:w="70" w:type="dxa"/>
              <w:end w:w="85" w:type="dxa"/>
            </w:tcMar>
            <w:vAlign w:val="center"/>
          </w:tcPr>
          <w:p>
            <w:pPr>
              <w:spacing w:before="0" w:after="0" w:line="240" w:lineRule="auto"/>
            </w:pPr>
            <w:r/>
            <w:r>
              <w:rPr>
                <w:sz w:val="16"/>
              </w:rPr>
              <w:t>−8.36%</w:t>
            </w:r>
          </w:p>
        </w:tc>
        <w:tc>
          <w:tcPr>
            <w:tcW w:type="dxa" w:w="1393"/>
            <w:tcMar>
              <w:top w:w="70" w:type="dxa"/>
              <w:start w:w="85" w:type="dxa"/>
              <w:bottom w:w="70" w:type="dxa"/>
              <w:end w:w="85" w:type="dxa"/>
            </w:tcMar>
            <w:vAlign w:val="center"/>
          </w:tcPr>
          <w:p>
            <w:pPr>
              <w:spacing w:before="0" w:after="0" w:line="240" w:lineRule="auto"/>
            </w:pPr>
            <w:r/>
            <w:r>
              <w:rPr>
                <w:sz w:val="16"/>
              </w:rPr>
              <w:t>−8.98%</w:t>
            </w:r>
          </w:p>
        </w:tc>
        <w:tc>
          <w:tcPr>
            <w:tcW w:type="dxa" w:w="1393"/>
            <w:tcMar>
              <w:top w:w="70" w:type="dxa"/>
              <w:start w:w="85" w:type="dxa"/>
              <w:bottom w:w="70" w:type="dxa"/>
              <w:end w:w="85" w:type="dxa"/>
            </w:tcMar>
            <w:vAlign w:val="center"/>
          </w:tcPr>
          <w:p>
            <w:pPr>
              <w:spacing w:before="0" w:after="0" w:line="240" w:lineRule="auto"/>
            </w:pPr>
            <w:r/>
            <w:r>
              <w:rPr>
                <w:sz w:val="16"/>
              </w:rPr>
              <w:t>−2.53%</w:t>
            </w:r>
          </w:p>
        </w:tc>
        <w:tc>
          <w:tcPr>
            <w:tcW w:type="dxa" w:w="1393"/>
            <w:tcMar>
              <w:top w:w="70" w:type="dxa"/>
              <w:start w:w="85" w:type="dxa"/>
              <w:bottom w:w="70" w:type="dxa"/>
              <w:end w:w="85" w:type="dxa"/>
            </w:tcMar>
            <w:vAlign w:val="center"/>
          </w:tcPr>
          <w:p>
            <w:pPr>
              <w:spacing w:before="0" w:after="0" w:line="240" w:lineRule="auto"/>
            </w:pPr>
            <w:r/>
            <w:r>
              <w:rPr>
                <w:sz w:val="16"/>
              </w:rPr>
              <w:t>−0.52 pp</w:t>
            </w:r>
          </w:p>
        </w:tc>
      </w:tr>
      <w:tr>
        <w:tc>
          <w:tcPr>
            <w:tcW w:type="dxa" w:w="1393"/>
            <w:tcMar>
              <w:top w:w="70" w:type="dxa"/>
              <w:start w:w="85" w:type="dxa"/>
              <w:bottom w:w="70" w:type="dxa"/>
              <w:end w:w="85" w:type="dxa"/>
            </w:tcMar>
            <w:vAlign w:val="center"/>
          </w:tcPr>
          <w:p>
            <w:pPr>
              <w:spacing w:before="0" w:after="0" w:line="240" w:lineRule="auto"/>
            </w:pPr>
            <w:r/>
            <w:r>
              <w:rPr>
                <w:sz w:val="16"/>
              </w:rPr>
              <w:t>2019</w:t>
            </w:r>
          </w:p>
        </w:tc>
        <w:tc>
          <w:tcPr>
            <w:tcW w:type="dxa" w:w="1393"/>
            <w:tcMar>
              <w:top w:w="70" w:type="dxa"/>
              <w:start w:w="85" w:type="dxa"/>
              <w:bottom w:w="70" w:type="dxa"/>
              <w:end w:w="85" w:type="dxa"/>
            </w:tcMar>
            <w:vAlign w:val="center"/>
          </w:tcPr>
          <w:p>
            <w:pPr>
              <w:spacing w:before="0" w:after="0" w:line="240" w:lineRule="auto"/>
            </w:pPr>
            <w:r/>
            <w:r>
              <w:rPr>
                <w:sz w:val="16"/>
              </w:rPr>
              <w:t>23.03%</w:t>
            </w:r>
          </w:p>
        </w:tc>
        <w:tc>
          <w:tcPr>
            <w:tcW w:type="dxa" w:w="1393"/>
            <w:tcMar>
              <w:top w:w="70" w:type="dxa"/>
              <w:start w:w="85" w:type="dxa"/>
              <w:bottom w:w="70" w:type="dxa"/>
              <w:end w:w="85" w:type="dxa"/>
            </w:tcMar>
            <w:vAlign w:val="center"/>
          </w:tcPr>
          <w:p>
            <w:pPr>
              <w:spacing w:before="0" w:after="0" w:line="240" w:lineRule="auto"/>
            </w:pPr>
            <w:r/>
            <w:r>
              <w:rPr>
                <w:sz w:val="16"/>
              </w:rPr>
              <w:t>19.55%</w:t>
            </w:r>
          </w:p>
        </w:tc>
        <w:tc>
          <w:tcPr>
            <w:tcW w:type="dxa" w:w="1393"/>
            <w:tcMar>
              <w:top w:w="70" w:type="dxa"/>
              <w:start w:w="85" w:type="dxa"/>
              <w:bottom w:w="70" w:type="dxa"/>
              <w:end w:w="85" w:type="dxa"/>
            </w:tcMar>
            <w:vAlign w:val="center"/>
          </w:tcPr>
          <w:p>
            <w:pPr>
              <w:spacing w:before="0" w:after="0" w:line="240" w:lineRule="auto"/>
            </w:pPr>
            <w:r/>
            <w:r>
              <w:rPr>
                <w:sz w:val="16"/>
              </w:rPr>
              <w:t>16.18%</w:t>
            </w:r>
          </w:p>
        </w:tc>
        <w:tc>
          <w:tcPr>
            <w:tcW w:type="dxa" w:w="1393"/>
            <w:tcMar>
              <w:top w:w="70" w:type="dxa"/>
              <w:start w:w="85" w:type="dxa"/>
              <w:bottom w:w="70" w:type="dxa"/>
              <w:end w:w="85" w:type="dxa"/>
            </w:tcMar>
            <w:vAlign w:val="center"/>
          </w:tcPr>
          <w:p>
            <w:pPr>
              <w:spacing w:before="0" w:after="0" w:line="240" w:lineRule="auto"/>
            </w:pPr>
            <w:r/>
            <w:r>
              <w:rPr>
                <w:sz w:val="16"/>
              </w:rPr>
              <w:t>24.43%</w:t>
            </w:r>
          </w:p>
        </w:tc>
        <w:tc>
          <w:tcPr>
            <w:tcW w:type="dxa" w:w="1393"/>
            <w:tcMar>
              <w:top w:w="70" w:type="dxa"/>
              <w:start w:w="85" w:type="dxa"/>
              <w:bottom w:w="70" w:type="dxa"/>
              <w:end w:w="85" w:type="dxa"/>
            </w:tcMar>
            <w:vAlign w:val="center"/>
          </w:tcPr>
          <w:p>
            <w:pPr>
              <w:spacing w:before="0" w:after="0" w:line="240" w:lineRule="auto"/>
            </w:pPr>
            <w:r/>
            <w:r>
              <w:rPr>
                <w:sz w:val="16"/>
              </w:rPr>
              <w:t>17.10%</w:t>
            </w:r>
          </w:p>
        </w:tc>
        <w:tc>
          <w:tcPr>
            <w:tcW w:type="dxa" w:w="1393"/>
            <w:tcMar>
              <w:top w:w="70" w:type="dxa"/>
              <w:start w:w="85" w:type="dxa"/>
              <w:bottom w:w="70" w:type="dxa"/>
              <w:end w:w="85" w:type="dxa"/>
            </w:tcMar>
            <w:vAlign w:val="center"/>
          </w:tcPr>
          <w:p>
            <w:pPr>
              <w:spacing w:before="0" w:after="0" w:line="240" w:lineRule="auto"/>
            </w:pPr>
            <w:r/>
            <w:r>
              <w:rPr>
                <w:sz w:val="16"/>
              </w:rPr>
              <w:t>−0.70 pp</w:t>
            </w:r>
          </w:p>
        </w:tc>
      </w:tr>
      <w:tr>
        <w:tc>
          <w:tcPr>
            <w:tcW w:type="dxa" w:w="1393"/>
            <w:tcMar>
              <w:top w:w="70" w:type="dxa"/>
              <w:start w:w="85" w:type="dxa"/>
              <w:bottom w:w="70" w:type="dxa"/>
              <w:end w:w="85" w:type="dxa"/>
            </w:tcMar>
            <w:vAlign w:val="center"/>
          </w:tcPr>
          <w:p>
            <w:pPr>
              <w:spacing w:before="0" w:after="0" w:line="240" w:lineRule="auto"/>
            </w:pPr>
            <w:r/>
            <w:r>
              <w:rPr>
                <w:sz w:val="16"/>
              </w:rPr>
              <w:t>2020</w:t>
            </w:r>
          </w:p>
        </w:tc>
        <w:tc>
          <w:tcPr>
            <w:tcW w:type="dxa" w:w="1393"/>
            <w:tcMar>
              <w:top w:w="70" w:type="dxa"/>
              <w:start w:w="85" w:type="dxa"/>
              <w:bottom w:w="70" w:type="dxa"/>
              <w:end w:w="85" w:type="dxa"/>
            </w:tcMar>
            <w:vAlign w:val="center"/>
          </w:tcPr>
          <w:p>
            <w:pPr>
              <w:spacing w:before="0" w:after="0" w:line="240" w:lineRule="auto"/>
            </w:pPr>
            <w:r/>
            <w:r>
              <w:rPr>
                <w:sz w:val="16"/>
              </w:rPr>
              <w:t>12.25%</w:t>
            </w:r>
          </w:p>
        </w:tc>
        <w:tc>
          <w:tcPr>
            <w:tcW w:type="dxa" w:w="1393"/>
            <w:tcMar>
              <w:top w:w="70" w:type="dxa"/>
              <w:start w:w="85" w:type="dxa"/>
              <w:bottom w:w="70" w:type="dxa"/>
              <w:end w:w="85" w:type="dxa"/>
            </w:tcMar>
            <w:vAlign w:val="center"/>
          </w:tcPr>
          <w:p>
            <w:pPr>
              <w:spacing w:before="0" w:after="0" w:line="240" w:lineRule="auto"/>
            </w:pPr>
            <w:r/>
            <w:r>
              <w:rPr>
                <w:sz w:val="16"/>
              </w:rPr>
              <w:t>20.92%</w:t>
            </w:r>
          </w:p>
        </w:tc>
        <w:tc>
          <w:tcPr>
            <w:tcW w:type="dxa" w:w="1393"/>
            <w:tcMar>
              <w:top w:w="70" w:type="dxa"/>
              <w:start w:w="85" w:type="dxa"/>
              <w:bottom w:w="70" w:type="dxa"/>
              <w:end w:w="85" w:type="dxa"/>
            </w:tcMar>
            <w:vAlign w:val="center"/>
          </w:tcPr>
          <w:p>
            <w:pPr>
              <w:spacing w:before="0" w:after="0" w:line="240" w:lineRule="auto"/>
            </w:pPr>
            <w:r/>
            <w:r>
              <w:rPr>
                <w:b/>
                <w:sz w:val="16"/>
              </w:rPr>
              <w:t>30.38%</w:t>
            </w:r>
          </w:p>
        </w:tc>
        <w:tc>
          <w:tcPr>
            <w:tcW w:type="dxa" w:w="1393"/>
            <w:tcMar>
              <w:top w:w="70" w:type="dxa"/>
              <w:start w:w="85" w:type="dxa"/>
              <w:bottom w:w="70" w:type="dxa"/>
              <w:end w:w="85" w:type="dxa"/>
            </w:tcMar>
            <w:vAlign w:val="center"/>
          </w:tcPr>
          <w:p>
            <w:pPr>
              <w:spacing w:before="0" w:after="0" w:line="240" w:lineRule="auto"/>
            </w:pPr>
            <w:r/>
            <w:r>
              <w:rPr>
                <w:sz w:val="16"/>
              </w:rPr>
              <w:t>14.99%</w:t>
            </w:r>
          </w:p>
        </w:tc>
        <w:tc>
          <w:tcPr>
            <w:tcW w:type="dxa" w:w="1393"/>
            <w:tcMar>
              <w:top w:w="70" w:type="dxa"/>
              <w:start w:w="85" w:type="dxa"/>
              <w:bottom w:w="70" w:type="dxa"/>
              <w:end w:w="85" w:type="dxa"/>
            </w:tcMar>
            <w:vAlign w:val="center"/>
          </w:tcPr>
          <w:p>
            <w:pPr>
              <w:spacing w:before="0" w:after="0" w:line="240" w:lineRule="auto"/>
            </w:pPr>
            <w:r/>
            <w:r>
              <w:rPr>
                <w:sz w:val="16"/>
              </w:rPr>
              <w:t>9.64%</w:t>
            </w:r>
          </w:p>
        </w:tc>
        <w:tc>
          <w:tcPr>
            <w:tcW w:type="dxa" w:w="1393"/>
            <w:tcMar>
              <w:top w:w="70" w:type="dxa"/>
              <w:start w:w="85" w:type="dxa"/>
              <w:bottom w:w="70" w:type="dxa"/>
              <w:end w:w="85" w:type="dxa"/>
            </w:tcMar>
            <w:vAlign w:val="center"/>
          </w:tcPr>
          <w:p>
            <w:pPr>
              <w:spacing w:before="0" w:after="0" w:line="240" w:lineRule="auto"/>
            </w:pPr>
            <w:r/>
            <w:r>
              <w:rPr>
                <w:b/>
                <w:sz w:val="16"/>
              </w:rPr>
              <w:t>1.60 pp</w:t>
            </w:r>
          </w:p>
        </w:tc>
      </w:tr>
      <w:tr>
        <w:tc>
          <w:tcPr>
            <w:tcW w:type="dxa" w:w="1393"/>
            <w:tcMar>
              <w:top w:w="70" w:type="dxa"/>
              <w:start w:w="85" w:type="dxa"/>
              <w:bottom w:w="70" w:type="dxa"/>
              <w:end w:w="85" w:type="dxa"/>
            </w:tcMar>
            <w:vAlign w:val="center"/>
          </w:tcPr>
          <w:p>
            <w:pPr>
              <w:spacing w:before="0" w:after="0" w:line="240" w:lineRule="auto"/>
            </w:pPr>
            <w:r/>
            <w:r>
              <w:rPr>
                <w:sz w:val="16"/>
              </w:rPr>
              <w:t>2021</w:t>
            </w:r>
          </w:p>
        </w:tc>
        <w:tc>
          <w:tcPr>
            <w:tcW w:type="dxa" w:w="1393"/>
            <w:tcMar>
              <w:top w:w="70" w:type="dxa"/>
              <w:start w:w="85" w:type="dxa"/>
              <w:bottom w:w="70" w:type="dxa"/>
              <w:end w:w="85" w:type="dxa"/>
            </w:tcMar>
            <w:vAlign w:val="center"/>
          </w:tcPr>
          <w:p>
            <w:pPr>
              <w:spacing w:before="0" w:after="0" w:line="240" w:lineRule="auto"/>
            </w:pPr>
            <w:r/>
            <w:r>
              <w:rPr>
                <w:sz w:val="16"/>
              </w:rPr>
              <w:t>23.64%</w:t>
            </w:r>
          </w:p>
        </w:tc>
        <w:tc>
          <w:tcPr>
            <w:tcW w:type="dxa" w:w="1393"/>
            <w:tcMar>
              <w:top w:w="70" w:type="dxa"/>
              <w:start w:w="85" w:type="dxa"/>
              <w:bottom w:w="70" w:type="dxa"/>
              <w:end w:w="85" w:type="dxa"/>
            </w:tcMar>
            <w:vAlign w:val="center"/>
          </w:tcPr>
          <w:p>
            <w:pPr>
              <w:spacing w:before="0" w:after="0" w:line="240" w:lineRule="auto"/>
            </w:pPr>
            <w:r/>
            <w:r>
              <w:rPr>
                <w:sz w:val="16"/>
              </w:rPr>
              <w:t>22.75%</w:t>
            </w:r>
          </w:p>
        </w:tc>
        <w:tc>
          <w:tcPr>
            <w:tcW w:type="dxa" w:w="1393"/>
            <w:tcMar>
              <w:top w:w="70" w:type="dxa"/>
              <w:start w:w="85" w:type="dxa"/>
              <w:bottom w:w="70" w:type="dxa"/>
              <w:end w:w="85" w:type="dxa"/>
            </w:tcMar>
            <w:vAlign w:val="center"/>
          </w:tcPr>
          <w:p>
            <w:pPr>
              <w:spacing w:before="0" w:after="0" w:line="240" w:lineRule="auto"/>
            </w:pPr>
            <w:r/>
            <w:r>
              <w:rPr>
                <w:sz w:val="16"/>
              </w:rPr>
              <w:t>21.74%</w:t>
            </w:r>
          </w:p>
        </w:tc>
        <w:tc>
          <w:tcPr>
            <w:tcW w:type="dxa" w:w="1393"/>
            <w:tcMar>
              <w:top w:w="70" w:type="dxa"/>
              <w:start w:w="85" w:type="dxa"/>
              <w:bottom w:w="70" w:type="dxa"/>
              <w:end w:w="85" w:type="dxa"/>
            </w:tcMar>
            <w:vAlign w:val="center"/>
          </w:tcPr>
          <w:p>
            <w:pPr>
              <w:spacing w:before="0" w:after="0" w:line="240" w:lineRule="auto"/>
            </w:pPr>
            <w:r/>
            <w:r>
              <w:rPr>
                <w:sz w:val="16"/>
              </w:rPr>
              <w:t>23.51%</w:t>
            </w:r>
          </w:p>
        </w:tc>
        <w:tc>
          <w:tcPr>
            <w:tcW w:type="dxa" w:w="1393"/>
            <w:tcMar>
              <w:top w:w="70" w:type="dxa"/>
              <w:start w:w="85" w:type="dxa"/>
              <w:bottom w:w="70" w:type="dxa"/>
              <w:end w:w="85" w:type="dxa"/>
            </w:tcMar>
            <w:vAlign w:val="center"/>
          </w:tcPr>
          <w:p>
            <w:pPr>
              <w:spacing w:before="0" w:after="0" w:line="240" w:lineRule="auto"/>
            </w:pPr>
            <w:r/>
            <w:r>
              <w:rPr>
                <w:sz w:val="16"/>
              </w:rPr>
              <w:t>17.33%</w:t>
            </w:r>
          </w:p>
        </w:tc>
        <w:tc>
          <w:tcPr>
            <w:tcW w:type="dxa" w:w="1393"/>
            <w:tcMar>
              <w:top w:w="70" w:type="dxa"/>
              <w:start w:w="85" w:type="dxa"/>
              <w:bottom w:w="70" w:type="dxa"/>
              <w:end w:w="85" w:type="dxa"/>
            </w:tcMar>
            <w:vAlign w:val="center"/>
          </w:tcPr>
          <w:p>
            <w:pPr>
              <w:spacing w:before="0" w:after="0" w:line="240" w:lineRule="auto"/>
            </w:pPr>
            <w:r/>
            <w:r>
              <w:rPr>
                <w:sz w:val="16"/>
              </w:rPr>
              <w:t>−0.18 pp</w:t>
            </w:r>
          </w:p>
        </w:tc>
      </w:tr>
      <w:tr>
        <w:tc>
          <w:tcPr>
            <w:tcW w:type="dxa" w:w="1393"/>
            <w:tcMar>
              <w:top w:w="70" w:type="dxa"/>
              <w:start w:w="85" w:type="dxa"/>
              <w:bottom w:w="70" w:type="dxa"/>
              <w:end w:w="85" w:type="dxa"/>
            </w:tcMar>
            <w:vAlign w:val="center"/>
          </w:tcPr>
          <w:p>
            <w:pPr>
              <w:spacing w:before="0" w:after="0" w:line="240" w:lineRule="auto"/>
            </w:pPr>
            <w:r/>
            <w:r>
              <w:rPr>
                <w:sz w:val="16"/>
              </w:rPr>
              <w:t>2022</w:t>
            </w:r>
          </w:p>
        </w:tc>
        <w:tc>
          <w:tcPr>
            <w:tcW w:type="dxa" w:w="1393"/>
            <w:tcMar>
              <w:top w:w="70" w:type="dxa"/>
              <w:start w:w="85" w:type="dxa"/>
              <w:bottom w:w="70" w:type="dxa"/>
              <w:end w:w="85" w:type="dxa"/>
            </w:tcMar>
            <w:vAlign w:val="center"/>
          </w:tcPr>
          <w:p>
            <w:pPr>
              <w:spacing w:before="0" w:after="0" w:line="240" w:lineRule="auto"/>
            </w:pPr>
            <w:r/>
            <w:r>
              <w:rPr>
                <w:sz w:val="16"/>
              </w:rPr>
              <w:t>−8.33%</w:t>
            </w:r>
          </w:p>
        </w:tc>
        <w:tc>
          <w:tcPr>
            <w:tcW w:type="dxa" w:w="1393"/>
            <w:tcMar>
              <w:top w:w="70" w:type="dxa"/>
              <w:start w:w="85" w:type="dxa"/>
              <w:bottom w:w="70" w:type="dxa"/>
              <w:end w:w="85" w:type="dxa"/>
            </w:tcMar>
            <w:vAlign w:val="center"/>
          </w:tcPr>
          <w:p>
            <w:pPr>
              <w:spacing w:before="0" w:after="0" w:line="240" w:lineRule="auto"/>
            </w:pPr>
            <w:r/>
            <w:r>
              <w:rPr>
                <w:sz w:val="16"/>
              </w:rPr>
              <w:t>−11.30%</w:t>
            </w:r>
          </w:p>
        </w:tc>
        <w:tc>
          <w:tcPr>
            <w:tcW w:type="dxa" w:w="1393"/>
            <w:tcMar>
              <w:top w:w="70" w:type="dxa"/>
              <w:start w:w="85" w:type="dxa"/>
              <w:bottom w:w="70" w:type="dxa"/>
              <w:end w:w="85" w:type="dxa"/>
            </w:tcMar>
            <w:vAlign w:val="center"/>
          </w:tcPr>
          <w:p>
            <w:pPr>
              <w:spacing w:before="0" w:after="0" w:line="240" w:lineRule="auto"/>
            </w:pPr>
            <w:r/>
            <w:r>
              <w:rPr>
                <w:sz w:val="16"/>
              </w:rPr>
              <w:t>−14.23%</w:t>
            </w:r>
          </w:p>
        </w:tc>
        <w:tc>
          <w:tcPr>
            <w:tcW w:type="dxa" w:w="1393"/>
            <w:tcMar>
              <w:top w:w="70" w:type="dxa"/>
              <w:start w:w="85" w:type="dxa"/>
              <w:bottom w:w="70" w:type="dxa"/>
              <w:end w:w="85" w:type="dxa"/>
            </w:tcMar>
            <w:vAlign w:val="center"/>
          </w:tcPr>
          <w:p>
            <w:pPr>
              <w:spacing w:before="0" w:after="0" w:line="240" w:lineRule="auto"/>
            </w:pPr>
            <w:r/>
            <w:r>
              <w:rPr>
                <w:sz w:val="16"/>
              </w:rPr>
              <w:t>−5.04%</w:t>
            </w:r>
          </w:p>
        </w:tc>
        <w:tc>
          <w:tcPr>
            <w:tcW w:type="dxa" w:w="1393"/>
            <w:tcMar>
              <w:top w:w="70" w:type="dxa"/>
              <w:start w:w="85" w:type="dxa"/>
              <w:bottom w:w="70" w:type="dxa"/>
              <w:end w:w="85" w:type="dxa"/>
            </w:tcMar>
            <w:vAlign w:val="center"/>
          </w:tcPr>
          <w:p>
            <w:pPr>
              <w:spacing w:before="0" w:after="0" w:line="240" w:lineRule="auto"/>
            </w:pPr>
            <w:r/>
            <w:r>
              <w:rPr>
                <w:sz w:val="16"/>
              </w:rPr>
              <w:t>−5.85%</w:t>
            </w:r>
          </w:p>
        </w:tc>
        <w:tc>
          <w:tcPr>
            <w:tcW w:type="dxa" w:w="1393"/>
            <w:tcMar>
              <w:top w:w="70" w:type="dxa"/>
              <w:start w:w="85" w:type="dxa"/>
              <w:bottom w:w="70" w:type="dxa"/>
              <w:end w:w="85" w:type="dxa"/>
            </w:tcMar>
            <w:vAlign w:val="center"/>
          </w:tcPr>
          <w:p>
            <w:pPr>
              <w:spacing w:before="0" w:after="0" w:line="240" w:lineRule="auto"/>
            </w:pPr>
            <w:r/>
            <w:r>
              <w:rPr>
                <w:sz w:val="16"/>
              </w:rPr>
              <w:t>−0.62 pp</w:t>
            </w:r>
          </w:p>
        </w:tc>
      </w:tr>
      <w:tr>
        <w:tc>
          <w:tcPr>
            <w:tcW w:type="dxa" w:w="1393"/>
            <w:tcMar>
              <w:top w:w="70" w:type="dxa"/>
              <w:start w:w="85" w:type="dxa"/>
              <w:bottom w:w="70" w:type="dxa"/>
              <w:end w:w="85" w:type="dxa"/>
            </w:tcMar>
            <w:vAlign w:val="center"/>
          </w:tcPr>
          <w:p>
            <w:pPr>
              <w:spacing w:before="0" w:after="0" w:line="240" w:lineRule="auto"/>
            </w:pPr>
            <w:r/>
            <w:r>
              <w:rPr>
                <w:sz w:val="16"/>
              </w:rPr>
              <w:t>2023</w:t>
            </w:r>
          </w:p>
        </w:tc>
        <w:tc>
          <w:tcPr>
            <w:tcW w:type="dxa" w:w="1393"/>
            <w:tcMar>
              <w:top w:w="70" w:type="dxa"/>
              <w:start w:w="85" w:type="dxa"/>
              <w:bottom w:w="70" w:type="dxa"/>
              <w:end w:w="85" w:type="dxa"/>
            </w:tcMar>
            <w:vAlign w:val="center"/>
          </w:tcPr>
          <w:p>
            <w:pPr>
              <w:spacing w:before="0" w:after="0" w:line="240" w:lineRule="auto"/>
            </w:pPr>
            <w:r/>
            <w:r>
              <w:rPr>
                <w:sz w:val="16"/>
              </w:rPr>
              <w:t>17.59%</w:t>
            </w:r>
          </w:p>
        </w:tc>
        <w:tc>
          <w:tcPr>
            <w:tcW w:type="dxa" w:w="1393"/>
            <w:tcMar>
              <w:top w:w="70" w:type="dxa"/>
              <w:start w:w="85" w:type="dxa"/>
              <w:bottom w:w="70" w:type="dxa"/>
              <w:end w:w="85" w:type="dxa"/>
            </w:tcMar>
            <w:vAlign w:val="center"/>
          </w:tcPr>
          <w:p>
            <w:pPr>
              <w:spacing w:before="0" w:after="0" w:line="240" w:lineRule="auto"/>
            </w:pPr>
            <w:r/>
            <w:r>
              <w:rPr>
                <w:sz w:val="16"/>
              </w:rPr>
              <w:t>16.95%</w:t>
            </w:r>
          </w:p>
        </w:tc>
        <w:tc>
          <w:tcPr>
            <w:tcW w:type="dxa" w:w="1393"/>
            <w:tcMar>
              <w:top w:w="70" w:type="dxa"/>
              <w:start w:w="85" w:type="dxa"/>
              <w:bottom w:w="70" w:type="dxa"/>
              <w:end w:w="85" w:type="dxa"/>
            </w:tcMar>
            <w:vAlign w:val="center"/>
          </w:tcPr>
          <w:p>
            <w:pPr>
              <w:spacing w:before="0" w:after="0" w:line="240" w:lineRule="auto"/>
            </w:pPr>
            <w:r/>
            <w:r>
              <w:rPr>
                <w:sz w:val="16"/>
              </w:rPr>
              <w:t>16.10%</w:t>
            </w:r>
          </w:p>
        </w:tc>
        <w:tc>
          <w:tcPr>
            <w:tcW w:type="dxa" w:w="1393"/>
            <w:tcMar>
              <w:top w:w="70" w:type="dxa"/>
              <w:start w:w="85" w:type="dxa"/>
              <w:bottom w:w="70" w:type="dxa"/>
              <w:end w:w="85" w:type="dxa"/>
            </w:tcMar>
            <w:vAlign w:val="center"/>
          </w:tcPr>
          <w:p>
            <w:pPr>
              <w:spacing w:before="0" w:after="0" w:line="240" w:lineRule="auto"/>
            </w:pPr>
            <w:r/>
            <w:r>
              <w:rPr>
                <w:sz w:val="16"/>
              </w:rPr>
              <w:t>8.41%</w:t>
            </w:r>
          </w:p>
        </w:tc>
        <w:tc>
          <w:tcPr>
            <w:tcW w:type="dxa" w:w="1393"/>
            <w:tcMar>
              <w:top w:w="70" w:type="dxa"/>
              <w:start w:w="85" w:type="dxa"/>
              <w:bottom w:w="70" w:type="dxa"/>
              <w:end w:w="85" w:type="dxa"/>
            </w:tcMar>
            <w:vAlign w:val="center"/>
          </w:tcPr>
          <w:p>
            <w:pPr>
              <w:spacing w:before="0" w:after="0" w:line="240" w:lineRule="auto"/>
            </w:pPr>
            <w:r/>
            <w:r>
              <w:rPr>
                <w:sz w:val="16"/>
              </w:rPr>
              <w:t>14.24%</w:t>
            </w:r>
          </w:p>
        </w:tc>
        <w:tc>
          <w:tcPr>
            <w:tcW w:type="dxa" w:w="1393"/>
            <w:tcMar>
              <w:top w:w="70" w:type="dxa"/>
              <w:start w:w="85" w:type="dxa"/>
              <w:bottom w:w="70" w:type="dxa"/>
              <w:end w:w="85" w:type="dxa"/>
            </w:tcMar>
            <w:vAlign w:val="center"/>
          </w:tcPr>
          <w:p>
            <w:pPr>
              <w:spacing w:before="0" w:after="0" w:line="240" w:lineRule="auto"/>
            </w:pPr>
            <w:r/>
            <w:r>
              <w:rPr>
                <w:sz w:val="16"/>
              </w:rPr>
              <w:t>−0.14 pp</w:t>
            </w:r>
          </w:p>
        </w:tc>
      </w:tr>
      <w:tr>
        <w:tc>
          <w:tcPr>
            <w:tcW w:type="dxa" w:w="1393"/>
            <w:tcMar>
              <w:top w:w="70" w:type="dxa"/>
              <w:start w:w="85" w:type="dxa"/>
              <w:bottom w:w="70" w:type="dxa"/>
              <w:end w:w="85" w:type="dxa"/>
            </w:tcMar>
            <w:vAlign w:val="center"/>
          </w:tcPr>
          <w:p>
            <w:pPr>
              <w:spacing w:before="0" w:after="0" w:line="240" w:lineRule="auto"/>
            </w:pPr>
            <w:r/>
            <w:r>
              <w:rPr>
                <w:sz w:val="16"/>
              </w:rPr>
              <w:t>2024</w:t>
            </w:r>
          </w:p>
        </w:tc>
        <w:tc>
          <w:tcPr>
            <w:tcW w:type="dxa" w:w="1393"/>
            <w:tcMar>
              <w:top w:w="70" w:type="dxa"/>
              <w:start w:w="85" w:type="dxa"/>
              <w:bottom w:w="70" w:type="dxa"/>
              <w:end w:w="85" w:type="dxa"/>
            </w:tcMar>
            <w:vAlign w:val="center"/>
          </w:tcPr>
          <w:p>
            <w:pPr>
              <w:spacing w:before="0" w:after="0" w:line="240" w:lineRule="auto"/>
            </w:pPr>
            <w:r/>
            <w:r>
              <w:rPr>
                <w:sz w:val="16"/>
              </w:rPr>
              <w:t>21.11%</w:t>
            </w:r>
          </w:p>
        </w:tc>
        <w:tc>
          <w:tcPr>
            <w:tcW w:type="dxa" w:w="1393"/>
            <w:tcMar>
              <w:top w:w="70" w:type="dxa"/>
              <w:start w:w="85" w:type="dxa"/>
              <w:bottom w:w="70" w:type="dxa"/>
              <w:end w:w="85" w:type="dxa"/>
            </w:tcMar>
            <w:vAlign w:val="center"/>
          </w:tcPr>
          <w:p>
            <w:pPr>
              <w:spacing w:before="0" w:after="0" w:line="240" w:lineRule="auto"/>
            </w:pPr>
            <w:r/>
            <w:r>
              <w:rPr>
                <w:sz w:val="16"/>
              </w:rPr>
              <w:t>14.08%</w:t>
            </w:r>
          </w:p>
        </w:tc>
        <w:tc>
          <w:tcPr>
            <w:tcW w:type="dxa" w:w="1393"/>
            <w:tcMar>
              <w:top w:w="70" w:type="dxa"/>
              <w:start w:w="85" w:type="dxa"/>
              <w:bottom w:w="70" w:type="dxa"/>
              <w:end w:w="85" w:type="dxa"/>
            </w:tcMar>
            <w:vAlign w:val="center"/>
          </w:tcPr>
          <w:p>
            <w:pPr>
              <w:spacing w:before="0" w:after="0" w:line="240" w:lineRule="auto"/>
            </w:pPr>
            <w:r/>
            <w:r>
              <w:rPr>
                <w:sz w:val="16"/>
              </w:rPr>
              <w:t>7.46%</w:t>
            </w:r>
          </w:p>
        </w:tc>
        <w:tc>
          <w:tcPr>
            <w:tcW w:type="dxa" w:w="1393"/>
            <w:tcMar>
              <w:top w:w="70" w:type="dxa"/>
              <w:start w:w="85" w:type="dxa"/>
              <w:bottom w:w="70" w:type="dxa"/>
              <w:end w:w="85" w:type="dxa"/>
            </w:tcMar>
            <w:vAlign w:val="center"/>
          </w:tcPr>
          <w:p>
            <w:pPr>
              <w:spacing w:before="0" w:after="0" w:line="240" w:lineRule="auto"/>
            </w:pPr>
            <w:r/>
            <w:r>
              <w:rPr>
                <w:sz w:val="16"/>
              </w:rPr>
              <w:t>9.73%</w:t>
            </w:r>
          </w:p>
        </w:tc>
        <w:tc>
          <w:tcPr>
            <w:tcW w:type="dxa" w:w="1393"/>
            <w:tcMar>
              <w:top w:w="70" w:type="dxa"/>
              <w:start w:w="85" w:type="dxa"/>
              <w:bottom w:w="70" w:type="dxa"/>
              <w:end w:w="85" w:type="dxa"/>
            </w:tcMar>
            <w:vAlign w:val="center"/>
          </w:tcPr>
          <w:p>
            <w:pPr>
              <w:spacing w:before="0" w:after="0" w:line="240" w:lineRule="auto"/>
            </w:pPr>
            <w:r/>
            <w:r>
              <w:rPr>
                <w:sz w:val="16"/>
              </w:rPr>
              <w:t>16.96%</w:t>
            </w:r>
          </w:p>
        </w:tc>
        <w:tc>
          <w:tcPr>
            <w:tcW w:type="dxa" w:w="1393"/>
            <w:tcMar>
              <w:top w:w="70" w:type="dxa"/>
              <w:start w:w="85" w:type="dxa"/>
              <w:bottom w:w="70" w:type="dxa"/>
              <w:end w:w="85" w:type="dxa"/>
            </w:tcMar>
            <w:vAlign w:val="center"/>
          </w:tcPr>
          <w:p>
            <w:pPr>
              <w:spacing w:before="0" w:after="0" w:line="240" w:lineRule="auto"/>
            </w:pPr>
            <w:r/>
            <w:r>
              <w:rPr>
                <w:sz w:val="16"/>
              </w:rPr>
              <w:t>−1.41 pp</w:t>
            </w:r>
          </w:p>
        </w:tc>
      </w:tr>
      <w:tr>
        <w:tc>
          <w:tcPr>
            <w:tcW w:type="dxa" w:w="1393"/>
            <w:tcMar>
              <w:top w:w="70" w:type="dxa"/>
              <w:start w:w="85" w:type="dxa"/>
              <w:bottom w:w="70" w:type="dxa"/>
              <w:end w:w="85" w:type="dxa"/>
            </w:tcMar>
            <w:vAlign w:val="center"/>
          </w:tcPr>
          <w:p>
            <w:pPr>
              <w:spacing w:before="0" w:after="0" w:line="240" w:lineRule="auto"/>
            </w:pPr>
            <w:r/>
            <w:r>
              <w:rPr>
                <w:sz w:val="16"/>
              </w:rPr>
              <w:t>2025</w:t>
            </w:r>
          </w:p>
        </w:tc>
        <w:tc>
          <w:tcPr>
            <w:tcW w:type="dxa" w:w="1393"/>
            <w:tcMar>
              <w:top w:w="70" w:type="dxa"/>
              <w:start w:w="85" w:type="dxa"/>
              <w:bottom w:w="70" w:type="dxa"/>
              <w:end w:w="85" w:type="dxa"/>
            </w:tcMar>
            <w:vAlign w:val="center"/>
          </w:tcPr>
          <w:p>
            <w:pPr>
              <w:spacing w:before="0" w:after="0" w:line="240" w:lineRule="auto"/>
            </w:pPr>
            <w:r/>
            <w:r>
              <w:rPr>
                <w:sz w:val="16"/>
              </w:rPr>
              <w:t>12.64%</w:t>
            </w:r>
          </w:p>
        </w:tc>
        <w:tc>
          <w:tcPr>
            <w:tcW w:type="dxa" w:w="1393"/>
            <w:tcMar>
              <w:top w:w="70" w:type="dxa"/>
              <w:start w:w="85" w:type="dxa"/>
              <w:bottom w:w="70" w:type="dxa"/>
              <w:end w:w="85" w:type="dxa"/>
            </w:tcMar>
            <w:vAlign w:val="center"/>
          </w:tcPr>
          <w:p>
            <w:pPr>
              <w:spacing w:before="0" w:after="0" w:line="240" w:lineRule="auto"/>
            </w:pPr>
            <w:r/>
            <w:r>
              <w:rPr>
                <w:sz w:val="16"/>
              </w:rPr>
              <w:t>29.74%</w:t>
            </w:r>
          </w:p>
        </w:tc>
        <w:tc>
          <w:tcPr>
            <w:tcW w:type="dxa" w:w="1393"/>
            <w:tcMar>
              <w:top w:w="70" w:type="dxa"/>
              <w:start w:w="85" w:type="dxa"/>
              <w:bottom w:w="70" w:type="dxa"/>
              <w:end w:w="85" w:type="dxa"/>
            </w:tcMar>
            <w:vAlign w:val="center"/>
          </w:tcPr>
          <w:p>
            <w:pPr>
              <w:spacing w:before="0" w:after="0" w:line="240" w:lineRule="auto"/>
            </w:pPr>
            <w:r/>
            <w:r>
              <w:rPr>
                <w:b/>
                <w:sz w:val="16"/>
              </w:rPr>
              <w:t>48.90%</w:t>
            </w:r>
          </w:p>
        </w:tc>
        <w:tc>
          <w:tcPr>
            <w:tcW w:type="dxa" w:w="1393"/>
            <w:tcMar>
              <w:top w:w="70" w:type="dxa"/>
              <w:start w:w="85" w:type="dxa"/>
              <w:bottom w:w="70" w:type="dxa"/>
              <w:end w:w="85" w:type="dxa"/>
            </w:tcMar>
            <w:vAlign w:val="center"/>
          </w:tcPr>
          <w:p>
            <w:pPr>
              <w:spacing w:before="0" w:after="0" w:line="240" w:lineRule="auto"/>
            </w:pPr>
            <w:r/>
            <w:r>
              <w:rPr>
                <w:sz w:val="16"/>
              </w:rPr>
              <w:t>28.16%</w:t>
            </w:r>
          </w:p>
        </w:tc>
        <w:tc>
          <w:tcPr>
            <w:tcW w:type="dxa" w:w="1393"/>
            <w:tcMar>
              <w:top w:w="70" w:type="dxa"/>
              <w:start w:w="85" w:type="dxa"/>
              <w:bottom w:w="70" w:type="dxa"/>
              <w:end w:w="85" w:type="dxa"/>
            </w:tcMar>
            <w:vAlign w:val="center"/>
          </w:tcPr>
          <w:p>
            <w:pPr>
              <w:spacing w:before="0" w:after="0" w:line="240" w:lineRule="auto"/>
            </w:pPr>
            <w:r/>
            <w:r>
              <w:rPr>
                <w:sz w:val="16"/>
              </w:rPr>
              <w:t>10.55%</w:t>
            </w:r>
          </w:p>
        </w:tc>
        <w:tc>
          <w:tcPr>
            <w:tcW w:type="dxa" w:w="1393"/>
            <w:tcMar>
              <w:top w:w="70" w:type="dxa"/>
              <w:start w:w="85" w:type="dxa"/>
              <w:bottom w:w="70" w:type="dxa"/>
              <w:end w:w="85" w:type="dxa"/>
            </w:tcMar>
            <w:vAlign w:val="center"/>
          </w:tcPr>
          <w:p>
            <w:pPr>
              <w:spacing w:before="0" w:after="0" w:line="240" w:lineRule="auto"/>
            </w:pPr>
            <w:r/>
            <w:r>
              <w:rPr>
                <w:b/>
                <w:sz w:val="16"/>
              </w:rPr>
              <w:t>3.20 pp</w:t>
            </w:r>
          </w:p>
        </w:tc>
      </w:tr>
      <w:tr>
        <w:tc>
          <w:tcPr>
            <w:tcW w:type="dxa" w:w="1393"/>
            <w:tcMar>
              <w:top w:w="70" w:type="dxa"/>
              <w:start w:w="85" w:type="dxa"/>
              <w:bottom w:w="70" w:type="dxa"/>
              <w:end w:w="85" w:type="dxa"/>
            </w:tcMar>
            <w:vAlign w:val="center"/>
          </w:tcPr>
          <w:p>
            <w:pPr>
              <w:spacing w:before="0" w:after="0" w:line="240" w:lineRule="auto"/>
            </w:pPr>
            <w:r/>
            <w:r>
              <w:rPr>
                <w:sz w:val="16"/>
              </w:rPr>
              <w:t>2026*</w:t>
            </w:r>
          </w:p>
        </w:tc>
        <w:tc>
          <w:tcPr>
            <w:tcW w:type="dxa" w:w="1393"/>
            <w:tcMar>
              <w:top w:w="70" w:type="dxa"/>
              <w:start w:w="85" w:type="dxa"/>
              <w:bottom w:w="70" w:type="dxa"/>
              <w:end w:w="85" w:type="dxa"/>
            </w:tcMar>
            <w:vAlign w:val="center"/>
          </w:tcPr>
          <w:p>
            <w:pPr>
              <w:spacing w:before="0" w:after="0" w:line="240" w:lineRule="auto"/>
            </w:pPr>
            <w:r/>
            <w:r>
              <w:rPr>
                <w:sz w:val="16"/>
              </w:rPr>
              <w:t>11.23%</w:t>
            </w:r>
          </w:p>
        </w:tc>
        <w:tc>
          <w:tcPr>
            <w:tcW w:type="dxa" w:w="1393"/>
            <w:tcMar>
              <w:top w:w="70" w:type="dxa"/>
              <w:start w:w="85" w:type="dxa"/>
              <w:bottom w:w="70" w:type="dxa"/>
              <w:end w:w="85" w:type="dxa"/>
            </w:tcMar>
            <w:vAlign w:val="center"/>
          </w:tcPr>
          <w:p>
            <w:pPr>
              <w:spacing w:before="0" w:after="0" w:line="240" w:lineRule="auto"/>
            </w:pPr>
            <w:r/>
            <w:r>
              <w:rPr>
                <w:sz w:val="16"/>
              </w:rPr>
              <w:t>13.18%</w:t>
            </w:r>
          </w:p>
        </w:tc>
        <w:tc>
          <w:tcPr>
            <w:tcW w:type="dxa" w:w="1393"/>
            <w:tcMar>
              <w:top w:w="70" w:type="dxa"/>
              <w:start w:w="85" w:type="dxa"/>
              <w:bottom w:w="70" w:type="dxa"/>
              <w:end w:w="85" w:type="dxa"/>
            </w:tcMar>
            <w:vAlign w:val="center"/>
          </w:tcPr>
          <w:p>
            <w:pPr>
              <w:spacing w:before="0" w:after="0" w:line="240" w:lineRule="auto"/>
            </w:pPr>
            <w:r/>
            <w:r>
              <w:rPr>
                <w:sz w:val="16"/>
              </w:rPr>
              <w:t>14.67%</w:t>
            </w:r>
          </w:p>
        </w:tc>
        <w:tc>
          <w:tcPr>
            <w:tcW w:type="dxa" w:w="1393"/>
            <w:tcMar>
              <w:top w:w="70" w:type="dxa"/>
              <w:start w:w="85" w:type="dxa"/>
              <w:bottom w:w="70" w:type="dxa"/>
              <w:end w:w="85" w:type="dxa"/>
            </w:tcMar>
            <w:vAlign w:val="center"/>
          </w:tcPr>
          <w:p>
            <w:pPr>
              <w:spacing w:before="0" w:after="0" w:line="240" w:lineRule="auto"/>
            </w:pPr>
            <w:r/>
            <w:r>
              <w:rPr>
                <w:sz w:val="16"/>
              </w:rPr>
              <w:t>11.93%</w:t>
            </w:r>
          </w:p>
        </w:tc>
        <w:tc>
          <w:tcPr>
            <w:tcW w:type="dxa" w:w="1393"/>
            <w:tcMar>
              <w:top w:w="70" w:type="dxa"/>
              <w:start w:w="85" w:type="dxa"/>
              <w:bottom w:w="70" w:type="dxa"/>
              <w:end w:w="85" w:type="dxa"/>
            </w:tcMar>
            <w:vAlign w:val="center"/>
          </w:tcPr>
          <w:p>
            <w:pPr>
              <w:spacing w:before="0" w:after="0" w:line="240" w:lineRule="auto"/>
            </w:pPr>
            <w:r/>
            <w:r>
              <w:rPr>
                <w:sz w:val="16"/>
              </w:rPr>
              <w:t>9.00%</w:t>
            </w:r>
          </w:p>
        </w:tc>
        <w:tc>
          <w:tcPr>
            <w:tcW w:type="dxa" w:w="1393"/>
            <w:tcMar>
              <w:top w:w="70" w:type="dxa"/>
              <w:start w:w="85" w:type="dxa"/>
              <w:bottom w:w="70" w:type="dxa"/>
              <w:end w:w="85" w:type="dxa"/>
            </w:tcMar>
            <w:vAlign w:val="center"/>
          </w:tcPr>
          <w:p>
            <w:pPr>
              <w:spacing w:before="0" w:after="0" w:line="240" w:lineRule="auto"/>
            </w:pPr>
            <w:r/>
            <w:r>
              <w:rPr>
                <w:sz w:val="16"/>
              </w:rPr>
              <w:t>0.41 pp</w:t>
            </w:r>
          </w:p>
        </w:tc>
      </w:tr>
    </w:tbl>
    <w:p>
      <w:pPr>
        <w:pStyle w:val="SourceCitation"/>
      </w:pPr>
      <w:r>
        <w:rPr>
          <w:sz w:val="16"/>
        </w:rPr>
        <w:t xml:space="preserve">Samples: 2017 begins 2017-03-01; 2026 ends 2026-08-21. Baseline costs; monthly M2 TOP7 CASH0 equal weight; net returns. Internal sources [YEAR-2017]–[YEAR-2026]: A4F year scorecard at commit </w:t>
      </w:r>
      <w:r>
        <w:rPr>
          <w:rFonts w:ascii="Consolas" w:hAnsi="Consolas"/>
          <w:color w:val="1F4D78"/>
          <w:sz w:val="16"/>
        </w:rPr>
        <w:t>6dba072</w:t>
      </w:r>
      <w:r>
        <w:rPr>
          <w:sz w:val="16"/>
        </w:rPr>
        <w:t xml:space="preserve">; A5C relative-regret/calendar rows at results commit </w:t>
      </w:r>
      <w:r>
        <w:rPr>
          <w:rFonts w:ascii="Consolas" w:hAnsi="Consolas"/>
          <w:color w:val="1F4D78"/>
          <w:sz w:val="16"/>
        </w:rPr>
        <w:t>beb8d49</w:t>
      </w:r>
      <w:r>
        <w:rPr>
          <w:sz w:val="16"/>
        </w:rPr>
        <w:t xml:space="preserve"> for pilot-control differences.</w:t>
      </w:r>
    </w:p>
    <w:p>
      <w:pPr>
        <w:keepNext/>
        <w:jc w:val="center"/>
      </w:pPr>
      <w:r>
        <w:drawing>
          <wp:inline xmlns:a="http://schemas.openxmlformats.org/drawingml/2006/main" xmlns:pic="http://schemas.openxmlformats.org/drawingml/2006/picture">
            <wp:extent cx="5806440" cy="3095525"/>
            <wp:docPr id="7" name="Picture 7"/>
            <wp:cNvGraphicFramePr>
              <a:graphicFrameLocks noChangeAspect="1"/>
            </wp:cNvGraphicFramePr>
            <a:graphic>
              <a:graphicData uri="http://schemas.openxmlformats.org/drawingml/2006/picture">
                <pic:pic>
                  <pic:nvPicPr>
                    <pic:cNvPr id="0" name="FIGURE_07_CALENDAR_YEAR_RETURNS.png"/>
                    <pic:cNvPicPr/>
                  </pic:nvPicPr>
                  <pic:blipFill>
                    <a:blip r:embed="rId17"/>
                    <a:stretch>
                      <a:fillRect/>
                    </a:stretch>
                  </pic:blipFill>
                  <pic:spPr>
                    <a:xfrm>
                      <a:off x="0" y="0"/>
                      <a:ext cx="5806440" cy="3095525"/>
                    </a:xfrm>
                    <a:prstGeom prst="rect"/>
                  </pic:spPr>
                </pic:pic>
              </a:graphicData>
            </a:graphic>
          </wp:inline>
        </w:drawing>
      </w:r>
    </w:p>
    <w:p>
      <w:pPr>
        <w:pStyle w:val="FigureCaptionUKACTIVE"/>
      </w:pPr>
      <w:r>
        <w:rPr>
          <w:b/>
          <w:sz w:val="18"/>
        </w:rPr>
        <w:t>Figure 7.</w:t>
      </w:r>
      <w:r>
        <w:rPr>
          <w:sz w:val="18"/>
        </w:rPr>
        <w:t xml:space="preserve"> M2 materially exceeded SWDA in 2020 and 2025, lagged it in most ordinary years, and lost more in 2018 and 2022. Partial years are marked.</w:t>
      </w:r>
    </w:p>
    <w:p>
      <w:r>
        <w:t>The evidence does not warrant retrospective stories for each fluctuation. Mechanically, 2018 showed that high-ranked families can fall more than global equities; 2019 showed a strong global and opportunity-pool year in which M2 lagged; 2020 delivered unusually strong M2 leadership; 2021 was broadly positive without active advantage; 2022 produced a deeper M2 loss; 2023 provided positive absolute returns but modest lag; 2024 was a large relative shortfall; 2025 was the dominant M2 year; and partial 2026 remained positive through the cutoff. The 10% wrapper improved the control materially mainly in 2020 and 2025 and detracted in six of the nine other reported full or partial calendar periods.</w:t>
      </w:r>
    </w:p>
    <w:p>
      <w:pPr>
        <w:keepNext/>
        <w:jc w:val="center"/>
      </w:pPr>
      <w:r>
        <w:drawing>
          <wp:inline xmlns:a="http://schemas.openxmlformats.org/drawingml/2006/main" xmlns:pic="http://schemas.openxmlformats.org/drawingml/2006/picture">
            <wp:extent cx="5806440" cy="3673414"/>
            <wp:docPr id="8" name="Picture 8"/>
            <wp:cNvGraphicFramePr>
              <a:graphicFrameLocks noChangeAspect="1"/>
            </wp:cNvGraphicFramePr>
            <a:graphic>
              <a:graphicData uri="http://schemas.openxmlformats.org/drawingml/2006/picture">
                <pic:pic>
                  <pic:nvPicPr>
                    <pic:cNvPr id="0" name="FIGURE_08_ROLLING_EXCESS.png"/>
                    <pic:cNvPicPr/>
                  </pic:nvPicPr>
                  <pic:blipFill>
                    <a:blip r:embed="rId18"/>
                    <a:stretch>
                      <a:fillRect/>
                    </a:stretch>
                  </pic:blipFill>
                  <pic:spPr>
                    <a:xfrm>
                      <a:off x="0" y="0"/>
                      <a:ext cx="5806440" cy="3673414"/>
                    </a:xfrm>
                    <a:prstGeom prst="rect"/>
                  </pic:spPr>
                </pic:pic>
              </a:graphicData>
            </a:graphic>
          </wp:inline>
        </w:drawing>
      </w:r>
    </w:p>
    <w:p>
      <w:pPr>
        <w:pStyle w:val="FigureCaptionUKACTIVE"/>
      </w:pPr>
      <w:r>
        <w:rPr>
          <w:b/>
          <w:sz w:val="18"/>
        </w:rPr>
        <w:t>Figure 8.</w:t>
      </w:r>
      <w:r>
        <w:rPr>
          <w:sz w:val="18"/>
        </w:rPr>
        <w:t xml:space="preserve"> Rolling 12-, 24- and 36-month compounded excess versus SWDA and the equal pool. Long negative intervals coexist with the strong terminal observations. These are derived diagnostics from canonical paths and do not define a stop rule.</w:t>
      </w:r>
    </w:p>
    <w:p>
      <w:pPr>
        <w:pStyle w:val="Heading1"/>
      </w:pPr>
      <w:r>
        <w:t>20. Regime analysis</w:t>
      </w:r>
    </w:p>
    <w:p>
      <w:r>
        <w:t>A4F constructed causal telemetry using only information available at each monthly decision. The risk score had three components: global 126-session return above cash, global 252-session return above cash, and 63-session realised volatility relative to a prior expanding 75th-percentile threshold. Leadership strength required at least two of three components: a high top-seven leadership spread, rank persistence, and absolute leadership support. Combining risk and leadership produced four regimes.</w:t>
      </w:r>
    </w:p>
    <w:p>
      <w:pPr>
        <w:keepNext/>
        <w:spacing w:before="160" w:after="80"/>
      </w:pPr>
      <w:r>
        <w:rPr>
          <w:b/>
        </w:rPr>
        <w:t>Table 13. Causal regime summary</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Regime</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Months</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Episodes</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Avg episode</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M2 minus SWDA annualised</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M2 excess vs pool</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Sample status</w:t>
            </w:r>
          </w:p>
        </w:tc>
      </w:tr>
      <w:tr>
        <w:tc>
          <w:tcPr>
            <w:tcW w:type="dxa" w:w="1393"/>
            <w:tcMar>
              <w:top w:w="70" w:type="dxa"/>
              <w:start w:w="85" w:type="dxa"/>
              <w:bottom w:w="70" w:type="dxa"/>
              <w:end w:w="85" w:type="dxa"/>
            </w:tcMar>
            <w:vAlign w:val="center"/>
          </w:tcPr>
          <w:p>
            <w:pPr>
              <w:spacing w:before="0" w:after="0" w:line="240" w:lineRule="auto"/>
            </w:pPr>
            <w:r/>
            <w:r>
              <w:rPr>
                <w:sz w:val="16"/>
              </w:rPr>
              <w:t>R1 broad risk-on</w:t>
            </w:r>
          </w:p>
        </w:tc>
        <w:tc>
          <w:tcPr>
            <w:tcW w:type="dxa" w:w="1393"/>
            <w:tcMar>
              <w:top w:w="70" w:type="dxa"/>
              <w:start w:w="85" w:type="dxa"/>
              <w:bottom w:w="70" w:type="dxa"/>
              <w:end w:w="85" w:type="dxa"/>
            </w:tcMar>
            <w:vAlign w:val="center"/>
          </w:tcPr>
          <w:p>
            <w:pPr>
              <w:spacing w:before="0" w:after="0" w:line="240" w:lineRule="auto"/>
            </w:pPr>
            <w:r/>
            <w:r>
              <w:rPr>
                <w:sz w:val="16"/>
              </w:rPr>
              <w:t>7</w:t>
            </w:r>
          </w:p>
        </w:tc>
        <w:tc>
          <w:tcPr>
            <w:tcW w:type="dxa" w:w="1393"/>
            <w:tcMar>
              <w:top w:w="70" w:type="dxa"/>
              <w:start w:w="85" w:type="dxa"/>
              <w:bottom w:w="70" w:type="dxa"/>
              <w:end w:w="85" w:type="dxa"/>
            </w:tcMar>
            <w:vAlign w:val="center"/>
          </w:tcPr>
          <w:p>
            <w:pPr>
              <w:spacing w:before="0" w:after="0" w:line="240" w:lineRule="auto"/>
            </w:pPr>
            <w:r/>
            <w:r>
              <w:rPr>
                <w:sz w:val="16"/>
              </w:rPr>
              <w:t>6</w:t>
            </w:r>
          </w:p>
        </w:tc>
        <w:tc>
          <w:tcPr>
            <w:tcW w:type="dxa" w:w="1393"/>
            <w:tcMar>
              <w:top w:w="70" w:type="dxa"/>
              <w:start w:w="85" w:type="dxa"/>
              <w:bottom w:w="70" w:type="dxa"/>
              <w:end w:w="85" w:type="dxa"/>
            </w:tcMar>
            <w:vAlign w:val="center"/>
          </w:tcPr>
          <w:p>
            <w:pPr>
              <w:spacing w:before="0" w:after="0" w:line="240" w:lineRule="auto"/>
            </w:pPr>
            <w:r/>
            <w:r>
              <w:rPr>
                <w:sz w:val="16"/>
              </w:rPr>
              <w:t>1.17 mo</w:t>
            </w:r>
          </w:p>
        </w:tc>
        <w:tc>
          <w:tcPr>
            <w:tcW w:type="dxa" w:w="1393"/>
            <w:tcMar>
              <w:top w:w="70" w:type="dxa"/>
              <w:start w:w="85" w:type="dxa"/>
              <w:bottom w:w="70" w:type="dxa"/>
              <w:end w:w="85" w:type="dxa"/>
            </w:tcMar>
            <w:vAlign w:val="center"/>
          </w:tcPr>
          <w:p>
            <w:pPr>
              <w:spacing w:before="0" w:after="0" w:line="240" w:lineRule="auto"/>
            </w:pPr>
            <w:r/>
            <w:r>
              <w:rPr>
                <w:sz w:val="16"/>
              </w:rPr>
              <w:t>3.82%</w:t>
            </w:r>
          </w:p>
        </w:tc>
        <w:tc>
          <w:tcPr>
            <w:tcW w:type="dxa" w:w="1393"/>
            <w:tcMar>
              <w:top w:w="70" w:type="dxa"/>
              <w:start w:w="85" w:type="dxa"/>
              <w:bottom w:w="70" w:type="dxa"/>
              <w:end w:w="85" w:type="dxa"/>
            </w:tcMar>
            <w:vAlign w:val="center"/>
          </w:tcPr>
          <w:p>
            <w:pPr>
              <w:spacing w:before="0" w:after="0" w:line="240" w:lineRule="auto"/>
            </w:pPr>
            <w:r/>
            <w:r>
              <w:rPr>
                <w:sz w:val="16"/>
              </w:rPr>
              <w:t>0.52%</w:t>
            </w:r>
          </w:p>
        </w:tc>
        <w:tc>
          <w:tcPr>
            <w:tcW w:type="dxa" w:w="1393"/>
            <w:tcMar>
              <w:top w:w="70" w:type="dxa"/>
              <w:start w:w="85" w:type="dxa"/>
              <w:bottom w:w="70" w:type="dxa"/>
              <w:end w:w="85" w:type="dxa"/>
            </w:tcMar>
            <w:vAlign w:val="center"/>
          </w:tcPr>
          <w:p>
            <w:pPr>
              <w:spacing w:before="0" w:after="0" w:line="240" w:lineRule="auto"/>
            </w:pPr>
            <w:r/>
            <w:r>
              <w:rPr>
                <w:sz w:val="16"/>
              </w:rPr>
              <w:t>Insufficient</w:t>
            </w:r>
          </w:p>
        </w:tc>
      </w:tr>
      <w:tr>
        <w:tc>
          <w:tcPr>
            <w:tcW w:type="dxa" w:w="1393"/>
            <w:tcMar>
              <w:top w:w="70" w:type="dxa"/>
              <w:start w:w="85" w:type="dxa"/>
              <w:bottom w:w="70" w:type="dxa"/>
              <w:end w:w="85" w:type="dxa"/>
            </w:tcMar>
            <w:vAlign w:val="center"/>
          </w:tcPr>
          <w:p>
            <w:pPr>
              <w:spacing w:before="0" w:after="0" w:line="240" w:lineRule="auto"/>
            </w:pPr>
            <w:r/>
            <w:r>
              <w:rPr>
                <w:b/>
                <w:sz w:val="16"/>
              </w:rPr>
              <w:t>R2 leadership risk-on</w:t>
            </w:r>
          </w:p>
        </w:tc>
        <w:tc>
          <w:tcPr>
            <w:tcW w:type="dxa" w:w="1393"/>
            <w:tcMar>
              <w:top w:w="70" w:type="dxa"/>
              <w:start w:w="85" w:type="dxa"/>
              <w:bottom w:w="70" w:type="dxa"/>
              <w:end w:w="85" w:type="dxa"/>
            </w:tcMar>
            <w:vAlign w:val="center"/>
          </w:tcPr>
          <w:p>
            <w:pPr>
              <w:spacing w:before="0" w:after="0" w:line="240" w:lineRule="auto"/>
            </w:pPr>
            <w:r/>
            <w:r>
              <w:rPr>
                <w:b/>
                <w:sz w:val="16"/>
              </w:rPr>
              <w:t>86</w:t>
            </w:r>
          </w:p>
        </w:tc>
        <w:tc>
          <w:tcPr>
            <w:tcW w:type="dxa" w:w="1393"/>
            <w:tcMar>
              <w:top w:w="70" w:type="dxa"/>
              <w:start w:w="85" w:type="dxa"/>
              <w:bottom w:w="70" w:type="dxa"/>
              <w:end w:w="85" w:type="dxa"/>
            </w:tcMar>
            <w:vAlign w:val="center"/>
          </w:tcPr>
          <w:p>
            <w:pPr>
              <w:spacing w:before="0" w:after="0" w:line="240" w:lineRule="auto"/>
            </w:pPr>
            <w:r/>
            <w:r>
              <w:rPr>
                <w:b/>
                <w:sz w:val="16"/>
              </w:rPr>
              <w:t>11</w:t>
            </w:r>
          </w:p>
        </w:tc>
        <w:tc>
          <w:tcPr>
            <w:tcW w:type="dxa" w:w="1393"/>
            <w:tcMar>
              <w:top w:w="70" w:type="dxa"/>
              <w:start w:w="85" w:type="dxa"/>
              <w:bottom w:w="70" w:type="dxa"/>
              <w:end w:w="85" w:type="dxa"/>
            </w:tcMar>
            <w:vAlign w:val="center"/>
          </w:tcPr>
          <w:p>
            <w:pPr>
              <w:spacing w:before="0" w:after="0" w:line="240" w:lineRule="auto"/>
            </w:pPr>
            <w:r/>
            <w:r>
              <w:rPr>
                <w:b/>
                <w:sz w:val="16"/>
              </w:rPr>
              <w:t>7.82 mo</w:t>
            </w:r>
          </w:p>
        </w:tc>
        <w:tc>
          <w:tcPr>
            <w:tcW w:type="dxa" w:w="1393"/>
            <w:tcMar>
              <w:top w:w="70" w:type="dxa"/>
              <w:start w:w="85" w:type="dxa"/>
              <w:bottom w:w="70" w:type="dxa"/>
              <w:end w:w="85" w:type="dxa"/>
            </w:tcMar>
            <w:vAlign w:val="center"/>
          </w:tcPr>
          <w:p>
            <w:pPr>
              <w:spacing w:before="0" w:after="0" w:line="240" w:lineRule="auto"/>
            </w:pPr>
            <w:r/>
            <w:r>
              <w:rPr>
                <w:b/>
                <w:sz w:val="16"/>
              </w:rPr>
              <w:t>1.80%</w:t>
            </w:r>
          </w:p>
        </w:tc>
        <w:tc>
          <w:tcPr>
            <w:tcW w:type="dxa" w:w="1393"/>
            <w:tcMar>
              <w:top w:w="70" w:type="dxa"/>
              <w:start w:w="85" w:type="dxa"/>
              <w:bottom w:w="70" w:type="dxa"/>
              <w:end w:w="85" w:type="dxa"/>
            </w:tcMar>
            <w:vAlign w:val="center"/>
          </w:tcPr>
          <w:p>
            <w:pPr>
              <w:spacing w:before="0" w:after="0" w:line="240" w:lineRule="auto"/>
            </w:pPr>
            <w:r/>
            <w:r>
              <w:rPr>
                <w:b/>
                <w:sz w:val="16"/>
              </w:rPr>
              <w:t>0.18%</w:t>
            </w:r>
          </w:p>
        </w:tc>
        <w:tc>
          <w:tcPr>
            <w:tcW w:type="dxa" w:w="1393"/>
            <w:tcMar>
              <w:top w:w="70" w:type="dxa"/>
              <w:start w:w="85" w:type="dxa"/>
              <w:bottom w:w="70" w:type="dxa"/>
              <w:end w:w="85" w:type="dxa"/>
            </w:tcMar>
            <w:vAlign w:val="center"/>
          </w:tcPr>
          <w:p>
            <w:pPr>
              <w:spacing w:before="0" w:after="0" w:line="240" w:lineRule="auto"/>
            </w:pPr>
            <w:r/>
            <w:r>
              <w:rPr>
                <w:b/>
                <w:sz w:val="16"/>
              </w:rPr>
              <w:t>Sufficient for description</w:t>
            </w:r>
          </w:p>
        </w:tc>
      </w:tr>
      <w:tr>
        <w:tc>
          <w:tcPr>
            <w:tcW w:type="dxa" w:w="1393"/>
            <w:tcMar>
              <w:top w:w="70" w:type="dxa"/>
              <w:start w:w="85" w:type="dxa"/>
              <w:bottom w:w="70" w:type="dxa"/>
              <w:end w:w="85" w:type="dxa"/>
            </w:tcMar>
            <w:vAlign w:val="center"/>
          </w:tcPr>
          <w:p>
            <w:pPr>
              <w:spacing w:before="0" w:after="0" w:line="240" w:lineRule="auto"/>
            </w:pPr>
            <w:r/>
            <w:r>
              <w:rPr>
                <w:sz w:val="16"/>
              </w:rPr>
              <w:t>R3 isolated leadership</w:t>
            </w:r>
          </w:p>
        </w:tc>
        <w:tc>
          <w:tcPr>
            <w:tcW w:type="dxa" w:w="1393"/>
            <w:tcMar>
              <w:top w:w="70" w:type="dxa"/>
              <w:start w:w="85" w:type="dxa"/>
              <w:bottom w:w="70" w:type="dxa"/>
              <w:end w:w="85" w:type="dxa"/>
            </w:tcMar>
            <w:vAlign w:val="center"/>
          </w:tcPr>
          <w:p>
            <w:pPr>
              <w:spacing w:before="0" w:after="0" w:line="240" w:lineRule="auto"/>
            </w:pPr>
            <w:r/>
            <w:r>
              <w:rPr>
                <w:sz w:val="16"/>
              </w:rPr>
              <w:t>16</w:t>
            </w:r>
          </w:p>
        </w:tc>
        <w:tc>
          <w:tcPr>
            <w:tcW w:type="dxa" w:w="1393"/>
            <w:tcMar>
              <w:top w:w="70" w:type="dxa"/>
              <w:start w:w="85" w:type="dxa"/>
              <w:bottom w:w="70" w:type="dxa"/>
              <w:end w:w="85" w:type="dxa"/>
            </w:tcMar>
            <w:vAlign w:val="center"/>
          </w:tcPr>
          <w:p>
            <w:pPr>
              <w:spacing w:before="0" w:after="0" w:line="240" w:lineRule="auto"/>
            </w:pPr>
            <w:r/>
            <w:r>
              <w:rPr>
                <w:sz w:val="16"/>
              </w:rPr>
              <w:t>8</w:t>
            </w:r>
          </w:p>
        </w:tc>
        <w:tc>
          <w:tcPr>
            <w:tcW w:type="dxa" w:w="1393"/>
            <w:tcMar>
              <w:top w:w="70" w:type="dxa"/>
              <w:start w:w="85" w:type="dxa"/>
              <w:bottom w:w="70" w:type="dxa"/>
              <w:end w:w="85" w:type="dxa"/>
            </w:tcMar>
            <w:vAlign w:val="center"/>
          </w:tcPr>
          <w:p>
            <w:pPr>
              <w:spacing w:before="0" w:after="0" w:line="240" w:lineRule="auto"/>
            </w:pPr>
            <w:r/>
            <w:r>
              <w:rPr>
                <w:sz w:val="16"/>
              </w:rPr>
              <w:t>2.00 mo</w:t>
            </w:r>
          </w:p>
        </w:tc>
        <w:tc>
          <w:tcPr>
            <w:tcW w:type="dxa" w:w="1393"/>
            <w:tcMar>
              <w:top w:w="70" w:type="dxa"/>
              <w:start w:w="85" w:type="dxa"/>
              <w:bottom w:w="70" w:type="dxa"/>
              <w:end w:w="85" w:type="dxa"/>
            </w:tcMar>
            <w:vAlign w:val="center"/>
          </w:tcPr>
          <w:p>
            <w:pPr>
              <w:spacing w:before="0" w:after="0" w:line="240" w:lineRule="auto"/>
            </w:pPr>
            <w:r/>
            <w:r>
              <w:rPr>
                <w:sz w:val="16"/>
              </w:rPr>
              <w:t>−1.63%</w:t>
            </w:r>
          </w:p>
        </w:tc>
        <w:tc>
          <w:tcPr>
            <w:tcW w:type="dxa" w:w="1393"/>
            <w:tcMar>
              <w:top w:w="70" w:type="dxa"/>
              <w:start w:w="85" w:type="dxa"/>
              <w:bottom w:w="70" w:type="dxa"/>
              <w:end w:w="85" w:type="dxa"/>
            </w:tcMar>
            <w:vAlign w:val="center"/>
          </w:tcPr>
          <w:p>
            <w:pPr>
              <w:spacing w:before="0" w:after="0" w:line="240" w:lineRule="auto"/>
            </w:pPr>
            <w:r/>
            <w:r>
              <w:rPr>
                <w:sz w:val="16"/>
              </w:rPr>
              <w:t>−0.34%</w:t>
            </w:r>
          </w:p>
        </w:tc>
        <w:tc>
          <w:tcPr>
            <w:tcW w:type="dxa" w:w="1393"/>
            <w:tcMar>
              <w:top w:w="70" w:type="dxa"/>
              <w:start w:w="85" w:type="dxa"/>
              <w:bottom w:w="70" w:type="dxa"/>
              <w:end w:w="85" w:type="dxa"/>
            </w:tcMar>
            <w:vAlign w:val="center"/>
          </w:tcPr>
          <w:p>
            <w:pPr>
              <w:spacing w:before="0" w:after="0" w:line="240" w:lineRule="auto"/>
            </w:pPr>
            <w:r/>
            <w:r>
              <w:rPr>
                <w:sz w:val="16"/>
              </w:rPr>
              <w:t>Insufficient</w:t>
            </w:r>
          </w:p>
        </w:tc>
      </w:tr>
      <w:tr>
        <w:tc>
          <w:tcPr>
            <w:tcW w:type="dxa" w:w="1393"/>
            <w:tcMar>
              <w:top w:w="70" w:type="dxa"/>
              <w:start w:w="85" w:type="dxa"/>
              <w:bottom w:w="70" w:type="dxa"/>
              <w:end w:w="85" w:type="dxa"/>
            </w:tcMar>
            <w:vAlign w:val="center"/>
          </w:tcPr>
          <w:p>
            <w:pPr>
              <w:spacing w:before="0" w:after="0" w:line="240" w:lineRule="auto"/>
            </w:pPr>
            <w:r/>
            <w:r>
              <w:rPr>
                <w:sz w:val="16"/>
              </w:rPr>
              <w:t>R4 capital preservation</w:t>
            </w:r>
          </w:p>
        </w:tc>
        <w:tc>
          <w:tcPr>
            <w:tcW w:type="dxa" w:w="1393"/>
            <w:tcMar>
              <w:top w:w="70" w:type="dxa"/>
              <w:start w:w="85" w:type="dxa"/>
              <w:bottom w:w="70" w:type="dxa"/>
              <w:end w:w="85" w:type="dxa"/>
            </w:tcMar>
            <w:vAlign w:val="center"/>
          </w:tcPr>
          <w:p>
            <w:pPr>
              <w:spacing w:before="0" w:after="0" w:line="240" w:lineRule="auto"/>
            </w:pPr>
            <w:r/>
            <w:r>
              <w:rPr>
                <w:sz w:val="16"/>
              </w:rPr>
              <w:t>5</w:t>
            </w:r>
          </w:p>
        </w:tc>
        <w:tc>
          <w:tcPr>
            <w:tcW w:type="dxa" w:w="1393"/>
            <w:tcMar>
              <w:top w:w="70" w:type="dxa"/>
              <w:start w:w="85" w:type="dxa"/>
              <w:bottom w:w="70" w:type="dxa"/>
              <w:end w:w="85" w:type="dxa"/>
            </w:tcMar>
            <w:vAlign w:val="center"/>
          </w:tcPr>
          <w:p>
            <w:pPr>
              <w:spacing w:before="0" w:after="0" w:line="240" w:lineRule="auto"/>
            </w:pPr>
            <w:r/>
            <w:r>
              <w:rPr>
                <w:sz w:val="16"/>
              </w:rPr>
              <w:t>5</w:t>
            </w:r>
          </w:p>
        </w:tc>
        <w:tc>
          <w:tcPr>
            <w:tcW w:type="dxa" w:w="1393"/>
            <w:tcMar>
              <w:top w:w="70" w:type="dxa"/>
              <w:start w:w="85" w:type="dxa"/>
              <w:bottom w:w="70" w:type="dxa"/>
              <w:end w:w="85" w:type="dxa"/>
            </w:tcMar>
            <w:vAlign w:val="center"/>
          </w:tcPr>
          <w:p>
            <w:pPr>
              <w:spacing w:before="0" w:after="0" w:line="240" w:lineRule="auto"/>
            </w:pPr>
            <w:r/>
            <w:r>
              <w:rPr>
                <w:sz w:val="16"/>
              </w:rPr>
              <w:t>1.00 mo</w:t>
            </w:r>
          </w:p>
        </w:tc>
        <w:tc>
          <w:tcPr>
            <w:tcW w:type="dxa" w:w="1393"/>
            <w:tcMar>
              <w:top w:w="70" w:type="dxa"/>
              <w:start w:w="85" w:type="dxa"/>
              <w:bottom w:w="70" w:type="dxa"/>
              <w:end w:w="85" w:type="dxa"/>
            </w:tcMar>
            <w:vAlign w:val="center"/>
          </w:tcPr>
          <w:p>
            <w:pPr>
              <w:spacing w:before="0" w:after="0" w:line="240" w:lineRule="auto"/>
            </w:pPr>
            <w:r/>
            <w:r>
              <w:rPr>
                <w:sz w:val="16"/>
              </w:rPr>
              <w:t>5.01%</w:t>
            </w:r>
          </w:p>
        </w:tc>
        <w:tc>
          <w:tcPr>
            <w:tcW w:type="dxa" w:w="1393"/>
            <w:tcMar>
              <w:top w:w="70" w:type="dxa"/>
              <w:start w:w="85" w:type="dxa"/>
              <w:bottom w:w="70" w:type="dxa"/>
              <w:end w:w="85" w:type="dxa"/>
            </w:tcMar>
            <w:vAlign w:val="center"/>
          </w:tcPr>
          <w:p>
            <w:pPr>
              <w:spacing w:before="0" w:after="0" w:line="240" w:lineRule="auto"/>
            </w:pPr>
            <w:r/>
            <w:r>
              <w:rPr>
                <w:sz w:val="16"/>
              </w:rPr>
              <w:t>0.27%</w:t>
            </w:r>
          </w:p>
        </w:tc>
        <w:tc>
          <w:tcPr>
            <w:tcW w:type="dxa" w:w="1393"/>
            <w:tcMar>
              <w:top w:w="70" w:type="dxa"/>
              <w:start w:w="85" w:type="dxa"/>
              <w:bottom w:w="70" w:type="dxa"/>
              <w:end w:w="85" w:type="dxa"/>
            </w:tcMar>
            <w:vAlign w:val="center"/>
          </w:tcPr>
          <w:p>
            <w:pPr>
              <w:spacing w:before="0" w:after="0" w:line="240" w:lineRule="auto"/>
            </w:pPr>
            <w:r/>
            <w:r>
              <w:rPr>
                <w:sz w:val="16"/>
              </w:rPr>
              <w:t>Insufficient</w:t>
            </w:r>
          </w:p>
        </w:tc>
      </w:tr>
    </w:tbl>
    <w:p>
      <w:r>
        <w:rPr>
          <w:i/>
        </w:rPr>
        <w:t>Monthly decisions 2017-02-28–2026-07-31; performance through cutoff 2026-08-21; baseline cost convention. Internal sources [REG-R1_BROAD_RISK_ON]–[REG-R4_CAPITAL_PRESERVATION]: `UKACTIVE_A4F_SIPP_REGIME_SUMMARY.csv`, A4F commit `6dba072`.</w:t>
      </w:r>
    </w:p>
    <w:p>
      <w:r>
        <w:t>Only R2 had enough months and episode length for descriptive support. The seemingly favourable R1 and R4 point estimates rest on seven and five months respectively and cannot support allocation claims. Components also overlap economically: global trend, volatility and leadership can respond to the same shock. Counting them as independent confirmations would overstate information.</w:t>
      </w:r>
    </w:p>
    <w:p>
      <w:pPr>
        <w:keepNext/>
        <w:jc w:val="center"/>
      </w:pPr>
      <w:r>
        <w:drawing>
          <wp:inline xmlns:a="http://schemas.openxmlformats.org/drawingml/2006/main" xmlns:pic="http://schemas.openxmlformats.org/drawingml/2006/picture">
            <wp:extent cx="5806440" cy="3132085"/>
            <wp:docPr id="9" name="Picture 9"/>
            <wp:cNvGraphicFramePr>
              <a:graphicFrameLocks noChangeAspect="1"/>
            </wp:cNvGraphicFramePr>
            <a:graphic>
              <a:graphicData uri="http://schemas.openxmlformats.org/drawingml/2006/picture">
                <pic:pic>
                  <pic:nvPicPr>
                    <pic:cNvPr id="0" name="FIGURE_13_REGIME_TIMELINE.png"/>
                    <pic:cNvPicPr/>
                  </pic:nvPicPr>
                  <pic:blipFill>
                    <a:blip r:embed="rId19"/>
                    <a:stretch>
                      <a:fillRect/>
                    </a:stretch>
                  </pic:blipFill>
                  <pic:spPr>
                    <a:xfrm>
                      <a:off x="0" y="0"/>
                      <a:ext cx="5806440" cy="3132085"/>
                    </a:xfrm>
                    <a:prstGeom prst="rect"/>
                  </pic:spPr>
                </pic:pic>
              </a:graphicData>
            </a:graphic>
          </wp:inline>
        </w:drawing>
      </w:r>
    </w:p>
    <w:p>
      <w:pPr>
        <w:pStyle w:val="FigureCaptionUKACTIVE"/>
      </w:pPr>
      <w:r>
        <w:rPr>
          <w:b/>
          <w:sz w:val="18"/>
        </w:rPr>
        <w:t>Figure 13.</w:t>
      </w:r>
      <w:r>
        <w:rPr>
          <w:sz w:val="18"/>
        </w:rPr>
        <w:t xml:space="preserve"> Monthly regimes, risk score and leadership state calculated with prior-only thresholds. Regimes are retained as telemetry, not allocation controls.</w:t>
      </w:r>
    </w:p>
    <w:p>
      <w:r>
        <w:t>Five policy families were tested with immediate monthly switching and asymmetric hysteresis. P1 timed risk only, P2 timed M2 alpha only, P3 combined the two, P4 emphasised defence, and P5 was a higher-alpha diagnostic ineligible for selection. P0 was the static 75/25 control.</w:t>
      </w:r>
    </w:p>
    <w:p>
      <w:pPr>
        <w:sectPr>
          <w:pgSz w:w="11906" w:h="16838"/>
          <w:pgMar w:top="992" w:right="1077" w:bottom="935" w:left="1077" w:header="425" w:footer="425" w:gutter="0"/>
          <w:cols w:space="720"/>
          <w:docGrid w:linePitch="360"/>
        </w:sectPr>
      </w:pPr>
    </w:p>
    <w:p>
      <w:pPr>
        <w:keepNext/>
        <w:spacing w:before="160" w:after="80"/>
      </w:pPr>
      <w:r>
        <w:rPr>
          <w:b/>
        </w:rPr>
        <w:t>Table 14. Dynamic policy results</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gridCol w:w="1899"/>
        <w:gridCol w:w="1899"/>
        <w:gridCol w:w="1899"/>
      </w:tblGrid>
      <w:tr>
        <w:trPr>
          <w:tblHeader w:val="true"/>
        </w:trPr>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Policy</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Switch</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Net CAGR</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MDD</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Ulcer</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Avg cash</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Return retention</w:t>
            </w:r>
          </w:p>
        </w:tc>
        <w:tc>
          <w:tcPr>
            <w:tcW w:type="dxa" w:w="1899"/>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Decision</w:t>
            </w:r>
          </w:p>
        </w:tc>
      </w:tr>
      <w:tr>
        <w:tc>
          <w:tcPr>
            <w:tcW w:type="dxa" w:w="1899"/>
            <w:tcMar>
              <w:top w:w="70" w:type="dxa"/>
              <w:start w:w="85" w:type="dxa"/>
              <w:bottom w:w="70" w:type="dxa"/>
              <w:end w:w="85" w:type="dxa"/>
            </w:tcMar>
            <w:vAlign w:val="center"/>
          </w:tcPr>
          <w:p>
            <w:pPr>
              <w:spacing w:before="0" w:after="0" w:line="240" w:lineRule="auto"/>
            </w:pPr>
            <w:r/>
            <w:r>
              <w:rPr>
                <w:sz w:val="16"/>
              </w:rPr>
              <w:t>P0 static control</w:t>
            </w:r>
          </w:p>
        </w:tc>
        <w:tc>
          <w:tcPr>
            <w:tcW w:type="dxa" w:w="1899"/>
            <w:tcMar>
              <w:top w:w="70" w:type="dxa"/>
              <w:start w:w="85" w:type="dxa"/>
              <w:bottom w:w="70" w:type="dxa"/>
              <w:end w:w="85" w:type="dxa"/>
            </w:tcMar>
            <w:vAlign w:val="center"/>
          </w:tcPr>
          <w:p>
            <w:pPr>
              <w:spacing w:before="0" w:after="0" w:line="240" w:lineRule="auto"/>
            </w:pPr>
            <w:r/>
            <w:r>
              <w:rPr>
                <w:sz w:val="16"/>
              </w:rPr>
              <w:t>Either</w:t>
            </w:r>
          </w:p>
        </w:tc>
        <w:tc>
          <w:tcPr>
            <w:tcW w:type="dxa" w:w="1899"/>
            <w:tcMar>
              <w:top w:w="70" w:type="dxa"/>
              <w:start w:w="85" w:type="dxa"/>
              <w:bottom w:w="70" w:type="dxa"/>
              <w:end w:w="85" w:type="dxa"/>
            </w:tcMar>
            <w:vAlign w:val="center"/>
          </w:tcPr>
          <w:p>
            <w:pPr>
              <w:spacing w:before="0" w:after="0" w:line="240" w:lineRule="auto"/>
            </w:pPr>
            <w:r/>
            <w:r>
              <w:rPr>
                <w:sz w:val="16"/>
              </w:rPr>
              <w:t>9.26%</w:t>
            </w:r>
          </w:p>
        </w:tc>
        <w:tc>
          <w:tcPr>
            <w:tcW w:type="dxa" w:w="1899"/>
            <w:tcMar>
              <w:top w:w="70" w:type="dxa"/>
              <w:start w:w="85" w:type="dxa"/>
              <w:bottom w:w="70" w:type="dxa"/>
              <w:end w:w="85" w:type="dxa"/>
            </w:tcMar>
            <w:vAlign w:val="center"/>
          </w:tcPr>
          <w:p>
            <w:pPr>
              <w:spacing w:before="0" w:after="0" w:line="240" w:lineRule="auto"/>
            </w:pPr>
            <w:r/>
            <w:r>
              <w:rPr>
                <w:sz w:val="16"/>
              </w:rPr>
              <w:t>−19.55%</w:t>
            </w:r>
          </w:p>
        </w:tc>
        <w:tc>
          <w:tcPr>
            <w:tcW w:type="dxa" w:w="1899"/>
            <w:tcMar>
              <w:top w:w="70" w:type="dxa"/>
              <w:start w:w="85" w:type="dxa"/>
              <w:bottom w:w="70" w:type="dxa"/>
              <w:end w:w="85" w:type="dxa"/>
            </w:tcMar>
            <w:vAlign w:val="center"/>
          </w:tcPr>
          <w:p>
            <w:pPr>
              <w:spacing w:before="0" w:after="0" w:line="240" w:lineRule="auto"/>
            </w:pPr>
            <w:r/>
            <w:r>
              <w:rPr>
                <w:sz w:val="16"/>
              </w:rPr>
              <w:t>3.60%</w:t>
            </w:r>
          </w:p>
        </w:tc>
        <w:tc>
          <w:tcPr>
            <w:tcW w:type="dxa" w:w="1899"/>
            <w:tcMar>
              <w:top w:w="70" w:type="dxa"/>
              <w:start w:w="85" w:type="dxa"/>
              <w:bottom w:w="70" w:type="dxa"/>
              <w:end w:w="85" w:type="dxa"/>
            </w:tcMar>
            <w:vAlign w:val="center"/>
          </w:tcPr>
          <w:p>
            <w:pPr>
              <w:spacing w:before="0" w:after="0" w:line="240" w:lineRule="auto"/>
            </w:pPr>
            <w:r/>
            <w:r>
              <w:rPr>
                <w:sz w:val="16"/>
              </w:rPr>
              <w:t>25.00%</w:t>
            </w:r>
          </w:p>
        </w:tc>
        <w:tc>
          <w:tcPr>
            <w:tcW w:type="dxa" w:w="1899"/>
            <w:tcMar>
              <w:top w:w="70" w:type="dxa"/>
              <w:start w:w="85" w:type="dxa"/>
              <w:bottom w:w="70" w:type="dxa"/>
              <w:end w:w="85" w:type="dxa"/>
            </w:tcMar>
            <w:vAlign w:val="center"/>
          </w:tcPr>
          <w:p>
            <w:pPr>
              <w:spacing w:before="0" w:after="0" w:line="240" w:lineRule="auto"/>
            </w:pPr>
            <w:r/>
            <w:r>
              <w:rPr>
                <w:sz w:val="16"/>
              </w:rPr>
              <w:t>79.85%</w:t>
            </w:r>
          </w:p>
        </w:tc>
        <w:tc>
          <w:tcPr>
            <w:tcW w:type="dxa" w:w="1899"/>
            <w:tcMar>
              <w:top w:w="70" w:type="dxa"/>
              <w:start w:w="85" w:type="dxa"/>
              <w:bottom w:w="70" w:type="dxa"/>
              <w:end w:w="85" w:type="dxa"/>
            </w:tcMar>
            <w:vAlign w:val="center"/>
          </w:tcPr>
          <w:p>
            <w:pPr>
              <w:spacing w:before="0" w:after="0" w:line="240" w:lineRule="auto"/>
            </w:pPr>
            <w:r/>
            <w:r>
              <w:rPr>
                <w:sz w:val="16"/>
              </w:rPr>
              <w:t>Static control only</w:t>
            </w:r>
          </w:p>
        </w:tc>
      </w:tr>
      <w:tr>
        <w:tc>
          <w:tcPr>
            <w:tcW w:type="dxa" w:w="1899"/>
            <w:tcMar>
              <w:top w:w="70" w:type="dxa"/>
              <w:start w:w="85" w:type="dxa"/>
              <w:bottom w:w="70" w:type="dxa"/>
              <w:end w:w="85" w:type="dxa"/>
            </w:tcMar>
            <w:vAlign w:val="center"/>
          </w:tcPr>
          <w:p>
            <w:pPr>
              <w:spacing w:before="0" w:after="0" w:line="240" w:lineRule="auto"/>
            </w:pPr>
            <w:r/>
            <w:r>
              <w:rPr>
                <w:sz w:val="16"/>
              </w:rPr>
              <w:t>P1 risk timing</w:t>
            </w:r>
          </w:p>
        </w:tc>
        <w:tc>
          <w:tcPr>
            <w:tcW w:type="dxa" w:w="1899"/>
            <w:tcMar>
              <w:top w:w="70" w:type="dxa"/>
              <w:start w:w="85" w:type="dxa"/>
              <w:bottom w:w="70" w:type="dxa"/>
              <w:end w:w="85" w:type="dxa"/>
            </w:tcMar>
            <w:vAlign w:val="center"/>
          </w:tcPr>
          <w:p>
            <w:pPr>
              <w:spacing w:before="0" w:after="0" w:line="240" w:lineRule="auto"/>
            </w:pPr>
            <w:r/>
            <w:r>
              <w:rPr>
                <w:sz w:val="16"/>
              </w:rPr>
              <w:t>Immediate</w:t>
            </w:r>
          </w:p>
        </w:tc>
        <w:tc>
          <w:tcPr>
            <w:tcW w:type="dxa" w:w="1899"/>
            <w:tcMar>
              <w:top w:w="70" w:type="dxa"/>
              <w:start w:w="85" w:type="dxa"/>
              <w:bottom w:w="70" w:type="dxa"/>
              <w:end w:w="85" w:type="dxa"/>
            </w:tcMar>
            <w:vAlign w:val="center"/>
          </w:tcPr>
          <w:p>
            <w:pPr>
              <w:spacing w:before="0" w:after="0" w:line="240" w:lineRule="auto"/>
            </w:pPr>
            <w:r/>
            <w:r>
              <w:rPr>
                <w:sz w:val="16"/>
              </w:rPr>
              <w:t>7.89%</w:t>
            </w:r>
          </w:p>
        </w:tc>
        <w:tc>
          <w:tcPr>
            <w:tcW w:type="dxa" w:w="1899"/>
            <w:tcMar>
              <w:top w:w="70" w:type="dxa"/>
              <w:start w:w="85" w:type="dxa"/>
              <w:bottom w:w="70" w:type="dxa"/>
              <w:end w:w="85" w:type="dxa"/>
            </w:tcMar>
            <w:vAlign w:val="center"/>
          </w:tcPr>
          <w:p>
            <w:pPr>
              <w:spacing w:before="0" w:after="0" w:line="240" w:lineRule="auto"/>
            </w:pPr>
            <w:r/>
            <w:r>
              <w:rPr>
                <w:sz w:val="16"/>
              </w:rPr>
              <w:t>−17.53%</w:t>
            </w:r>
          </w:p>
        </w:tc>
        <w:tc>
          <w:tcPr>
            <w:tcW w:type="dxa" w:w="1899"/>
            <w:tcMar>
              <w:top w:w="70" w:type="dxa"/>
              <w:start w:w="85" w:type="dxa"/>
              <w:bottom w:w="70" w:type="dxa"/>
              <w:end w:w="85" w:type="dxa"/>
            </w:tcMar>
            <w:vAlign w:val="center"/>
          </w:tcPr>
          <w:p>
            <w:pPr>
              <w:spacing w:before="0" w:after="0" w:line="240" w:lineRule="auto"/>
            </w:pPr>
            <w:r/>
            <w:r>
              <w:rPr>
                <w:sz w:val="16"/>
              </w:rPr>
              <w:t>5.89%</w:t>
            </w:r>
          </w:p>
        </w:tc>
        <w:tc>
          <w:tcPr>
            <w:tcW w:type="dxa" w:w="1899"/>
            <w:tcMar>
              <w:top w:w="70" w:type="dxa"/>
              <w:start w:w="85" w:type="dxa"/>
              <w:bottom w:w="70" w:type="dxa"/>
              <w:end w:w="85" w:type="dxa"/>
            </w:tcMar>
            <w:vAlign w:val="center"/>
          </w:tcPr>
          <w:p>
            <w:pPr>
              <w:spacing w:before="0" w:after="0" w:line="240" w:lineRule="auto"/>
            </w:pPr>
            <w:r/>
            <w:r>
              <w:rPr>
                <w:sz w:val="16"/>
              </w:rPr>
              <w:t>14.78%</w:t>
            </w:r>
          </w:p>
        </w:tc>
        <w:tc>
          <w:tcPr>
            <w:tcW w:type="dxa" w:w="1899"/>
            <w:tcMar>
              <w:top w:w="70" w:type="dxa"/>
              <w:start w:w="85" w:type="dxa"/>
              <w:bottom w:w="70" w:type="dxa"/>
              <w:end w:w="85" w:type="dxa"/>
            </w:tcMar>
            <w:vAlign w:val="center"/>
          </w:tcPr>
          <w:p>
            <w:pPr>
              <w:spacing w:before="0" w:after="0" w:line="240" w:lineRule="auto"/>
            </w:pPr>
            <w:r/>
            <w:r>
              <w:rPr>
                <w:sz w:val="16"/>
              </w:rPr>
              <w:t>68.03%</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P1 risk timing</w:t>
            </w:r>
          </w:p>
        </w:tc>
        <w:tc>
          <w:tcPr>
            <w:tcW w:type="dxa" w:w="1899"/>
            <w:tcMar>
              <w:top w:w="70" w:type="dxa"/>
              <w:start w:w="85" w:type="dxa"/>
              <w:bottom w:w="70" w:type="dxa"/>
              <w:end w:w="85" w:type="dxa"/>
            </w:tcMar>
            <w:vAlign w:val="center"/>
          </w:tcPr>
          <w:p>
            <w:pPr>
              <w:spacing w:before="0" w:after="0" w:line="240" w:lineRule="auto"/>
            </w:pPr>
            <w:r/>
            <w:r>
              <w:rPr>
                <w:sz w:val="16"/>
              </w:rPr>
              <w:t>Hysteresis</w:t>
            </w:r>
          </w:p>
        </w:tc>
        <w:tc>
          <w:tcPr>
            <w:tcW w:type="dxa" w:w="1899"/>
            <w:tcMar>
              <w:top w:w="70" w:type="dxa"/>
              <w:start w:w="85" w:type="dxa"/>
              <w:bottom w:w="70" w:type="dxa"/>
              <w:end w:w="85" w:type="dxa"/>
            </w:tcMar>
            <w:vAlign w:val="center"/>
          </w:tcPr>
          <w:p>
            <w:pPr>
              <w:spacing w:before="0" w:after="0" w:line="240" w:lineRule="auto"/>
            </w:pPr>
            <w:r/>
            <w:r>
              <w:rPr>
                <w:sz w:val="16"/>
              </w:rPr>
              <w:t>7.33%</w:t>
            </w:r>
          </w:p>
        </w:tc>
        <w:tc>
          <w:tcPr>
            <w:tcW w:type="dxa" w:w="1899"/>
            <w:tcMar>
              <w:top w:w="70" w:type="dxa"/>
              <w:start w:w="85" w:type="dxa"/>
              <w:bottom w:w="70" w:type="dxa"/>
              <w:end w:w="85" w:type="dxa"/>
            </w:tcMar>
            <w:vAlign w:val="center"/>
          </w:tcPr>
          <w:p>
            <w:pPr>
              <w:spacing w:before="0" w:after="0" w:line="240" w:lineRule="auto"/>
            </w:pPr>
            <w:r/>
            <w:r>
              <w:rPr>
                <w:sz w:val="16"/>
              </w:rPr>
              <w:t>−17.53%</w:t>
            </w:r>
          </w:p>
        </w:tc>
        <w:tc>
          <w:tcPr>
            <w:tcW w:type="dxa" w:w="1899"/>
            <w:tcMar>
              <w:top w:w="70" w:type="dxa"/>
              <w:start w:w="85" w:type="dxa"/>
              <w:bottom w:w="70" w:type="dxa"/>
              <w:end w:w="85" w:type="dxa"/>
            </w:tcMar>
            <w:vAlign w:val="center"/>
          </w:tcPr>
          <w:p>
            <w:pPr>
              <w:spacing w:before="0" w:after="0" w:line="240" w:lineRule="auto"/>
            </w:pPr>
            <w:r/>
            <w:r>
              <w:rPr>
                <w:sz w:val="16"/>
              </w:rPr>
              <w:t>5.82%</w:t>
            </w:r>
          </w:p>
        </w:tc>
        <w:tc>
          <w:tcPr>
            <w:tcW w:type="dxa" w:w="1899"/>
            <w:tcMar>
              <w:top w:w="70" w:type="dxa"/>
              <w:start w:w="85" w:type="dxa"/>
              <w:bottom w:w="70" w:type="dxa"/>
              <w:end w:w="85" w:type="dxa"/>
            </w:tcMar>
            <w:vAlign w:val="center"/>
          </w:tcPr>
          <w:p>
            <w:pPr>
              <w:spacing w:before="0" w:after="0" w:line="240" w:lineRule="auto"/>
            </w:pPr>
            <w:r/>
            <w:r>
              <w:rPr>
                <w:sz w:val="16"/>
              </w:rPr>
              <w:t>18.04%</w:t>
            </w:r>
          </w:p>
        </w:tc>
        <w:tc>
          <w:tcPr>
            <w:tcW w:type="dxa" w:w="1899"/>
            <w:tcMar>
              <w:top w:w="70" w:type="dxa"/>
              <w:start w:w="85" w:type="dxa"/>
              <w:bottom w:w="70" w:type="dxa"/>
              <w:end w:w="85" w:type="dxa"/>
            </w:tcMar>
            <w:vAlign w:val="center"/>
          </w:tcPr>
          <w:p>
            <w:pPr>
              <w:spacing w:before="0" w:after="0" w:line="240" w:lineRule="auto"/>
            </w:pPr>
            <w:r/>
            <w:r>
              <w:rPr>
                <w:sz w:val="16"/>
              </w:rPr>
              <w:t>63.16%</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P2 alpha timing</w:t>
            </w:r>
          </w:p>
        </w:tc>
        <w:tc>
          <w:tcPr>
            <w:tcW w:type="dxa" w:w="1899"/>
            <w:tcMar>
              <w:top w:w="70" w:type="dxa"/>
              <w:start w:w="85" w:type="dxa"/>
              <w:bottom w:w="70" w:type="dxa"/>
              <w:end w:w="85" w:type="dxa"/>
            </w:tcMar>
            <w:vAlign w:val="center"/>
          </w:tcPr>
          <w:p>
            <w:pPr>
              <w:spacing w:before="0" w:after="0" w:line="240" w:lineRule="auto"/>
            </w:pPr>
            <w:r/>
            <w:r>
              <w:rPr>
                <w:sz w:val="16"/>
              </w:rPr>
              <w:t>Immediate</w:t>
            </w:r>
          </w:p>
        </w:tc>
        <w:tc>
          <w:tcPr>
            <w:tcW w:type="dxa" w:w="1899"/>
            <w:tcMar>
              <w:top w:w="70" w:type="dxa"/>
              <w:start w:w="85" w:type="dxa"/>
              <w:bottom w:w="70" w:type="dxa"/>
              <w:end w:w="85" w:type="dxa"/>
            </w:tcMar>
            <w:vAlign w:val="center"/>
          </w:tcPr>
          <w:p>
            <w:pPr>
              <w:spacing w:before="0" w:after="0" w:line="240" w:lineRule="auto"/>
            </w:pPr>
            <w:r/>
            <w:r>
              <w:rPr>
                <w:sz w:val="16"/>
              </w:rPr>
              <w:t>11.66%</w:t>
            </w:r>
          </w:p>
        </w:tc>
        <w:tc>
          <w:tcPr>
            <w:tcW w:type="dxa" w:w="1899"/>
            <w:tcMar>
              <w:top w:w="70" w:type="dxa"/>
              <w:start w:w="85" w:type="dxa"/>
              <w:bottom w:w="70" w:type="dxa"/>
              <w:end w:w="85" w:type="dxa"/>
            </w:tcMar>
            <w:vAlign w:val="center"/>
          </w:tcPr>
          <w:p>
            <w:pPr>
              <w:spacing w:before="0" w:after="0" w:line="240" w:lineRule="auto"/>
            </w:pPr>
            <w:r/>
            <w:r>
              <w:rPr>
                <w:sz w:val="16"/>
              </w:rPr>
              <w:t>−24.50%</w:t>
            </w:r>
          </w:p>
        </w:tc>
        <w:tc>
          <w:tcPr>
            <w:tcW w:type="dxa" w:w="1899"/>
            <w:tcMar>
              <w:top w:w="70" w:type="dxa"/>
              <w:start w:w="85" w:type="dxa"/>
              <w:bottom w:w="70" w:type="dxa"/>
              <w:end w:w="85" w:type="dxa"/>
            </w:tcMar>
            <w:vAlign w:val="center"/>
          </w:tcPr>
          <w:p>
            <w:pPr>
              <w:spacing w:before="0" w:after="0" w:line="240" w:lineRule="auto"/>
            </w:pPr>
            <w:r/>
            <w:r>
              <w:rPr>
                <w:sz w:val="16"/>
              </w:rPr>
              <w:t>5.28%</w:t>
            </w:r>
          </w:p>
        </w:tc>
        <w:tc>
          <w:tcPr>
            <w:tcW w:type="dxa" w:w="1899"/>
            <w:tcMar>
              <w:top w:w="70" w:type="dxa"/>
              <w:start w:w="85" w:type="dxa"/>
              <w:bottom w:w="70" w:type="dxa"/>
              <w:end w:w="85" w:type="dxa"/>
            </w:tcMar>
            <w:vAlign w:val="center"/>
          </w:tcPr>
          <w:p>
            <w:pPr>
              <w:spacing w:before="0" w:after="0" w:line="240" w:lineRule="auto"/>
            </w:pPr>
            <w:r/>
            <w:r>
              <w:rPr>
                <w:sz w:val="16"/>
              </w:rPr>
              <w:t>0.00%</w:t>
            </w:r>
          </w:p>
        </w:tc>
        <w:tc>
          <w:tcPr>
            <w:tcW w:type="dxa" w:w="1899"/>
            <w:tcMar>
              <w:top w:w="70" w:type="dxa"/>
              <w:start w:w="85" w:type="dxa"/>
              <w:bottom w:w="70" w:type="dxa"/>
              <w:end w:w="85" w:type="dxa"/>
            </w:tcMar>
            <w:vAlign w:val="center"/>
          </w:tcPr>
          <w:p>
            <w:pPr>
              <w:spacing w:before="0" w:after="0" w:line="240" w:lineRule="auto"/>
            </w:pPr>
            <w:r/>
            <w:r>
              <w:rPr>
                <w:sz w:val="16"/>
              </w:rPr>
              <w:t>100.50%</w:t>
            </w:r>
          </w:p>
        </w:tc>
        <w:tc>
          <w:tcPr>
            <w:tcW w:type="dxa" w:w="1899"/>
            <w:tcMar>
              <w:top w:w="70" w:type="dxa"/>
              <w:start w:w="85" w:type="dxa"/>
              <w:bottom w:w="70" w:type="dxa"/>
              <w:end w:w="85" w:type="dxa"/>
            </w:tcMar>
            <w:vAlign w:val="center"/>
          </w:tcPr>
          <w:p>
            <w:pPr>
              <w:spacing w:before="0" w:after="0" w:line="240" w:lineRule="auto"/>
            </w:pPr>
            <w:r/>
            <w:r>
              <w:rPr>
                <w:sz w:val="16"/>
              </w:rPr>
              <w:t>Fail gates</w:t>
            </w:r>
          </w:p>
        </w:tc>
      </w:tr>
      <w:tr>
        <w:tc>
          <w:tcPr>
            <w:tcW w:type="dxa" w:w="1899"/>
            <w:tcMar>
              <w:top w:w="70" w:type="dxa"/>
              <w:start w:w="85" w:type="dxa"/>
              <w:bottom w:w="70" w:type="dxa"/>
              <w:end w:w="85" w:type="dxa"/>
            </w:tcMar>
            <w:vAlign w:val="center"/>
          </w:tcPr>
          <w:p>
            <w:pPr>
              <w:spacing w:before="0" w:after="0" w:line="240" w:lineRule="auto"/>
            </w:pPr>
            <w:r/>
            <w:r>
              <w:rPr>
                <w:sz w:val="16"/>
              </w:rPr>
              <w:t>P2 alpha timing</w:t>
            </w:r>
          </w:p>
        </w:tc>
        <w:tc>
          <w:tcPr>
            <w:tcW w:type="dxa" w:w="1899"/>
            <w:tcMar>
              <w:top w:w="70" w:type="dxa"/>
              <w:start w:w="85" w:type="dxa"/>
              <w:bottom w:w="70" w:type="dxa"/>
              <w:end w:w="85" w:type="dxa"/>
            </w:tcMar>
            <w:vAlign w:val="center"/>
          </w:tcPr>
          <w:p>
            <w:pPr>
              <w:spacing w:before="0" w:after="0" w:line="240" w:lineRule="auto"/>
            </w:pPr>
            <w:r/>
            <w:r>
              <w:rPr>
                <w:sz w:val="16"/>
              </w:rPr>
              <w:t>Hysteresis</w:t>
            </w:r>
          </w:p>
        </w:tc>
        <w:tc>
          <w:tcPr>
            <w:tcW w:type="dxa" w:w="1899"/>
            <w:tcMar>
              <w:top w:w="70" w:type="dxa"/>
              <w:start w:w="85" w:type="dxa"/>
              <w:bottom w:w="70" w:type="dxa"/>
              <w:end w:w="85" w:type="dxa"/>
            </w:tcMar>
            <w:vAlign w:val="center"/>
          </w:tcPr>
          <w:p>
            <w:pPr>
              <w:spacing w:before="0" w:after="0" w:line="240" w:lineRule="auto"/>
            </w:pPr>
            <w:r/>
            <w:r>
              <w:rPr>
                <w:sz w:val="16"/>
              </w:rPr>
              <w:t>11.71%</w:t>
            </w:r>
          </w:p>
        </w:tc>
        <w:tc>
          <w:tcPr>
            <w:tcW w:type="dxa" w:w="1899"/>
            <w:tcMar>
              <w:top w:w="70" w:type="dxa"/>
              <w:start w:w="85" w:type="dxa"/>
              <w:bottom w:w="70" w:type="dxa"/>
              <w:end w:w="85" w:type="dxa"/>
            </w:tcMar>
            <w:vAlign w:val="center"/>
          </w:tcPr>
          <w:p>
            <w:pPr>
              <w:spacing w:before="0" w:after="0" w:line="240" w:lineRule="auto"/>
            </w:pPr>
            <w:r/>
            <w:r>
              <w:rPr>
                <w:sz w:val="16"/>
              </w:rPr>
              <w:t>−24.50%</w:t>
            </w:r>
          </w:p>
        </w:tc>
        <w:tc>
          <w:tcPr>
            <w:tcW w:type="dxa" w:w="1899"/>
            <w:tcMar>
              <w:top w:w="70" w:type="dxa"/>
              <w:start w:w="85" w:type="dxa"/>
              <w:bottom w:w="70" w:type="dxa"/>
              <w:end w:w="85" w:type="dxa"/>
            </w:tcMar>
            <w:vAlign w:val="center"/>
          </w:tcPr>
          <w:p>
            <w:pPr>
              <w:spacing w:before="0" w:after="0" w:line="240" w:lineRule="auto"/>
            </w:pPr>
            <w:r/>
            <w:r>
              <w:rPr>
                <w:sz w:val="16"/>
              </w:rPr>
              <w:t>5.19%</w:t>
            </w:r>
          </w:p>
        </w:tc>
        <w:tc>
          <w:tcPr>
            <w:tcW w:type="dxa" w:w="1899"/>
            <w:tcMar>
              <w:top w:w="70" w:type="dxa"/>
              <w:start w:w="85" w:type="dxa"/>
              <w:bottom w:w="70" w:type="dxa"/>
              <w:end w:w="85" w:type="dxa"/>
            </w:tcMar>
            <w:vAlign w:val="center"/>
          </w:tcPr>
          <w:p>
            <w:pPr>
              <w:spacing w:before="0" w:after="0" w:line="240" w:lineRule="auto"/>
            </w:pPr>
            <w:r/>
            <w:r>
              <w:rPr>
                <w:sz w:val="16"/>
              </w:rPr>
              <w:t>0.00%</w:t>
            </w:r>
          </w:p>
        </w:tc>
        <w:tc>
          <w:tcPr>
            <w:tcW w:type="dxa" w:w="1899"/>
            <w:tcMar>
              <w:top w:w="70" w:type="dxa"/>
              <w:start w:w="85" w:type="dxa"/>
              <w:bottom w:w="70" w:type="dxa"/>
              <w:end w:w="85" w:type="dxa"/>
            </w:tcMar>
            <w:vAlign w:val="center"/>
          </w:tcPr>
          <w:p>
            <w:pPr>
              <w:spacing w:before="0" w:after="0" w:line="240" w:lineRule="auto"/>
            </w:pPr>
            <w:r/>
            <w:r>
              <w:rPr>
                <w:sz w:val="16"/>
              </w:rPr>
              <w:t>100.95%</w:t>
            </w:r>
          </w:p>
        </w:tc>
        <w:tc>
          <w:tcPr>
            <w:tcW w:type="dxa" w:w="1899"/>
            <w:tcMar>
              <w:top w:w="70" w:type="dxa"/>
              <w:start w:w="85" w:type="dxa"/>
              <w:bottom w:w="70" w:type="dxa"/>
              <w:end w:w="85" w:type="dxa"/>
            </w:tcMar>
            <w:vAlign w:val="center"/>
          </w:tcPr>
          <w:p>
            <w:pPr>
              <w:spacing w:before="0" w:after="0" w:line="240" w:lineRule="auto"/>
            </w:pPr>
            <w:r/>
            <w:r>
              <w:rPr>
                <w:sz w:val="16"/>
              </w:rPr>
              <w:t>Fail gates</w:t>
            </w:r>
          </w:p>
        </w:tc>
      </w:tr>
      <w:tr>
        <w:tc>
          <w:tcPr>
            <w:tcW w:type="dxa" w:w="1899"/>
            <w:tcMar>
              <w:top w:w="70" w:type="dxa"/>
              <w:start w:w="85" w:type="dxa"/>
              <w:bottom w:w="70" w:type="dxa"/>
              <w:end w:w="85" w:type="dxa"/>
            </w:tcMar>
            <w:vAlign w:val="center"/>
          </w:tcPr>
          <w:p>
            <w:pPr>
              <w:spacing w:before="0" w:after="0" w:line="240" w:lineRule="auto"/>
            </w:pPr>
            <w:r/>
            <w:r>
              <w:rPr>
                <w:sz w:val="16"/>
              </w:rPr>
              <w:t>P3 balanced</w:t>
            </w:r>
          </w:p>
        </w:tc>
        <w:tc>
          <w:tcPr>
            <w:tcW w:type="dxa" w:w="1899"/>
            <w:tcMar>
              <w:top w:w="70" w:type="dxa"/>
              <w:start w:w="85" w:type="dxa"/>
              <w:bottom w:w="70" w:type="dxa"/>
              <w:end w:w="85" w:type="dxa"/>
            </w:tcMar>
            <w:vAlign w:val="center"/>
          </w:tcPr>
          <w:p>
            <w:pPr>
              <w:spacing w:before="0" w:after="0" w:line="240" w:lineRule="auto"/>
            </w:pPr>
            <w:r/>
            <w:r>
              <w:rPr>
                <w:sz w:val="16"/>
              </w:rPr>
              <w:t>Immediate</w:t>
            </w:r>
          </w:p>
        </w:tc>
        <w:tc>
          <w:tcPr>
            <w:tcW w:type="dxa" w:w="1899"/>
            <w:tcMar>
              <w:top w:w="70" w:type="dxa"/>
              <w:start w:w="85" w:type="dxa"/>
              <w:bottom w:w="70" w:type="dxa"/>
              <w:end w:w="85" w:type="dxa"/>
            </w:tcMar>
            <w:vAlign w:val="center"/>
          </w:tcPr>
          <w:p>
            <w:pPr>
              <w:spacing w:before="0" w:after="0" w:line="240" w:lineRule="auto"/>
            </w:pPr>
            <w:r/>
            <w:r>
              <w:rPr>
                <w:sz w:val="16"/>
              </w:rPr>
              <w:t>8.03%</w:t>
            </w:r>
          </w:p>
        </w:tc>
        <w:tc>
          <w:tcPr>
            <w:tcW w:type="dxa" w:w="1899"/>
            <w:tcMar>
              <w:top w:w="70" w:type="dxa"/>
              <w:start w:w="85" w:type="dxa"/>
              <w:bottom w:w="70" w:type="dxa"/>
              <w:end w:w="85" w:type="dxa"/>
            </w:tcMar>
            <w:vAlign w:val="center"/>
          </w:tcPr>
          <w:p>
            <w:pPr>
              <w:spacing w:before="0" w:after="0" w:line="240" w:lineRule="auto"/>
            </w:pPr>
            <w:r/>
            <w:r>
              <w:rPr>
                <w:sz w:val="16"/>
              </w:rPr>
              <w:t>−16.88%</w:t>
            </w:r>
          </w:p>
        </w:tc>
        <w:tc>
          <w:tcPr>
            <w:tcW w:type="dxa" w:w="1899"/>
            <w:tcMar>
              <w:top w:w="70" w:type="dxa"/>
              <w:start w:w="85" w:type="dxa"/>
              <w:bottom w:w="70" w:type="dxa"/>
              <w:end w:w="85" w:type="dxa"/>
            </w:tcMar>
            <w:vAlign w:val="center"/>
          </w:tcPr>
          <w:p>
            <w:pPr>
              <w:spacing w:before="0" w:after="0" w:line="240" w:lineRule="auto"/>
            </w:pPr>
            <w:r/>
            <w:r>
              <w:rPr>
                <w:sz w:val="16"/>
              </w:rPr>
              <w:t>6.17%</w:t>
            </w:r>
          </w:p>
        </w:tc>
        <w:tc>
          <w:tcPr>
            <w:tcW w:type="dxa" w:w="1899"/>
            <w:tcMar>
              <w:top w:w="70" w:type="dxa"/>
              <w:start w:w="85" w:type="dxa"/>
              <w:bottom w:w="70" w:type="dxa"/>
              <w:end w:w="85" w:type="dxa"/>
            </w:tcMar>
            <w:vAlign w:val="center"/>
          </w:tcPr>
          <w:p>
            <w:pPr>
              <w:spacing w:before="0" w:after="0" w:line="240" w:lineRule="auto"/>
            </w:pPr>
            <w:r/>
            <w:r>
              <w:rPr>
                <w:sz w:val="16"/>
              </w:rPr>
              <w:t>14.78%</w:t>
            </w:r>
          </w:p>
        </w:tc>
        <w:tc>
          <w:tcPr>
            <w:tcW w:type="dxa" w:w="1899"/>
            <w:tcMar>
              <w:top w:w="70" w:type="dxa"/>
              <w:start w:w="85" w:type="dxa"/>
              <w:bottom w:w="70" w:type="dxa"/>
              <w:end w:w="85" w:type="dxa"/>
            </w:tcMar>
            <w:vAlign w:val="center"/>
          </w:tcPr>
          <w:p>
            <w:pPr>
              <w:spacing w:before="0" w:after="0" w:line="240" w:lineRule="auto"/>
            </w:pPr>
            <w:r/>
            <w:r>
              <w:rPr>
                <w:sz w:val="16"/>
              </w:rPr>
              <w:t>69.23%</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P3 balanced</w:t>
            </w:r>
          </w:p>
        </w:tc>
        <w:tc>
          <w:tcPr>
            <w:tcW w:type="dxa" w:w="1899"/>
            <w:tcMar>
              <w:top w:w="70" w:type="dxa"/>
              <w:start w:w="85" w:type="dxa"/>
              <w:bottom w:w="70" w:type="dxa"/>
              <w:end w:w="85" w:type="dxa"/>
            </w:tcMar>
            <w:vAlign w:val="center"/>
          </w:tcPr>
          <w:p>
            <w:pPr>
              <w:spacing w:before="0" w:after="0" w:line="240" w:lineRule="auto"/>
            </w:pPr>
            <w:r/>
            <w:r>
              <w:rPr>
                <w:sz w:val="16"/>
              </w:rPr>
              <w:t>Hysteresis</w:t>
            </w:r>
          </w:p>
        </w:tc>
        <w:tc>
          <w:tcPr>
            <w:tcW w:type="dxa" w:w="1899"/>
            <w:tcMar>
              <w:top w:w="70" w:type="dxa"/>
              <w:start w:w="85" w:type="dxa"/>
              <w:bottom w:w="70" w:type="dxa"/>
              <w:end w:w="85" w:type="dxa"/>
            </w:tcMar>
            <w:vAlign w:val="center"/>
          </w:tcPr>
          <w:p>
            <w:pPr>
              <w:spacing w:before="0" w:after="0" w:line="240" w:lineRule="auto"/>
            </w:pPr>
            <w:r/>
            <w:r>
              <w:rPr>
                <w:sz w:val="16"/>
              </w:rPr>
              <w:t>7.39%</w:t>
            </w:r>
          </w:p>
        </w:tc>
        <w:tc>
          <w:tcPr>
            <w:tcW w:type="dxa" w:w="1899"/>
            <w:tcMar>
              <w:top w:w="70" w:type="dxa"/>
              <w:start w:w="85" w:type="dxa"/>
              <w:bottom w:w="70" w:type="dxa"/>
              <w:end w:w="85" w:type="dxa"/>
            </w:tcMar>
            <w:vAlign w:val="center"/>
          </w:tcPr>
          <w:p>
            <w:pPr>
              <w:spacing w:before="0" w:after="0" w:line="240" w:lineRule="auto"/>
            </w:pPr>
            <w:r/>
            <w:r>
              <w:rPr>
                <w:sz w:val="16"/>
              </w:rPr>
              <w:t>−16.88%</w:t>
            </w:r>
          </w:p>
        </w:tc>
        <w:tc>
          <w:tcPr>
            <w:tcW w:type="dxa" w:w="1899"/>
            <w:tcMar>
              <w:top w:w="70" w:type="dxa"/>
              <w:start w:w="85" w:type="dxa"/>
              <w:bottom w:w="70" w:type="dxa"/>
              <w:end w:w="85" w:type="dxa"/>
            </w:tcMar>
            <w:vAlign w:val="center"/>
          </w:tcPr>
          <w:p>
            <w:pPr>
              <w:spacing w:before="0" w:after="0" w:line="240" w:lineRule="auto"/>
            </w:pPr>
            <w:r/>
            <w:r>
              <w:rPr>
                <w:sz w:val="16"/>
              </w:rPr>
              <w:t>6.05%</w:t>
            </w:r>
          </w:p>
        </w:tc>
        <w:tc>
          <w:tcPr>
            <w:tcW w:type="dxa" w:w="1899"/>
            <w:tcMar>
              <w:top w:w="70" w:type="dxa"/>
              <w:start w:w="85" w:type="dxa"/>
              <w:bottom w:w="70" w:type="dxa"/>
              <w:end w:w="85" w:type="dxa"/>
            </w:tcMar>
            <w:vAlign w:val="center"/>
          </w:tcPr>
          <w:p>
            <w:pPr>
              <w:spacing w:before="0" w:after="0" w:line="240" w:lineRule="auto"/>
            </w:pPr>
            <w:r/>
            <w:r>
              <w:rPr>
                <w:sz w:val="16"/>
              </w:rPr>
              <w:t>18.04%</w:t>
            </w:r>
          </w:p>
        </w:tc>
        <w:tc>
          <w:tcPr>
            <w:tcW w:type="dxa" w:w="1899"/>
            <w:tcMar>
              <w:top w:w="70" w:type="dxa"/>
              <w:start w:w="85" w:type="dxa"/>
              <w:bottom w:w="70" w:type="dxa"/>
              <w:end w:w="85" w:type="dxa"/>
            </w:tcMar>
            <w:vAlign w:val="center"/>
          </w:tcPr>
          <w:p>
            <w:pPr>
              <w:spacing w:before="0" w:after="0" w:line="240" w:lineRule="auto"/>
            </w:pPr>
            <w:r/>
            <w:r>
              <w:rPr>
                <w:sz w:val="16"/>
              </w:rPr>
              <w:t>63.72%</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P4 defensive</w:t>
            </w:r>
          </w:p>
        </w:tc>
        <w:tc>
          <w:tcPr>
            <w:tcW w:type="dxa" w:w="1899"/>
            <w:tcMar>
              <w:top w:w="70" w:type="dxa"/>
              <w:start w:w="85" w:type="dxa"/>
              <w:bottom w:w="70" w:type="dxa"/>
              <w:end w:w="85" w:type="dxa"/>
            </w:tcMar>
            <w:vAlign w:val="center"/>
          </w:tcPr>
          <w:p>
            <w:pPr>
              <w:spacing w:before="0" w:after="0" w:line="240" w:lineRule="auto"/>
            </w:pPr>
            <w:r/>
            <w:r>
              <w:rPr>
                <w:sz w:val="16"/>
              </w:rPr>
              <w:t>Immediate</w:t>
            </w:r>
          </w:p>
        </w:tc>
        <w:tc>
          <w:tcPr>
            <w:tcW w:type="dxa" w:w="1899"/>
            <w:tcMar>
              <w:top w:w="70" w:type="dxa"/>
              <w:start w:w="85" w:type="dxa"/>
              <w:bottom w:w="70" w:type="dxa"/>
              <w:end w:w="85" w:type="dxa"/>
            </w:tcMar>
            <w:vAlign w:val="center"/>
          </w:tcPr>
          <w:p>
            <w:pPr>
              <w:spacing w:before="0" w:after="0" w:line="240" w:lineRule="auto"/>
            </w:pPr>
            <w:r/>
            <w:r>
              <w:rPr>
                <w:sz w:val="16"/>
              </w:rPr>
              <w:t>6.75%</w:t>
            </w:r>
          </w:p>
        </w:tc>
        <w:tc>
          <w:tcPr>
            <w:tcW w:type="dxa" w:w="1899"/>
            <w:tcMar>
              <w:top w:w="70" w:type="dxa"/>
              <w:start w:w="85" w:type="dxa"/>
              <w:bottom w:w="70" w:type="dxa"/>
              <w:end w:w="85" w:type="dxa"/>
            </w:tcMar>
            <w:vAlign w:val="center"/>
          </w:tcPr>
          <w:p>
            <w:pPr>
              <w:spacing w:before="0" w:after="0" w:line="240" w:lineRule="auto"/>
            </w:pPr>
            <w:r/>
            <w:r>
              <w:rPr>
                <w:b/>
                <w:sz w:val="16"/>
              </w:rPr>
              <w:t>−14.76%</w:t>
            </w:r>
          </w:p>
        </w:tc>
        <w:tc>
          <w:tcPr>
            <w:tcW w:type="dxa" w:w="1899"/>
            <w:tcMar>
              <w:top w:w="70" w:type="dxa"/>
              <w:start w:w="85" w:type="dxa"/>
              <w:bottom w:w="70" w:type="dxa"/>
              <w:end w:w="85" w:type="dxa"/>
            </w:tcMar>
            <w:vAlign w:val="center"/>
          </w:tcPr>
          <w:p>
            <w:pPr>
              <w:spacing w:before="0" w:after="0" w:line="240" w:lineRule="auto"/>
            </w:pPr>
            <w:r/>
            <w:r>
              <w:rPr>
                <w:sz w:val="16"/>
              </w:rPr>
              <w:t>6.83%</w:t>
            </w:r>
          </w:p>
        </w:tc>
        <w:tc>
          <w:tcPr>
            <w:tcW w:type="dxa" w:w="1899"/>
            <w:tcMar>
              <w:top w:w="70" w:type="dxa"/>
              <w:start w:w="85" w:type="dxa"/>
              <w:bottom w:w="70" w:type="dxa"/>
              <w:end w:w="85" w:type="dxa"/>
            </w:tcMar>
            <w:vAlign w:val="center"/>
          </w:tcPr>
          <w:p>
            <w:pPr>
              <w:spacing w:before="0" w:after="0" w:line="240" w:lineRule="auto"/>
            </w:pPr>
            <w:r/>
            <w:r>
              <w:rPr>
                <w:sz w:val="16"/>
              </w:rPr>
              <w:t>19.70%</w:t>
            </w:r>
          </w:p>
        </w:tc>
        <w:tc>
          <w:tcPr>
            <w:tcW w:type="dxa" w:w="1899"/>
            <w:tcMar>
              <w:top w:w="70" w:type="dxa"/>
              <w:start w:w="85" w:type="dxa"/>
              <w:bottom w:w="70" w:type="dxa"/>
              <w:end w:w="85" w:type="dxa"/>
            </w:tcMar>
            <w:vAlign w:val="center"/>
          </w:tcPr>
          <w:p>
            <w:pPr>
              <w:spacing w:before="0" w:after="0" w:line="240" w:lineRule="auto"/>
            </w:pPr>
            <w:r/>
            <w:r>
              <w:rPr>
                <w:sz w:val="16"/>
              </w:rPr>
              <w:t>58.19%</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P4 defensive</w:t>
            </w:r>
          </w:p>
        </w:tc>
        <w:tc>
          <w:tcPr>
            <w:tcW w:type="dxa" w:w="1899"/>
            <w:tcMar>
              <w:top w:w="70" w:type="dxa"/>
              <w:start w:w="85" w:type="dxa"/>
              <w:bottom w:w="70" w:type="dxa"/>
              <w:end w:w="85" w:type="dxa"/>
            </w:tcMar>
            <w:vAlign w:val="center"/>
          </w:tcPr>
          <w:p>
            <w:pPr>
              <w:spacing w:before="0" w:after="0" w:line="240" w:lineRule="auto"/>
            </w:pPr>
            <w:r/>
            <w:r>
              <w:rPr>
                <w:sz w:val="16"/>
              </w:rPr>
              <w:t>Hysteresis</w:t>
            </w:r>
          </w:p>
        </w:tc>
        <w:tc>
          <w:tcPr>
            <w:tcW w:type="dxa" w:w="1899"/>
            <w:tcMar>
              <w:top w:w="70" w:type="dxa"/>
              <w:start w:w="85" w:type="dxa"/>
              <w:bottom w:w="70" w:type="dxa"/>
              <w:end w:w="85" w:type="dxa"/>
            </w:tcMar>
            <w:vAlign w:val="center"/>
          </w:tcPr>
          <w:p>
            <w:pPr>
              <w:spacing w:before="0" w:after="0" w:line="240" w:lineRule="auto"/>
            </w:pPr>
            <w:r/>
            <w:r>
              <w:rPr>
                <w:sz w:val="16"/>
              </w:rPr>
              <w:t>5.91%</w:t>
            </w:r>
          </w:p>
        </w:tc>
        <w:tc>
          <w:tcPr>
            <w:tcW w:type="dxa" w:w="1899"/>
            <w:tcMar>
              <w:top w:w="70" w:type="dxa"/>
              <w:start w:w="85" w:type="dxa"/>
              <w:bottom w:w="70" w:type="dxa"/>
              <w:end w:w="85" w:type="dxa"/>
            </w:tcMar>
            <w:vAlign w:val="center"/>
          </w:tcPr>
          <w:p>
            <w:pPr>
              <w:spacing w:before="0" w:after="0" w:line="240" w:lineRule="auto"/>
            </w:pPr>
            <w:r/>
            <w:r>
              <w:rPr>
                <w:sz w:val="16"/>
              </w:rPr>
              <w:t>−17.29%</w:t>
            </w:r>
          </w:p>
        </w:tc>
        <w:tc>
          <w:tcPr>
            <w:tcW w:type="dxa" w:w="1899"/>
            <w:tcMar>
              <w:top w:w="70" w:type="dxa"/>
              <w:start w:w="85" w:type="dxa"/>
              <w:bottom w:w="70" w:type="dxa"/>
              <w:end w:w="85" w:type="dxa"/>
            </w:tcMar>
            <w:vAlign w:val="center"/>
          </w:tcPr>
          <w:p>
            <w:pPr>
              <w:spacing w:before="0" w:after="0" w:line="240" w:lineRule="auto"/>
            </w:pPr>
            <w:r/>
            <w:r>
              <w:rPr>
                <w:sz w:val="16"/>
              </w:rPr>
              <w:t>7.50%</w:t>
            </w:r>
          </w:p>
        </w:tc>
        <w:tc>
          <w:tcPr>
            <w:tcW w:type="dxa" w:w="1899"/>
            <w:tcMar>
              <w:top w:w="70" w:type="dxa"/>
              <w:start w:w="85" w:type="dxa"/>
              <w:bottom w:w="70" w:type="dxa"/>
              <w:end w:w="85" w:type="dxa"/>
            </w:tcMar>
            <w:vAlign w:val="center"/>
          </w:tcPr>
          <w:p>
            <w:pPr>
              <w:spacing w:before="0" w:after="0" w:line="240" w:lineRule="auto"/>
            </w:pPr>
            <w:r/>
            <w:r>
              <w:rPr>
                <w:sz w:val="16"/>
              </w:rPr>
              <w:t>24.05%</w:t>
            </w:r>
          </w:p>
        </w:tc>
        <w:tc>
          <w:tcPr>
            <w:tcW w:type="dxa" w:w="1899"/>
            <w:tcMar>
              <w:top w:w="70" w:type="dxa"/>
              <w:start w:w="85" w:type="dxa"/>
              <w:bottom w:w="70" w:type="dxa"/>
              <w:end w:w="85" w:type="dxa"/>
            </w:tcMar>
            <w:vAlign w:val="center"/>
          </w:tcPr>
          <w:p>
            <w:pPr>
              <w:spacing w:before="0" w:after="0" w:line="240" w:lineRule="auto"/>
            </w:pPr>
            <w:r/>
            <w:r>
              <w:rPr>
                <w:sz w:val="16"/>
              </w:rPr>
              <w:t>50.96%</w:t>
            </w:r>
          </w:p>
        </w:tc>
        <w:tc>
          <w:tcPr>
            <w:tcW w:type="dxa" w:w="1899"/>
            <w:tcMar>
              <w:top w:w="70" w:type="dxa"/>
              <w:start w:w="85" w:type="dxa"/>
              <w:bottom w:w="70" w:type="dxa"/>
              <w:end w:w="85" w:type="dxa"/>
            </w:tcMar>
            <w:vAlign w:val="center"/>
          </w:tcPr>
          <w:p>
            <w:pPr>
              <w:spacing w:before="0" w:after="0" w:line="240" w:lineRule="auto"/>
            </w:pPr>
            <w:r/>
            <w:r>
              <w:rPr>
                <w:sz w:val="16"/>
              </w:rPr>
              <w:t>Fail</w:t>
            </w:r>
          </w:p>
        </w:tc>
      </w:tr>
      <w:tr>
        <w:tc>
          <w:tcPr>
            <w:tcW w:type="dxa" w:w="1899"/>
            <w:tcMar>
              <w:top w:w="70" w:type="dxa"/>
              <w:start w:w="85" w:type="dxa"/>
              <w:bottom w:w="70" w:type="dxa"/>
              <w:end w:w="85" w:type="dxa"/>
            </w:tcMar>
            <w:vAlign w:val="center"/>
          </w:tcPr>
          <w:p>
            <w:pPr>
              <w:spacing w:before="0" w:after="0" w:line="240" w:lineRule="auto"/>
            </w:pPr>
            <w:r/>
            <w:r>
              <w:rPr>
                <w:sz w:val="16"/>
              </w:rPr>
              <w:t>P5 diagnostic</w:t>
            </w:r>
          </w:p>
        </w:tc>
        <w:tc>
          <w:tcPr>
            <w:tcW w:type="dxa" w:w="1899"/>
            <w:tcMar>
              <w:top w:w="70" w:type="dxa"/>
              <w:start w:w="85" w:type="dxa"/>
              <w:bottom w:w="70" w:type="dxa"/>
              <w:end w:w="85" w:type="dxa"/>
            </w:tcMar>
            <w:vAlign w:val="center"/>
          </w:tcPr>
          <w:p>
            <w:pPr>
              <w:spacing w:before="0" w:after="0" w:line="240" w:lineRule="auto"/>
            </w:pPr>
            <w:r/>
            <w:r>
              <w:rPr>
                <w:sz w:val="16"/>
              </w:rPr>
              <w:t>Immediate</w:t>
            </w:r>
          </w:p>
        </w:tc>
        <w:tc>
          <w:tcPr>
            <w:tcW w:type="dxa" w:w="1899"/>
            <w:tcMar>
              <w:top w:w="70" w:type="dxa"/>
              <w:start w:w="85" w:type="dxa"/>
              <w:bottom w:w="70" w:type="dxa"/>
              <w:end w:w="85" w:type="dxa"/>
            </w:tcMar>
            <w:vAlign w:val="center"/>
          </w:tcPr>
          <w:p>
            <w:pPr>
              <w:spacing w:before="0" w:after="0" w:line="240" w:lineRule="auto"/>
            </w:pPr>
            <w:r/>
            <w:r>
              <w:rPr>
                <w:sz w:val="16"/>
              </w:rPr>
              <w:t>8.26%</w:t>
            </w:r>
          </w:p>
        </w:tc>
        <w:tc>
          <w:tcPr>
            <w:tcW w:type="dxa" w:w="1899"/>
            <w:tcMar>
              <w:top w:w="70" w:type="dxa"/>
              <w:start w:w="85" w:type="dxa"/>
              <w:bottom w:w="70" w:type="dxa"/>
              <w:end w:w="85" w:type="dxa"/>
            </w:tcMar>
            <w:vAlign w:val="center"/>
          </w:tcPr>
          <w:p>
            <w:pPr>
              <w:spacing w:before="0" w:after="0" w:line="240" w:lineRule="auto"/>
            </w:pPr>
            <w:r/>
            <w:r>
              <w:rPr>
                <w:sz w:val="16"/>
              </w:rPr>
              <w:t>−16.32%</w:t>
            </w:r>
          </w:p>
        </w:tc>
        <w:tc>
          <w:tcPr>
            <w:tcW w:type="dxa" w:w="1899"/>
            <w:tcMar>
              <w:top w:w="70" w:type="dxa"/>
              <w:start w:w="85" w:type="dxa"/>
              <w:bottom w:w="70" w:type="dxa"/>
              <w:end w:w="85" w:type="dxa"/>
            </w:tcMar>
            <w:vAlign w:val="center"/>
          </w:tcPr>
          <w:p>
            <w:pPr>
              <w:spacing w:before="0" w:after="0" w:line="240" w:lineRule="auto"/>
            </w:pPr>
            <w:r/>
            <w:r>
              <w:rPr>
                <w:sz w:val="16"/>
              </w:rPr>
              <w:t>6.78%</w:t>
            </w:r>
          </w:p>
        </w:tc>
        <w:tc>
          <w:tcPr>
            <w:tcW w:type="dxa" w:w="1899"/>
            <w:tcMar>
              <w:top w:w="70" w:type="dxa"/>
              <w:start w:w="85" w:type="dxa"/>
              <w:bottom w:w="70" w:type="dxa"/>
              <w:end w:w="85" w:type="dxa"/>
            </w:tcMar>
            <w:vAlign w:val="center"/>
          </w:tcPr>
          <w:p>
            <w:pPr>
              <w:spacing w:before="0" w:after="0" w:line="240" w:lineRule="auto"/>
            </w:pPr>
            <w:r/>
            <w:r>
              <w:rPr>
                <w:sz w:val="16"/>
              </w:rPr>
              <w:t>14.78%</w:t>
            </w:r>
          </w:p>
        </w:tc>
        <w:tc>
          <w:tcPr>
            <w:tcW w:type="dxa" w:w="1899"/>
            <w:tcMar>
              <w:top w:w="70" w:type="dxa"/>
              <w:start w:w="85" w:type="dxa"/>
              <w:bottom w:w="70" w:type="dxa"/>
              <w:end w:w="85" w:type="dxa"/>
            </w:tcMar>
            <w:vAlign w:val="center"/>
          </w:tcPr>
          <w:p>
            <w:pPr>
              <w:spacing w:before="0" w:after="0" w:line="240" w:lineRule="auto"/>
            </w:pPr>
            <w:r/>
            <w:r>
              <w:rPr>
                <w:sz w:val="16"/>
              </w:rPr>
              <w:t>71.22%</w:t>
            </w:r>
          </w:p>
        </w:tc>
        <w:tc>
          <w:tcPr>
            <w:tcW w:type="dxa" w:w="1899"/>
            <w:tcMar>
              <w:top w:w="70" w:type="dxa"/>
              <w:start w:w="85" w:type="dxa"/>
              <w:bottom w:w="70" w:type="dxa"/>
              <w:end w:w="85" w:type="dxa"/>
            </w:tcMar>
            <w:vAlign w:val="center"/>
          </w:tcPr>
          <w:p>
            <w:pPr>
              <w:spacing w:before="0" w:after="0" w:line="240" w:lineRule="auto"/>
            </w:pPr>
            <w:r/>
            <w:r>
              <w:rPr>
                <w:sz w:val="16"/>
              </w:rPr>
              <w:t>Ineligible/fail</w:t>
            </w:r>
          </w:p>
        </w:tc>
      </w:tr>
      <w:tr>
        <w:tc>
          <w:tcPr>
            <w:tcW w:type="dxa" w:w="1899"/>
            <w:tcMar>
              <w:top w:w="70" w:type="dxa"/>
              <w:start w:w="85" w:type="dxa"/>
              <w:bottom w:w="70" w:type="dxa"/>
              <w:end w:w="85" w:type="dxa"/>
            </w:tcMar>
            <w:vAlign w:val="center"/>
          </w:tcPr>
          <w:p>
            <w:pPr>
              <w:spacing w:before="0" w:after="0" w:line="240" w:lineRule="auto"/>
            </w:pPr>
            <w:r/>
            <w:r>
              <w:rPr>
                <w:sz w:val="16"/>
              </w:rPr>
              <w:t>P5 diagnostic</w:t>
            </w:r>
          </w:p>
        </w:tc>
        <w:tc>
          <w:tcPr>
            <w:tcW w:type="dxa" w:w="1899"/>
            <w:tcMar>
              <w:top w:w="70" w:type="dxa"/>
              <w:start w:w="85" w:type="dxa"/>
              <w:bottom w:w="70" w:type="dxa"/>
              <w:end w:w="85" w:type="dxa"/>
            </w:tcMar>
            <w:vAlign w:val="center"/>
          </w:tcPr>
          <w:p>
            <w:pPr>
              <w:spacing w:before="0" w:after="0" w:line="240" w:lineRule="auto"/>
            </w:pPr>
            <w:r/>
            <w:r>
              <w:rPr>
                <w:sz w:val="16"/>
              </w:rPr>
              <w:t>Hysteresis</w:t>
            </w:r>
          </w:p>
        </w:tc>
        <w:tc>
          <w:tcPr>
            <w:tcW w:type="dxa" w:w="1899"/>
            <w:tcMar>
              <w:top w:w="70" w:type="dxa"/>
              <w:start w:w="85" w:type="dxa"/>
              <w:bottom w:w="70" w:type="dxa"/>
              <w:end w:w="85" w:type="dxa"/>
            </w:tcMar>
            <w:vAlign w:val="center"/>
          </w:tcPr>
          <w:p>
            <w:pPr>
              <w:spacing w:before="0" w:after="0" w:line="240" w:lineRule="auto"/>
            </w:pPr>
            <w:r/>
            <w:r>
              <w:rPr>
                <w:sz w:val="16"/>
              </w:rPr>
              <w:t>7.54%</w:t>
            </w:r>
          </w:p>
        </w:tc>
        <w:tc>
          <w:tcPr>
            <w:tcW w:type="dxa" w:w="1899"/>
            <w:tcMar>
              <w:top w:w="70" w:type="dxa"/>
              <w:start w:w="85" w:type="dxa"/>
              <w:bottom w:w="70" w:type="dxa"/>
              <w:end w:w="85" w:type="dxa"/>
            </w:tcMar>
            <w:vAlign w:val="center"/>
          </w:tcPr>
          <w:p>
            <w:pPr>
              <w:spacing w:before="0" w:after="0" w:line="240" w:lineRule="auto"/>
            </w:pPr>
            <w:r/>
            <w:r>
              <w:rPr>
                <w:sz w:val="16"/>
              </w:rPr>
              <w:t>−17.23%</w:t>
            </w:r>
          </w:p>
        </w:tc>
        <w:tc>
          <w:tcPr>
            <w:tcW w:type="dxa" w:w="1899"/>
            <w:tcMar>
              <w:top w:w="70" w:type="dxa"/>
              <w:start w:w="85" w:type="dxa"/>
              <w:bottom w:w="70" w:type="dxa"/>
              <w:end w:w="85" w:type="dxa"/>
            </w:tcMar>
            <w:vAlign w:val="center"/>
          </w:tcPr>
          <w:p>
            <w:pPr>
              <w:spacing w:before="0" w:after="0" w:line="240" w:lineRule="auto"/>
            </w:pPr>
            <w:r/>
            <w:r>
              <w:rPr>
                <w:sz w:val="16"/>
              </w:rPr>
              <w:t>6.83%</w:t>
            </w:r>
          </w:p>
        </w:tc>
        <w:tc>
          <w:tcPr>
            <w:tcW w:type="dxa" w:w="1899"/>
            <w:tcMar>
              <w:top w:w="70" w:type="dxa"/>
              <w:start w:w="85" w:type="dxa"/>
              <w:bottom w:w="70" w:type="dxa"/>
              <w:end w:w="85" w:type="dxa"/>
            </w:tcMar>
            <w:vAlign w:val="center"/>
          </w:tcPr>
          <w:p>
            <w:pPr>
              <w:spacing w:before="0" w:after="0" w:line="240" w:lineRule="auto"/>
            </w:pPr>
            <w:r/>
            <w:r>
              <w:rPr>
                <w:sz w:val="16"/>
              </w:rPr>
              <w:t>18.04%</w:t>
            </w:r>
          </w:p>
        </w:tc>
        <w:tc>
          <w:tcPr>
            <w:tcW w:type="dxa" w:w="1899"/>
            <w:tcMar>
              <w:top w:w="70" w:type="dxa"/>
              <w:start w:w="85" w:type="dxa"/>
              <w:bottom w:w="70" w:type="dxa"/>
              <w:end w:w="85" w:type="dxa"/>
            </w:tcMar>
            <w:vAlign w:val="center"/>
          </w:tcPr>
          <w:p>
            <w:pPr>
              <w:spacing w:before="0" w:after="0" w:line="240" w:lineRule="auto"/>
            </w:pPr>
            <w:r/>
            <w:r>
              <w:rPr>
                <w:sz w:val="16"/>
              </w:rPr>
              <w:t>65.01%</w:t>
            </w:r>
          </w:p>
        </w:tc>
        <w:tc>
          <w:tcPr>
            <w:tcW w:type="dxa" w:w="1899"/>
            <w:tcMar>
              <w:top w:w="70" w:type="dxa"/>
              <w:start w:w="85" w:type="dxa"/>
              <w:bottom w:w="70" w:type="dxa"/>
              <w:end w:w="85" w:type="dxa"/>
            </w:tcMar>
            <w:vAlign w:val="center"/>
          </w:tcPr>
          <w:p>
            <w:pPr>
              <w:spacing w:before="0" w:after="0" w:line="240" w:lineRule="auto"/>
            </w:pPr>
            <w:r/>
            <w:r>
              <w:rPr>
                <w:sz w:val="16"/>
              </w:rPr>
              <w:t>Ineligible/fail</w:t>
            </w:r>
          </w:p>
        </w:tc>
      </w:tr>
    </w:tbl>
    <w:p>
      <w:pPr>
        <w:sectPr>
          <w:pgSz w:w="16838" w:h="11906" w:orient="landscape"/>
          <w:pgMar w:top="822" w:right="822" w:bottom="822" w:left="822" w:header="425" w:footer="425" w:gutter="0"/>
          <w:cols w:space="720"/>
          <w:docGrid w:linePitch="360"/>
        </w:sectPr>
      </w:pPr>
    </w:p>
    <w:p>
      <w:pPr>
        <w:pStyle w:val="SourceCitation"/>
      </w:pPr>
      <w:r>
        <w:rPr>
          <w:sz w:val="16"/>
        </w:rPr>
        <w:t xml:space="preserve">Common sample 2017-03-01–2026-08-21; baseline costs; monthly M2/SWDA/cash policies; net returns. Internal sources [POL-*]: </w:t>
      </w:r>
      <w:r>
        <w:rPr>
          <w:rFonts w:ascii="Consolas" w:hAnsi="Consolas"/>
          <w:color w:val="1F4D78"/>
          <w:sz w:val="16"/>
        </w:rPr>
        <w:t>UKACTIVE_A4F_SIPP_DYNAMIC_POLICY_RESULTS.csv</w:t>
      </w:r>
      <w:r>
        <w:rPr>
          <w:sz w:val="16"/>
        </w:rPr>
        <w:t xml:space="preserve">, A4F commit </w:t>
      </w:r>
      <w:r>
        <w:rPr>
          <w:rFonts w:ascii="Consolas" w:hAnsi="Consolas"/>
          <w:color w:val="1F4D78"/>
          <w:sz w:val="16"/>
        </w:rPr>
        <w:t>6dba072</w:t>
      </w:r>
      <w:r>
        <w:rPr>
          <w:sz w:val="16"/>
        </w:rPr>
        <w:t>; all mandatory gates were false.</w:t>
      </w:r>
    </w:p>
    <w:p>
      <w:pPr>
        <w:keepNext/>
        <w:jc w:val="center"/>
      </w:pPr>
      <w:r>
        <w:drawing>
          <wp:inline xmlns:a="http://schemas.openxmlformats.org/drawingml/2006/main" xmlns:pic="http://schemas.openxmlformats.org/drawingml/2006/picture">
            <wp:extent cx="5806440" cy="3417975"/>
            <wp:docPr id="10" name="Picture 10"/>
            <wp:cNvGraphicFramePr>
              <a:graphicFrameLocks noChangeAspect="1"/>
            </wp:cNvGraphicFramePr>
            <a:graphic>
              <a:graphicData uri="http://schemas.openxmlformats.org/drawingml/2006/picture">
                <pic:pic>
                  <pic:nvPicPr>
                    <pic:cNvPr id="0" name="FIGURE_14_DYNAMIC_VS_STATIC.png"/>
                    <pic:cNvPicPr/>
                  </pic:nvPicPr>
                  <pic:blipFill>
                    <a:blip r:embed="rId20"/>
                    <a:stretch>
                      <a:fillRect/>
                    </a:stretch>
                  </pic:blipFill>
                  <pic:spPr>
                    <a:xfrm>
                      <a:off x="0" y="0"/>
                      <a:ext cx="5806440" cy="3417975"/>
                    </a:xfrm>
                    <a:prstGeom prst="rect"/>
                  </pic:spPr>
                </pic:pic>
              </a:graphicData>
            </a:graphic>
          </wp:inline>
        </w:drawing>
      </w:r>
    </w:p>
    <w:p>
      <w:pPr>
        <w:pStyle w:val="FigureCaptionUKACTIVE"/>
      </w:pPr>
      <w:r>
        <w:rPr>
          <w:b/>
          <w:sz w:val="18"/>
        </w:rPr>
        <w:t>Figure 14.</w:t>
      </w:r>
      <w:r>
        <w:rPr>
          <w:sz w:val="18"/>
        </w:rPr>
        <w:t xml:space="preserve"> Immediate (</w:t>
      </w:r>
      <w:r>
        <w:rPr>
          <w:rFonts w:ascii="Consolas" w:hAnsi="Consolas"/>
          <w:color w:val="1F4D78"/>
          <w:sz w:val="18"/>
        </w:rPr>
        <w:t>I</w:t>
      </w:r>
      <w:r>
        <w:rPr>
          <w:sz w:val="18"/>
        </w:rPr>
        <w:t>) and hysteresis (</w:t>
      </w:r>
      <w:r>
        <w:rPr>
          <w:rFonts w:ascii="Consolas" w:hAnsi="Consolas"/>
          <w:color w:val="1F4D78"/>
          <w:sz w:val="18"/>
        </w:rPr>
        <w:t>H</w:t>
      </w:r>
      <w:r>
        <w:rPr>
          <w:sz w:val="18"/>
        </w:rPr>
        <w:t>) dynamic policies reduced some drawdowns only by surrendering substantial compounding or worsening path discomfort. Static comparators are shown separately.</w:t>
      </w:r>
    </w:p>
    <w:p>
      <w:r>
        <w:t>The dynamic failures illuminate the difference between gradual and binary defence. Immediate switching could react faster but still acted after causal signals were observed; hysteresis reduced whipsaw at the cost of delayed re-risking. P4's immediate rule achieved the shallowest MDD but retained only 58.19% of the global-core return and had an Ulcer Index almost twice the static control's. P2 retained return but had a deeper MDD than the control and failed mandatory gates. Lagged exits and delayed re-entry damaged compounding; several policies had worse Ulcer even when MDD improved. Regime variables are retained as telemetry only and do not control the frozen allocation.</w:t>
      </w:r>
    </w:p>
    <w:p>
      <w:pPr>
        <w:pStyle w:val="Heading1"/>
      </w:pPr>
      <w:r>
        <w:t>21. Randomisation and falsification evidence</w:t>
      </w:r>
    </w:p>
    <w:p>
      <w:r>
        <w:t>Randomisation addressed a narrower question than conventional significance testing: holding the opportunity set, eligible count, cadence and broad portfolio mechanics fixed, did M2 select historically better families than a rule that discarded its ranking? Two A4F controls generated 10,000 paths each. The matched-count control chose seven families randomly from each contemporaneous eligible set. The rank-shuffle control permuted monthly ranks before selecting the top count. Both preserved the varying historical opportunity set.</w:t>
      </w:r>
    </w:p>
    <w:p>
      <w:pPr>
        <w:keepNext/>
        <w:spacing w:before="160" w:after="80"/>
      </w:pPr>
      <w:r>
        <w:rPr>
          <w:b/>
        </w:rPr>
        <w:t>Table 15. Matched opportunity-set randomisation</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Control</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Paths</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Candidate diagnostic CAGR</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CAGR percentile</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Candidate diagnostic MDD</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Drawdown percentile</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Candidate turnover</w:t>
            </w:r>
          </w:p>
        </w:tc>
      </w:tr>
      <w:tr>
        <w:tc>
          <w:tcPr>
            <w:tcW w:type="dxa" w:w="1393"/>
            <w:tcMar>
              <w:top w:w="70" w:type="dxa"/>
              <w:start w:w="85" w:type="dxa"/>
              <w:bottom w:w="70" w:type="dxa"/>
              <w:end w:w="85" w:type="dxa"/>
            </w:tcMar>
            <w:vAlign w:val="center"/>
          </w:tcPr>
          <w:p>
            <w:pPr>
              <w:spacing w:before="0" w:after="0" w:line="240" w:lineRule="auto"/>
            </w:pPr>
            <w:r/>
            <w:r>
              <w:rPr>
                <w:sz w:val="16"/>
              </w:rPr>
              <w:t>Random selection, same risky count</w:t>
            </w:r>
          </w:p>
        </w:tc>
        <w:tc>
          <w:tcPr>
            <w:tcW w:type="dxa" w:w="1393"/>
            <w:tcMar>
              <w:top w:w="70" w:type="dxa"/>
              <w:start w:w="85" w:type="dxa"/>
              <w:bottom w:w="70" w:type="dxa"/>
              <w:end w:w="85" w:type="dxa"/>
            </w:tcMar>
            <w:vAlign w:val="center"/>
          </w:tcPr>
          <w:p>
            <w:pPr>
              <w:spacing w:before="0" w:after="0" w:line="240" w:lineRule="auto"/>
            </w:pPr>
            <w:r/>
            <w:r>
              <w:rPr>
                <w:sz w:val="16"/>
              </w:rPr>
              <w:t>10,000</w:t>
            </w:r>
          </w:p>
        </w:tc>
        <w:tc>
          <w:tcPr>
            <w:tcW w:type="dxa" w:w="1393"/>
            <w:tcMar>
              <w:top w:w="70" w:type="dxa"/>
              <w:start w:w="85" w:type="dxa"/>
              <w:bottom w:w="70" w:type="dxa"/>
              <w:end w:w="85" w:type="dxa"/>
            </w:tcMar>
            <w:vAlign w:val="center"/>
          </w:tcPr>
          <w:p>
            <w:pPr>
              <w:spacing w:before="0" w:after="0" w:line="240" w:lineRule="auto"/>
            </w:pPr>
            <w:r/>
            <w:r>
              <w:rPr>
                <w:sz w:val="16"/>
              </w:rPr>
              <w:t>12.60%</w:t>
            </w:r>
          </w:p>
        </w:tc>
        <w:tc>
          <w:tcPr>
            <w:tcW w:type="dxa" w:w="1393"/>
            <w:tcMar>
              <w:top w:w="70" w:type="dxa"/>
              <w:start w:w="85" w:type="dxa"/>
              <w:bottom w:w="70" w:type="dxa"/>
              <w:end w:w="85" w:type="dxa"/>
            </w:tcMar>
            <w:vAlign w:val="center"/>
          </w:tcPr>
          <w:p>
            <w:pPr>
              <w:spacing w:before="0" w:after="0" w:line="240" w:lineRule="auto"/>
            </w:pPr>
            <w:r/>
            <w:r>
              <w:rPr>
                <w:b/>
                <w:sz w:val="16"/>
              </w:rPr>
              <w:t>99.36th</w:t>
            </w:r>
          </w:p>
        </w:tc>
        <w:tc>
          <w:tcPr>
            <w:tcW w:type="dxa" w:w="1393"/>
            <w:tcMar>
              <w:top w:w="70" w:type="dxa"/>
              <w:start w:w="85" w:type="dxa"/>
              <w:bottom w:w="70" w:type="dxa"/>
              <w:end w:w="85" w:type="dxa"/>
            </w:tcMar>
            <w:vAlign w:val="center"/>
          </w:tcPr>
          <w:p>
            <w:pPr>
              <w:spacing w:before="0" w:after="0" w:line="240" w:lineRule="auto"/>
            </w:pPr>
            <w:r/>
            <w:r>
              <w:rPr>
                <w:sz w:val="16"/>
              </w:rPr>
              <w:t>−19.28%</w:t>
            </w:r>
          </w:p>
        </w:tc>
        <w:tc>
          <w:tcPr>
            <w:tcW w:type="dxa" w:w="1393"/>
            <w:tcMar>
              <w:top w:w="70" w:type="dxa"/>
              <w:start w:w="85" w:type="dxa"/>
              <w:bottom w:w="70" w:type="dxa"/>
              <w:end w:w="85" w:type="dxa"/>
            </w:tcMar>
            <w:vAlign w:val="center"/>
          </w:tcPr>
          <w:p>
            <w:pPr>
              <w:spacing w:before="0" w:after="0" w:line="240" w:lineRule="auto"/>
            </w:pPr>
            <w:r/>
            <w:r>
              <w:rPr>
                <w:b/>
                <w:sz w:val="16"/>
              </w:rPr>
              <w:t>98.47th</w:t>
            </w:r>
          </w:p>
        </w:tc>
        <w:tc>
          <w:tcPr>
            <w:tcW w:type="dxa" w:w="1393"/>
            <w:tcMar>
              <w:top w:w="70" w:type="dxa"/>
              <w:start w:w="85" w:type="dxa"/>
              <w:bottom w:w="70" w:type="dxa"/>
              <w:end w:w="85" w:type="dxa"/>
            </w:tcMar>
            <w:vAlign w:val="center"/>
          </w:tcPr>
          <w:p>
            <w:pPr>
              <w:spacing w:before="0" w:after="0" w:line="240" w:lineRule="auto"/>
            </w:pPr>
            <w:r/>
            <w:r>
              <w:rPr>
                <w:sz w:val="16"/>
              </w:rPr>
              <w:t>5.53×</w:t>
            </w:r>
          </w:p>
        </w:tc>
      </w:tr>
      <w:tr>
        <w:tc>
          <w:tcPr>
            <w:tcW w:type="dxa" w:w="1393"/>
            <w:tcMar>
              <w:top w:w="70" w:type="dxa"/>
              <w:start w:w="85" w:type="dxa"/>
              <w:bottom w:w="70" w:type="dxa"/>
              <w:end w:w="85" w:type="dxa"/>
            </w:tcMar>
            <w:vAlign w:val="center"/>
          </w:tcPr>
          <w:p>
            <w:pPr>
              <w:spacing w:before="0" w:after="0" w:line="240" w:lineRule="auto"/>
            </w:pPr>
            <w:r/>
            <w:r>
              <w:rPr>
                <w:sz w:val="16"/>
              </w:rPr>
              <w:t>Monthly rank shuffle</w:t>
            </w:r>
          </w:p>
        </w:tc>
        <w:tc>
          <w:tcPr>
            <w:tcW w:type="dxa" w:w="1393"/>
            <w:tcMar>
              <w:top w:w="70" w:type="dxa"/>
              <w:start w:w="85" w:type="dxa"/>
              <w:bottom w:w="70" w:type="dxa"/>
              <w:end w:w="85" w:type="dxa"/>
            </w:tcMar>
            <w:vAlign w:val="center"/>
          </w:tcPr>
          <w:p>
            <w:pPr>
              <w:spacing w:before="0" w:after="0" w:line="240" w:lineRule="auto"/>
            </w:pPr>
            <w:r/>
            <w:r>
              <w:rPr>
                <w:sz w:val="16"/>
              </w:rPr>
              <w:t>10,000</w:t>
            </w:r>
          </w:p>
        </w:tc>
        <w:tc>
          <w:tcPr>
            <w:tcW w:type="dxa" w:w="1393"/>
            <w:tcMar>
              <w:top w:w="70" w:type="dxa"/>
              <w:start w:w="85" w:type="dxa"/>
              <w:bottom w:w="70" w:type="dxa"/>
              <w:end w:w="85" w:type="dxa"/>
            </w:tcMar>
            <w:vAlign w:val="center"/>
          </w:tcPr>
          <w:p>
            <w:pPr>
              <w:spacing w:before="0" w:after="0" w:line="240" w:lineRule="auto"/>
            </w:pPr>
            <w:r/>
            <w:r>
              <w:rPr>
                <w:sz w:val="16"/>
              </w:rPr>
              <w:t>12.60%</w:t>
            </w:r>
          </w:p>
        </w:tc>
        <w:tc>
          <w:tcPr>
            <w:tcW w:type="dxa" w:w="1393"/>
            <w:tcMar>
              <w:top w:w="70" w:type="dxa"/>
              <w:start w:w="85" w:type="dxa"/>
              <w:bottom w:w="70" w:type="dxa"/>
              <w:end w:w="85" w:type="dxa"/>
            </w:tcMar>
            <w:vAlign w:val="center"/>
          </w:tcPr>
          <w:p>
            <w:pPr>
              <w:spacing w:before="0" w:after="0" w:line="240" w:lineRule="auto"/>
            </w:pPr>
            <w:r/>
            <w:r>
              <w:rPr>
                <w:b/>
                <w:sz w:val="16"/>
              </w:rPr>
              <w:t>99.48th</w:t>
            </w:r>
          </w:p>
        </w:tc>
        <w:tc>
          <w:tcPr>
            <w:tcW w:type="dxa" w:w="1393"/>
            <w:tcMar>
              <w:top w:w="70" w:type="dxa"/>
              <w:start w:w="85" w:type="dxa"/>
              <w:bottom w:w="70" w:type="dxa"/>
              <w:end w:w="85" w:type="dxa"/>
            </w:tcMar>
            <w:vAlign w:val="center"/>
          </w:tcPr>
          <w:p>
            <w:pPr>
              <w:spacing w:before="0" w:after="0" w:line="240" w:lineRule="auto"/>
            </w:pPr>
            <w:r/>
            <w:r>
              <w:rPr>
                <w:sz w:val="16"/>
              </w:rPr>
              <w:t>−19.28%</w:t>
            </w:r>
          </w:p>
        </w:tc>
        <w:tc>
          <w:tcPr>
            <w:tcW w:type="dxa" w:w="1393"/>
            <w:tcMar>
              <w:top w:w="70" w:type="dxa"/>
              <w:start w:w="85" w:type="dxa"/>
              <w:bottom w:w="70" w:type="dxa"/>
              <w:end w:w="85" w:type="dxa"/>
            </w:tcMar>
            <w:vAlign w:val="center"/>
          </w:tcPr>
          <w:p>
            <w:pPr>
              <w:spacing w:before="0" w:after="0" w:line="240" w:lineRule="auto"/>
            </w:pPr>
            <w:r/>
            <w:r>
              <w:rPr>
                <w:b/>
                <w:sz w:val="16"/>
              </w:rPr>
              <w:t>98.30th</w:t>
            </w:r>
          </w:p>
        </w:tc>
        <w:tc>
          <w:tcPr>
            <w:tcW w:type="dxa" w:w="1393"/>
            <w:tcMar>
              <w:top w:w="70" w:type="dxa"/>
              <w:start w:w="85" w:type="dxa"/>
              <w:bottom w:w="70" w:type="dxa"/>
              <w:end w:w="85" w:type="dxa"/>
            </w:tcMar>
            <w:vAlign w:val="center"/>
          </w:tcPr>
          <w:p>
            <w:pPr>
              <w:spacing w:before="0" w:after="0" w:line="240" w:lineRule="auto"/>
            </w:pPr>
            <w:r/>
            <w:r>
              <w:rPr>
                <w:sz w:val="16"/>
              </w:rPr>
              <w:t>5.53×</w:t>
            </w:r>
          </w:p>
        </w:tc>
      </w:tr>
    </w:tbl>
    <w:p>
      <w:r>
        <w:rPr>
          <w:i/>
        </w:rPr>
        <w:t>Diagnostic executions 2017-03-01–2026-08-03; 20 bps one-way plus £3.99 per paid leg on £250,000; monthly TOP7 CASH0 eligibility; vectorised net diagnostic. Internal sources [RAND-RANDOM_SELECTION_SAME_RISKY_COUNT] and [RAND-MONTHLY_RANK_SHUFFLE]: `UKACTIVE_A4F_SIPP_RANDOM_SELECTION_CONTROL.csv`, A4F commit `6dba072`.</w:t>
      </w:r>
    </w:p>
    <w:p>
      <w:pPr>
        <w:keepNext/>
        <w:jc w:val="center"/>
      </w:pPr>
      <w:r>
        <w:drawing>
          <wp:inline xmlns:a="http://schemas.openxmlformats.org/drawingml/2006/main" xmlns:pic="http://schemas.openxmlformats.org/drawingml/2006/picture">
            <wp:extent cx="5806440" cy="2906733"/>
            <wp:docPr id="11" name="Picture 11"/>
            <wp:cNvGraphicFramePr>
              <a:graphicFrameLocks noChangeAspect="1"/>
            </wp:cNvGraphicFramePr>
            <a:graphic>
              <a:graphicData uri="http://schemas.openxmlformats.org/drawingml/2006/picture">
                <pic:pic>
                  <pic:nvPicPr>
                    <pic:cNvPr id="0" name="FIGURE_11_RANDOM_SELECTION_DISTRIBUTION.png"/>
                    <pic:cNvPicPr/>
                  </pic:nvPicPr>
                  <pic:blipFill>
                    <a:blip r:embed="rId21"/>
                    <a:stretch>
                      <a:fillRect/>
                    </a:stretch>
                  </pic:blipFill>
                  <pic:spPr>
                    <a:xfrm>
                      <a:off x="0" y="0"/>
                      <a:ext cx="5806440" cy="2906733"/>
                    </a:xfrm>
                    <a:prstGeom prst="rect"/>
                  </pic:spPr>
                </pic:pic>
              </a:graphicData>
            </a:graphic>
          </wp:inline>
        </w:drawing>
      </w:r>
    </w:p>
    <w:p>
      <w:pPr>
        <w:pStyle w:val="FigureCaptionUKACTIVE"/>
      </w:pPr>
      <w:r>
        <w:rPr>
          <w:b/>
          <w:sz w:val="18"/>
        </w:rPr>
        <w:t>Figure 11.</w:t>
      </w:r>
      <w:r>
        <w:rPr>
          <w:sz w:val="18"/>
        </w:rPr>
        <w:t xml:space="preserve"> Exact deterministic reproduction of the two 10,000-path CAGR distributions. The displayed 12.60% diagnostic CAGR is not the 13.14% primary scientific CAGR because the randomisation engine uses its own vectorised execution endpoints and fee implementation. The evidence matrix preserves that metric distinction.</w:t>
      </w:r>
    </w:p>
    <w:p>
      <w:r>
        <w:t xml:space="preserve">The correct interpretation is: </w:t>
      </w:r>
      <w:r>
        <w:rPr>
          <w:b/>
        </w:rPr>
        <w:t>the ranking selected better historical outcomes than random choice from the same opportunity set.</w:t>
      </w:r>
      <w:r>
        <w:t xml:space="preserve"> The experiment directly challenges the hypothesis that any arbitrary seven thematic families would have produced the result. It does not prove stable alpha, an unbiased expected premium, independent replication or distributed return support. Random paths can be decisively worse even when the winning candidate's advantage is concentrated in a few episodes. That is exactly why randomisation must be read together with year, family and spell influence.</w:t>
      </w:r>
    </w:p>
    <w:p>
      <w:pPr>
        <w:pStyle w:val="Heading1"/>
      </w:pPr>
      <w:r>
        <w:t>22. Right-tail dependence and contribution analysis</w:t>
      </w:r>
    </w:p>
    <w:p>
      <w:pPr>
        <w:pStyle w:val="Heading2"/>
      </w:pPr>
      <w:r>
        <w:t>22.1 Family and rank attribution</w:t>
      </w:r>
    </w:p>
    <w:p>
      <w:r>
        <w:t>Gross market-P&amp;L attribution assigns the largest family shares to global battery/EV (15.82%), global semiconductors (14.91%), global silver miners (13.84%), global gold miners (10.98%) and European banks (9.37%). The top three together contributed 44.57% and the top five 64.92%. Because negative families subtract from the denominator, contributor shares can sum to more than 100%; they are explanatory arithmetic shares, not CAGRs.</w:t>
      </w:r>
    </w:p>
    <w:p>
      <w:pPr>
        <w:keepNext/>
        <w:jc w:val="center"/>
      </w:pPr>
      <w:r>
        <w:drawing>
          <wp:inline xmlns:a="http://schemas.openxmlformats.org/drawingml/2006/main" xmlns:pic="http://schemas.openxmlformats.org/drawingml/2006/picture">
            <wp:extent cx="5806440" cy="3538459"/>
            <wp:docPr id="12" name="Picture 12"/>
            <wp:cNvGraphicFramePr>
              <a:graphicFrameLocks noChangeAspect="1"/>
            </wp:cNvGraphicFramePr>
            <a:graphic>
              <a:graphicData uri="http://schemas.openxmlformats.org/drawingml/2006/picture">
                <pic:pic>
                  <pic:nvPicPr>
                    <pic:cNvPr id="0" name="FIGURE_09_CONTRIBUTION_BY_FAMILY.png"/>
                    <pic:cNvPicPr/>
                  </pic:nvPicPr>
                  <pic:blipFill>
                    <a:blip r:embed="rId22"/>
                    <a:stretch>
                      <a:fillRect/>
                    </a:stretch>
                  </pic:blipFill>
                  <pic:spPr>
                    <a:xfrm>
                      <a:off x="0" y="0"/>
                      <a:ext cx="5806440" cy="3538459"/>
                    </a:xfrm>
                    <a:prstGeom prst="rect"/>
                  </pic:spPr>
                </pic:pic>
              </a:graphicData>
            </a:graphic>
          </wp:inline>
        </w:drawing>
      </w:r>
    </w:p>
    <w:p>
      <w:pPr>
        <w:pStyle w:val="FigureCaptionUKACTIVE"/>
      </w:pPr>
      <w:r>
        <w:rPr>
          <w:b/>
          <w:sz w:val="18"/>
        </w:rPr>
        <w:t>Figure 9.</w:t>
      </w:r>
      <w:r>
        <w:rPr>
          <w:sz w:val="18"/>
        </w:rPr>
        <w:t xml:space="preserve"> Largest gross family market-P&amp;L shares, 2017-03-01–2026-08-21. The chart precedes portfolio transaction costs and ranks contributors ex post; it is not a selection rule.</w:t>
      </w:r>
    </w:p>
    <w:p>
      <w:r>
        <w:t>Rank attribution is less concentrated at the very top than the earlier TOP1 work implied. Rank 1 contributed 19.98%; ranks 2–3, 17.24%; ranks 4–5, 37.28%; and ranks 6–10, 26.50%, with −1.00% unattributed to the currently selected-rank buckets. Thus a large part of historical P&amp;L came from the middle and lower portion of the selected basket. This supports breadth, but does not remove family concentration.</w:t>
      </w:r>
    </w:p>
    <w:p>
      <w:pPr>
        <w:keepNext/>
        <w:jc w:val="center"/>
      </w:pPr>
      <w:r>
        <w:drawing>
          <wp:inline xmlns:a="http://schemas.openxmlformats.org/drawingml/2006/main" xmlns:pic="http://schemas.openxmlformats.org/drawingml/2006/picture">
            <wp:extent cx="5806440" cy="3463332"/>
            <wp:docPr id="13" name="Picture 13"/>
            <wp:cNvGraphicFramePr>
              <a:graphicFrameLocks noChangeAspect="1"/>
            </wp:cNvGraphicFramePr>
            <a:graphic>
              <a:graphicData uri="http://schemas.openxmlformats.org/drawingml/2006/picture">
                <pic:pic>
                  <pic:nvPicPr>
                    <pic:cNvPr id="0" name="FIGURE_10_CONTRIBUTION_BY_RANK.png"/>
                    <pic:cNvPicPr/>
                  </pic:nvPicPr>
                  <pic:blipFill>
                    <a:blip r:embed="rId23"/>
                    <a:stretch>
                      <a:fillRect/>
                    </a:stretch>
                  </pic:blipFill>
                  <pic:spPr>
                    <a:xfrm>
                      <a:off x="0" y="0"/>
                      <a:ext cx="5806440" cy="3463332"/>
                    </a:xfrm>
                    <a:prstGeom prst="rect"/>
                  </pic:spPr>
                </pic:pic>
              </a:graphicData>
            </a:graphic>
          </wp:inline>
        </w:drawing>
      </w:r>
    </w:p>
    <w:p>
      <w:pPr>
        <w:pStyle w:val="FigureCaptionUKACTIVE"/>
      </w:pPr>
      <w:r>
        <w:rPr>
          <w:b/>
          <w:sz w:val="18"/>
        </w:rPr>
        <w:t>Figure 10.</w:t>
      </w:r>
      <w:r>
        <w:rPr>
          <w:sz w:val="18"/>
        </w:rPr>
        <w:t xml:space="preserve"> Gross contribution by selection-time M2 rank bucket. Ranks 6–10 include positions held through monthly transitions under the canonical attribution convention.</w:t>
      </w:r>
    </w:p>
    <w:p>
      <w:pPr>
        <w:pStyle w:val="SourceCitation"/>
      </w:pPr>
      <w:r>
        <w:rPr>
          <w:sz w:val="16"/>
        </w:rPr>
        <w:t xml:space="preserve">Internal sources [CONTRIB-FAM-01]–[CONTRIB-FAM-12] and [CONTRIB-RANK-*]: A4D contribution CSVs, commit </w:t>
      </w:r>
      <w:r>
        <w:rPr>
          <w:rFonts w:ascii="Consolas" w:hAnsi="Consolas"/>
          <w:color w:val="1F4D78"/>
          <w:sz w:val="16"/>
        </w:rPr>
        <w:t>f411e0d</w:t>
      </w:r>
      <w:r>
        <w:rPr>
          <w:sz w:val="16"/>
        </w:rPr>
        <w:t>.</w:t>
      </w:r>
    </w:p>
    <w:p>
      <w:pPr>
        <w:pStyle w:val="Heading2"/>
      </w:pPr>
      <w:r>
        <w:t>22.2 Holding spells</w:t>
      </w:r>
    </w:p>
    <w:p>
      <w:r>
        <w:t>The largest completed spell was global silver miners from 2025-03-03 to 2026-05-01, with a 146.30% held return and 14.97% normalised arithmetic contribution. Battery/EV from 2019-11-01 to 2021-09-01 returned 109.44% while held and contributed 11.60%. Global semiconductors from 2023-02-01 to 2024-09-02 contributed 9.28% with a 78.42% held return. A later battery/EV spell beginning 2025-08-01 contributed 9.07%; global oil and gas from 2021-10-01 to 2023-02-01 contributed 7.69%; and European banks from 2025-02-03 to 2025-10-01 contributed 7.08%.</w:t>
      </w:r>
    </w:p>
    <w:p>
      <w:pPr>
        <w:keepNext/>
        <w:jc w:val="center"/>
      </w:pPr>
      <w:r>
        <w:drawing>
          <wp:inline xmlns:a="http://schemas.openxmlformats.org/drawingml/2006/main" xmlns:pic="http://schemas.openxmlformats.org/drawingml/2006/picture">
            <wp:extent cx="5806440" cy="2974806"/>
            <wp:docPr id="14" name="Picture 14"/>
            <wp:cNvGraphicFramePr>
              <a:graphicFrameLocks noChangeAspect="1"/>
            </wp:cNvGraphicFramePr>
            <a:graphic>
              <a:graphicData uri="http://schemas.openxmlformats.org/drawingml/2006/picture">
                <pic:pic>
                  <pic:nvPicPr>
                    <pic:cNvPr id="0" name="FIGURE_12_HOLDING_SPELL_CONCENTRATION.png"/>
                    <pic:cNvPicPr/>
                  </pic:nvPicPr>
                  <pic:blipFill>
                    <a:blip r:embed="rId24"/>
                    <a:stretch>
                      <a:fillRect/>
                    </a:stretch>
                  </pic:blipFill>
                  <pic:spPr>
                    <a:xfrm>
                      <a:off x="0" y="0"/>
                      <a:ext cx="5806440" cy="2974806"/>
                    </a:xfrm>
                    <a:prstGeom prst="rect"/>
                  </pic:spPr>
                </pic:pic>
              </a:graphicData>
            </a:graphic>
          </wp:inline>
        </w:drawing>
      </w:r>
    </w:p>
    <w:p>
      <w:pPr>
        <w:pStyle w:val="FigureCaptionUKACTIVE"/>
      </w:pPr>
      <w:r>
        <w:rPr>
          <w:b/>
          <w:sz w:val="18"/>
        </w:rPr>
        <w:t>Figure 12.</w:t>
      </w:r>
      <w:r>
        <w:rPr>
          <w:sz w:val="18"/>
        </w:rPr>
        <w:t xml:space="preserve"> Positive holding spells ranked ex post. Cumulative contribution exceeding 100% means other spells detracted. The display measures influence; it does not justify deleting or harvesting a live winner.</w:t>
      </w:r>
    </w:p>
    <w:p>
      <w:pPr>
        <w:pStyle w:val="Heading2"/>
      </w:pPr>
      <w:r>
        <w:t>22.3 Influence tests</w:t>
      </w:r>
    </w:p>
    <w:p>
      <w:pPr>
        <w:keepNext/>
        <w:spacing w:before="160" w:after="80"/>
      </w:pPr>
      <w:r>
        <w:rPr>
          <w:b/>
        </w:rPr>
        <w:t>Table 16. Family and holding-spell influence</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Test</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Recomputed net CAGR</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Incremental CAGR vs SWDA</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Interpretation</w:t>
            </w:r>
          </w:p>
        </w:tc>
      </w:tr>
      <w:tr>
        <w:tc>
          <w:tcPr>
            <w:tcW w:type="dxa" w:w="2438"/>
            <w:tcMar>
              <w:top w:w="70" w:type="dxa"/>
              <w:start w:w="85" w:type="dxa"/>
              <w:bottom w:w="70" w:type="dxa"/>
              <w:end w:w="85" w:type="dxa"/>
            </w:tcMar>
            <w:vAlign w:val="center"/>
          </w:tcPr>
          <w:p>
            <w:pPr>
              <w:spacing w:before="0" w:after="0" w:line="240" w:lineRule="auto"/>
            </w:pPr>
            <w:r/>
            <w:r>
              <w:rPr>
                <w:sz w:val="17"/>
              </w:rPr>
              <w:t>Minimum leave-one-family-out</w:t>
            </w:r>
          </w:p>
        </w:tc>
        <w:tc>
          <w:tcPr>
            <w:tcW w:type="dxa" w:w="2438"/>
            <w:tcMar>
              <w:top w:w="70" w:type="dxa"/>
              <w:start w:w="85" w:type="dxa"/>
              <w:bottom w:w="70" w:type="dxa"/>
              <w:end w:w="85" w:type="dxa"/>
            </w:tcMar>
            <w:vAlign w:val="center"/>
          </w:tcPr>
          <w:p>
            <w:pPr>
              <w:spacing w:before="0" w:after="0" w:line="240" w:lineRule="auto"/>
            </w:pPr>
            <w:r/>
            <w:r>
              <w:rPr>
                <w:sz w:val="17"/>
              </w:rPr>
              <w:t>—</w:t>
            </w:r>
          </w:p>
        </w:tc>
        <w:tc>
          <w:tcPr>
            <w:tcW w:type="dxa" w:w="2438"/>
            <w:tcMar>
              <w:top w:w="70" w:type="dxa"/>
              <w:start w:w="85" w:type="dxa"/>
              <w:bottom w:w="70" w:type="dxa"/>
              <w:end w:w="85" w:type="dxa"/>
            </w:tcMar>
            <w:vAlign w:val="center"/>
          </w:tcPr>
          <w:p>
            <w:pPr>
              <w:spacing w:before="0" w:after="0" w:line="240" w:lineRule="auto"/>
            </w:pPr>
            <w:r/>
            <w:r>
              <w:rPr>
                <w:b/>
                <w:sz w:val="17"/>
              </w:rPr>
              <w:t>0.09 pp</w:t>
            </w:r>
          </w:p>
        </w:tc>
        <w:tc>
          <w:tcPr>
            <w:tcW w:type="dxa" w:w="2438"/>
            <w:tcMar>
              <w:top w:w="70" w:type="dxa"/>
              <w:start w:w="85" w:type="dxa"/>
              <w:bottom w:w="70" w:type="dxa"/>
              <w:end w:w="85" w:type="dxa"/>
            </w:tcMar>
            <w:vAlign w:val="center"/>
          </w:tcPr>
          <w:p>
            <w:pPr>
              <w:spacing w:before="0" w:after="0" w:line="240" w:lineRule="auto"/>
            </w:pPr>
            <w:r/>
            <w:r>
              <w:rPr>
                <w:sz w:val="17"/>
              </w:rPr>
              <w:t>No single family reverses full result</w:t>
            </w:r>
          </w:p>
        </w:tc>
      </w:tr>
      <w:tr>
        <w:tc>
          <w:tcPr>
            <w:tcW w:type="dxa" w:w="2438"/>
            <w:tcMar>
              <w:top w:w="70" w:type="dxa"/>
              <w:start w:w="85" w:type="dxa"/>
              <w:bottom w:w="70" w:type="dxa"/>
              <w:end w:w="85" w:type="dxa"/>
            </w:tcMar>
            <w:vAlign w:val="center"/>
          </w:tcPr>
          <w:p>
            <w:pPr>
              <w:spacing w:before="0" w:after="0" w:line="240" w:lineRule="auto"/>
            </w:pPr>
            <w:r/>
            <w:r>
              <w:rPr>
                <w:sz w:val="17"/>
              </w:rPr>
              <w:t>Exclude top one family</w:t>
            </w:r>
          </w:p>
        </w:tc>
        <w:tc>
          <w:tcPr>
            <w:tcW w:type="dxa" w:w="2438"/>
            <w:tcMar>
              <w:top w:w="70" w:type="dxa"/>
              <w:start w:w="85" w:type="dxa"/>
              <w:bottom w:w="70" w:type="dxa"/>
              <w:end w:w="85" w:type="dxa"/>
            </w:tcMar>
            <w:vAlign w:val="center"/>
          </w:tcPr>
          <w:p>
            <w:pPr>
              <w:spacing w:before="0" w:after="0" w:line="240" w:lineRule="auto"/>
            </w:pPr>
            <w:r/>
            <w:r>
              <w:rPr>
                <w:sz w:val="17"/>
              </w:rPr>
              <w:t>—</w:t>
            </w:r>
          </w:p>
        </w:tc>
        <w:tc>
          <w:tcPr>
            <w:tcW w:type="dxa" w:w="2438"/>
            <w:tcMar>
              <w:top w:w="70" w:type="dxa"/>
              <w:start w:w="85" w:type="dxa"/>
              <w:bottom w:w="70" w:type="dxa"/>
              <w:end w:w="85" w:type="dxa"/>
            </w:tcMar>
            <w:vAlign w:val="center"/>
          </w:tcPr>
          <w:p>
            <w:pPr>
              <w:spacing w:before="0" w:after="0" w:line="240" w:lineRule="auto"/>
            </w:pPr>
            <w:r/>
            <w:r>
              <w:rPr>
                <w:sz w:val="17"/>
              </w:rPr>
              <w:t>0.25 pp</w:t>
            </w:r>
          </w:p>
        </w:tc>
        <w:tc>
          <w:tcPr>
            <w:tcW w:type="dxa" w:w="2438"/>
            <w:tcMar>
              <w:top w:w="70" w:type="dxa"/>
              <w:start w:w="85" w:type="dxa"/>
              <w:bottom w:w="70" w:type="dxa"/>
              <w:end w:w="85" w:type="dxa"/>
            </w:tcMar>
            <w:vAlign w:val="center"/>
          </w:tcPr>
          <w:p>
            <w:pPr>
              <w:spacing w:before="0" w:after="0" w:line="240" w:lineRule="auto"/>
            </w:pPr>
            <w:r/>
            <w:r>
              <w:rPr>
                <w:sz w:val="17"/>
              </w:rPr>
              <w:t>Material weakening, still positive</w:t>
            </w:r>
          </w:p>
        </w:tc>
      </w:tr>
      <w:tr>
        <w:tc>
          <w:tcPr>
            <w:tcW w:type="dxa" w:w="2438"/>
            <w:tcMar>
              <w:top w:w="70" w:type="dxa"/>
              <w:start w:w="85" w:type="dxa"/>
              <w:bottom w:w="70" w:type="dxa"/>
              <w:end w:w="85" w:type="dxa"/>
            </w:tcMar>
            <w:vAlign w:val="center"/>
          </w:tcPr>
          <w:p>
            <w:pPr>
              <w:spacing w:before="0" w:after="0" w:line="240" w:lineRule="auto"/>
            </w:pPr>
            <w:r/>
            <w:r>
              <w:rPr>
                <w:sz w:val="17"/>
              </w:rPr>
              <w:t>Exclude top three families</w:t>
            </w:r>
          </w:p>
        </w:tc>
        <w:tc>
          <w:tcPr>
            <w:tcW w:type="dxa" w:w="2438"/>
            <w:tcMar>
              <w:top w:w="70" w:type="dxa"/>
              <w:start w:w="85" w:type="dxa"/>
              <w:bottom w:w="70" w:type="dxa"/>
              <w:end w:w="85" w:type="dxa"/>
            </w:tcMar>
            <w:vAlign w:val="center"/>
          </w:tcPr>
          <w:p>
            <w:pPr>
              <w:spacing w:before="0" w:after="0" w:line="240" w:lineRule="auto"/>
            </w:pPr>
            <w:r/>
            <w:r>
              <w:rPr>
                <w:sz w:val="17"/>
              </w:rPr>
              <w:t>—</w:t>
            </w:r>
          </w:p>
        </w:tc>
        <w:tc>
          <w:tcPr>
            <w:tcW w:type="dxa" w:w="2438"/>
            <w:tcMar>
              <w:top w:w="70" w:type="dxa"/>
              <w:start w:w="85" w:type="dxa"/>
              <w:bottom w:w="70" w:type="dxa"/>
              <w:end w:w="85" w:type="dxa"/>
            </w:tcMar>
            <w:vAlign w:val="center"/>
          </w:tcPr>
          <w:p>
            <w:pPr>
              <w:spacing w:before="0" w:after="0" w:line="240" w:lineRule="auto"/>
            </w:pPr>
            <w:r/>
            <w:r>
              <w:rPr>
                <w:b/>
                <w:sz w:val="17"/>
              </w:rPr>
              <w:t>−4.37 pp</w:t>
            </w:r>
          </w:p>
        </w:tc>
        <w:tc>
          <w:tcPr>
            <w:tcW w:type="dxa" w:w="2438"/>
            <w:tcMar>
              <w:top w:w="70" w:type="dxa"/>
              <w:start w:w="85" w:type="dxa"/>
              <w:bottom w:w="70" w:type="dxa"/>
              <w:end w:w="85" w:type="dxa"/>
            </w:tcMar>
            <w:vAlign w:val="center"/>
          </w:tcPr>
          <w:p>
            <w:pPr>
              <w:spacing w:before="0" w:after="0" w:line="240" w:lineRule="auto"/>
            </w:pPr>
            <w:r/>
            <w:r>
              <w:rPr>
                <w:sz w:val="17"/>
              </w:rPr>
              <w:t>Reverses</w:t>
            </w:r>
          </w:p>
        </w:tc>
      </w:tr>
      <w:tr>
        <w:tc>
          <w:tcPr>
            <w:tcW w:type="dxa" w:w="2438"/>
            <w:tcMar>
              <w:top w:w="70" w:type="dxa"/>
              <w:start w:w="85" w:type="dxa"/>
              <w:bottom w:w="70" w:type="dxa"/>
              <w:end w:w="85" w:type="dxa"/>
            </w:tcMar>
            <w:vAlign w:val="center"/>
          </w:tcPr>
          <w:p>
            <w:pPr>
              <w:spacing w:before="0" w:after="0" w:line="240" w:lineRule="auto"/>
            </w:pPr>
            <w:r/>
            <w:r>
              <w:rPr>
                <w:sz w:val="17"/>
              </w:rPr>
              <w:t>Exclude top five families</w:t>
            </w:r>
          </w:p>
        </w:tc>
        <w:tc>
          <w:tcPr>
            <w:tcW w:type="dxa" w:w="2438"/>
            <w:tcMar>
              <w:top w:w="70" w:type="dxa"/>
              <w:start w:w="85" w:type="dxa"/>
              <w:bottom w:w="70" w:type="dxa"/>
              <w:end w:w="85" w:type="dxa"/>
            </w:tcMar>
            <w:vAlign w:val="center"/>
          </w:tcPr>
          <w:p>
            <w:pPr>
              <w:spacing w:before="0" w:after="0" w:line="240" w:lineRule="auto"/>
            </w:pPr>
            <w:r/>
            <w:r>
              <w:rPr>
                <w:sz w:val="17"/>
              </w:rPr>
              <w:t>—</w:t>
            </w:r>
          </w:p>
        </w:tc>
        <w:tc>
          <w:tcPr>
            <w:tcW w:type="dxa" w:w="2438"/>
            <w:tcMar>
              <w:top w:w="70" w:type="dxa"/>
              <w:start w:w="85" w:type="dxa"/>
              <w:bottom w:w="70" w:type="dxa"/>
              <w:end w:w="85" w:type="dxa"/>
            </w:tcMar>
            <w:vAlign w:val="center"/>
          </w:tcPr>
          <w:p>
            <w:pPr>
              <w:spacing w:before="0" w:after="0" w:line="240" w:lineRule="auto"/>
            </w:pPr>
            <w:r/>
            <w:r>
              <w:rPr>
                <w:b/>
                <w:sz w:val="17"/>
              </w:rPr>
              <w:t>−5.07 pp</w:t>
            </w:r>
          </w:p>
        </w:tc>
        <w:tc>
          <w:tcPr>
            <w:tcW w:type="dxa" w:w="2438"/>
            <w:tcMar>
              <w:top w:w="70" w:type="dxa"/>
              <w:start w:w="85" w:type="dxa"/>
              <w:bottom w:w="70" w:type="dxa"/>
              <w:end w:w="85" w:type="dxa"/>
            </w:tcMar>
            <w:vAlign w:val="center"/>
          </w:tcPr>
          <w:p>
            <w:pPr>
              <w:spacing w:before="0" w:after="0" w:line="240" w:lineRule="auto"/>
            </w:pPr>
            <w:r/>
            <w:r>
              <w:rPr>
                <w:sz w:val="17"/>
              </w:rPr>
              <w:t>Reverses</w:t>
            </w:r>
          </w:p>
        </w:tc>
      </w:tr>
      <w:tr>
        <w:tc>
          <w:tcPr>
            <w:tcW w:type="dxa" w:w="2438"/>
            <w:tcMar>
              <w:top w:w="70" w:type="dxa"/>
              <w:start w:w="85" w:type="dxa"/>
              <w:bottom w:w="70" w:type="dxa"/>
              <w:end w:w="85" w:type="dxa"/>
            </w:tcMar>
            <w:vAlign w:val="center"/>
          </w:tcPr>
          <w:p>
            <w:pPr>
              <w:spacing w:before="0" w:after="0" w:line="240" w:lineRule="auto"/>
            </w:pPr>
            <w:r/>
            <w:r>
              <w:rPr>
                <w:sz w:val="17"/>
              </w:rPr>
              <w:t>Delete largest holding spell</w:t>
            </w:r>
          </w:p>
        </w:tc>
        <w:tc>
          <w:tcPr>
            <w:tcW w:type="dxa" w:w="2438"/>
            <w:tcMar>
              <w:top w:w="70" w:type="dxa"/>
              <w:start w:w="85" w:type="dxa"/>
              <w:bottom w:w="70" w:type="dxa"/>
              <w:end w:w="85" w:type="dxa"/>
            </w:tcMar>
            <w:vAlign w:val="center"/>
          </w:tcPr>
          <w:p>
            <w:pPr>
              <w:spacing w:before="0" w:after="0" w:line="240" w:lineRule="auto"/>
            </w:pPr>
            <w:r/>
            <w:r>
              <w:rPr>
                <w:sz w:val="17"/>
              </w:rPr>
              <w:t>11.60%</w:t>
            </w:r>
          </w:p>
        </w:tc>
        <w:tc>
          <w:tcPr>
            <w:tcW w:type="dxa" w:w="2438"/>
            <w:tcMar>
              <w:top w:w="70" w:type="dxa"/>
              <w:start w:w="85" w:type="dxa"/>
              <w:bottom w:w="70" w:type="dxa"/>
              <w:end w:w="85" w:type="dxa"/>
            </w:tcMar>
            <w:vAlign w:val="center"/>
          </w:tcPr>
          <w:p>
            <w:pPr>
              <w:spacing w:before="0" w:after="0" w:line="240" w:lineRule="auto"/>
            </w:pPr>
            <w:r/>
            <w:r>
              <w:rPr>
                <w:b/>
                <w:sz w:val="17"/>
              </w:rPr>
              <w:t>−0.00 pp</w:t>
            </w:r>
          </w:p>
        </w:tc>
        <w:tc>
          <w:tcPr>
            <w:tcW w:type="dxa" w:w="2438"/>
            <w:tcMar>
              <w:top w:w="70" w:type="dxa"/>
              <w:start w:w="85" w:type="dxa"/>
              <w:bottom w:w="70" w:type="dxa"/>
              <w:end w:w="85" w:type="dxa"/>
            </w:tcMar>
            <w:vAlign w:val="center"/>
          </w:tcPr>
          <w:p>
            <w:pPr>
              <w:spacing w:before="0" w:after="0" w:line="240" w:lineRule="auto"/>
            </w:pPr>
            <w:r/>
            <w:r>
              <w:rPr>
                <w:sz w:val="17"/>
              </w:rPr>
              <w:t>Essentially removes active advantage</w:t>
            </w:r>
          </w:p>
        </w:tc>
      </w:tr>
      <w:tr>
        <w:tc>
          <w:tcPr>
            <w:tcW w:type="dxa" w:w="2438"/>
            <w:tcMar>
              <w:top w:w="70" w:type="dxa"/>
              <w:start w:w="85" w:type="dxa"/>
              <w:bottom w:w="70" w:type="dxa"/>
              <w:end w:w="85" w:type="dxa"/>
            </w:tcMar>
            <w:vAlign w:val="center"/>
          </w:tcPr>
          <w:p>
            <w:pPr>
              <w:spacing w:before="0" w:after="0" w:line="240" w:lineRule="auto"/>
            </w:pPr>
            <w:r/>
            <w:r>
              <w:rPr>
                <w:sz w:val="17"/>
              </w:rPr>
              <w:t>Delete three largest spells</w:t>
            </w:r>
          </w:p>
        </w:tc>
        <w:tc>
          <w:tcPr>
            <w:tcW w:type="dxa" w:w="2438"/>
            <w:tcMar>
              <w:top w:w="70" w:type="dxa"/>
              <w:start w:w="85" w:type="dxa"/>
              <w:bottom w:w="70" w:type="dxa"/>
              <w:end w:w="85" w:type="dxa"/>
            </w:tcMar>
            <w:vAlign w:val="center"/>
          </w:tcPr>
          <w:p>
            <w:pPr>
              <w:spacing w:before="0" w:after="0" w:line="240" w:lineRule="auto"/>
            </w:pPr>
            <w:r/>
            <w:r>
              <w:rPr>
                <w:sz w:val="17"/>
              </w:rPr>
              <w:t>9.47%</w:t>
            </w:r>
          </w:p>
        </w:tc>
        <w:tc>
          <w:tcPr>
            <w:tcW w:type="dxa" w:w="2438"/>
            <w:tcMar>
              <w:top w:w="70" w:type="dxa"/>
              <w:start w:w="85" w:type="dxa"/>
              <w:bottom w:w="70" w:type="dxa"/>
              <w:end w:w="85" w:type="dxa"/>
            </w:tcMar>
            <w:vAlign w:val="center"/>
          </w:tcPr>
          <w:p>
            <w:pPr>
              <w:spacing w:before="0" w:after="0" w:line="240" w:lineRule="auto"/>
            </w:pPr>
            <w:r/>
            <w:r>
              <w:rPr>
                <w:b/>
                <w:sz w:val="17"/>
              </w:rPr>
              <w:t>−2.13 pp</w:t>
            </w:r>
          </w:p>
        </w:tc>
        <w:tc>
          <w:tcPr>
            <w:tcW w:type="dxa" w:w="2438"/>
            <w:tcMar>
              <w:top w:w="70" w:type="dxa"/>
              <w:start w:w="85" w:type="dxa"/>
              <w:bottom w:w="70" w:type="dxa"/>
              <w:end w:w="85" w:type="dxa"/>
            </w:tcMar>
            <w:vAlign w:val="center"/>
          </w:tcPr>
          <w:p>
            <w:pPr>
              <w:spacing w:before="0" w:after="0" w:line="240" w:lineRule="auto"/>
            </w:pPr>
            <w:r/>
            <w:r>
              <w:rPr>
                <w:sz w:val="17"/>
              </w:rPr>
              <w:t>Reverses</w:t>
            </w:r>
          </w:p>
        </w:tc>
      </w:tr>
      <w:tr>
        <w:tc>
          <w:tcPr>
            <w:tcW w:type="dxa" w:w="2438"/>
            <w:tcMar>
              <w:top w:w="70" w:type="dxa"/>
              <w:start w:w="85" w:type="dxa"/>
              <w:bottom w:w="70" w:type="dxa"/>
              <w:end w:w="85" w:type="dxa"/>
            </w:tcMar>
            <w:vAlign w:val="center"/>
          </w:tcPr>
          <w:p>
            <w:pPr>
              <w:spacing w:before="0" w:after="0" w:line="240" w:lineRule="auto"/>
            </w:pPr>
            <w:r/>
            <w:r>
              <w:rPr>
                <w:sz w:val="17"/>
              </w:rPr>
              <w:t>Delete five largest spells</w:t>
            </w:r>
          </w:p>
        </w:tc>
        <w:tc>
          <w:tcPr>
            <w:tcW w:type="dxa" w:w="2438"/>
            <w:tcMar>
              <w:top w:w="70" w:type="dxa"/>
              <w:start w:w="85" w:type="dxa"/>
              <w:bottom w:w="70" w:type="dxa"/>
              <w:end w:w="85" w:type="dxa"/>
            </w:tcMar>
            <w:vAlign w:val="center"/>
          </w:tcPr>
          <w:p>
            <w:pPr>
              <w:spacing w:before="0" w:after="0" w:line="240" w:lineRule="auto"/>
            </w:pPr>
            <w:r/>
            <w:r>
              <w:rPr>
                <w:sz w:val="17"/>
              </w:rPr>
              <w:t>7.77%</w:t>
            </w:r>
          </w:p>
        </w:tc>
        <w:tc>
          <w:tcPr>
            <w:tcW w:type="dxa" w:w="2438"/>
            <w:tcMar>
              <w:top w:w="70" w:type="dxa"/>
              <w:start w:w="85" w:type="dxa"/>
              <w:bottom w:w="70" w:type="dxa"/>
              <w:end w:w="85" w:type="dxa"/>
            </w:tcMar>
            <w:vAlign w:val="center"/>
          </w:tcPr>
          <w:p>
            <w:pPr>
              <w:spacing w:before="0" w:after="0" w:line="240" w:lineRule="auto"/>
            </w:pPr>
            <w:r/>
            <w:r>
              <w:rPr>
                <w:b/>
                <w:sz w:val="17"/>
              </w:rPr>
              <w:t>−3.84 pp</w:t>
            </w:r>
          </w:p>
        </w:tc>
        <w:tc>
          <w:tcPr>
            <w:tcW w:type="dxa" w:w="2438"/>
            <w:tcMar>
              <w:top w:w="70" w:type="dxa"/>
              <w:start w:w="85" w:type="dxa"/>
              <w:bottom w:w="70" w:type="dxa"/>
              <w:end w:w="85" w:type="dxa"/>
            </w:tcMar>
            <w:vAlign w:val="center"/>
          </w:tcPr>
          <w:p>
            <w:pPr>
              <w:spacing w:before="0" w:after="0" w:line="240" w:lineRule="auto"/>
            </w:pPr>
            <w:r/>
            <w:r>
              <w:rPr>
                <w:sz w:val="17"/>
              </w:rPr>
              <w:t>Reverses strongly</w:t>
            </w:r>
          </w:p>
        </w:tc>
      </w:tr>
    </w:tbl>
    <w:p>
      <w:pPr>
        <w:pStyle w:val="SourceCitation"/>
      </w:pPr>
      <w:r>
        <w:rPr>
          <w:sz w:val="16"/>
        </w:rPr>
        <w:t xml:space="preserve">Sample: 2017-03-01–2026-08-21; monthly M2 TOP7 CASH0 equal weight; baseline costs; ex-post counterfactuals. Dashes indicate that the concise source record emphasises incremental result; complete values are in the supplement. Internal sources [INFL-01]–[INFL-07]: A4F family and holding-spell influence CSVs, commit </w:t>
      </w:r>
      <w:r>
        <w:rPr>
          <w:rFonts w:ascii="Consolas" w:hAnsi="Consolas"/>
          <w:color w:val="1F4D78"/>
          <w:sz w:val="16"/>
        </w:rPr>
        <w:t>6dba072</w:t>
      </w:r>
      <w:r>
        <w:rPr>
          <w:sz w:val="16"/>
        </w:rPr>
        <w:t>.</w:t>
      </w:r>
    </w:p>
    <w:p>
      <w:r>
        <w:t xml:space="preserve">The apparent tension is real. The leave-one-family-out minimum remains positive, showing that no single family alone is the entire strategy. Yet removing the leading group or just the largest spell reverses the incremental result. M2 is therefore best interpreted as a </w:t>
      </w:r>
      <w:r>
        <w:rPr>
          <w:b/>
        </w:rPr>
        <w:t>right-tail trend-capture process with historical ranking information and episodic portfolio-level alpha</w:t>
      </w:r>
      <w:r>
        <w:t>. Reliance on large trends is not automatically a defect: trend-following processes are designed to accept many ordinary or losing positions in exchange for participation in rare persistent moves. The scientific concern is estimation reliability. With only a few such moves, their frequency and future magnitude are weakly determined.</w:t>
      </w:r>
    </w:p>
    <w:p>
      <w:pPr>
        <w:pStyle w:val="Heading1"/>
      </w:pPr>
      <w:r>
        <w:t>23. Statistical uncertainty</w:t>
      </w:r>
    </w:p>
    <w:p>
      <w:r>
        <w:t>Signal-level HAC tests accounted for overlapping horizons and serial dependence, and the multiple-testing ledgers applied false-discovery adjustment. Neither the A3 broad search nor the A4D signal-inference family produced an adjusted q-value at or below 0.10. Economic point estimates were then assessed with a six-month circular block bootstrap on the latest five years: 59 monthly observations and 5,000 resampled paths.</w:t>
      </w:r>
    </w:p>
    <w:p>
      <w:pPr>
        <w:keepNext/>
        <w:spacing w:before="160" w:after="80"/>
      </w:pPr>
      <w:r>
        <w:rPr>
          <w:b/>
        </w:rPr>
        <w:t>Table 17. Statistical uncertainty</w:t>
      </w:r>
    </w:p>
    <w:tbl>
      <w:tblPr>
        <w:tblStyle w:val="TableGrid"/>
        <w:tblW w:type="auto" w:w="0"/>
        <w:jc w:val="center"/>
        <w:tblLayout w:type="autofit"/>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Comparator</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Estimand</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Observed</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95% interval</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Probability positive</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Design</w:t>
            </w:r>
          </w:p>
        </w:tc>
        <w:tc>
          <w:tcPr>
            <w:tcW w:type="dxa" w:w="1393"/>
            <w:tcMar>
              <w:top w:w="70" w:type="dxa"/>
              <w:start w:w="85" w:type="dxa"/>
              <w:bottom w:w="70" w:type="dxa"/>
              <w:end w:w="85" w:type="dxa"/>
            </w:tcMar>
            <w:vAlign w:val="center"/>
            <w:shd w:fill="F4F6F9"/>
          </w:tcPr>
          <w:p>
            <w:pPr>
              <w:spacing w:before="0" w:after="0" w:line="240" w:lineRule="auto"/>
            </w:pPr>
            <w:r>
              <w:rPr>
                <w:b/>
                <w:color w:val="1F4D78"/>
              </w:rPr>
            </w:r>
            <w:r>
              <w:rPr>
                <w:b/>
                <w:color w:val="1F4D78"/>
                <w:sz w:val="16"/>
              </w:rPr>
              <w:t>Conclusion</w:t>
            </w:r>
          </w:p>
        </w:tc>
      </w:tr>
      <w:tr>
        <w:tc>
          <w:tcPr>
            <w:tcW w:type="dxa" w:w="1393"/>
            <w:tcMar>
              <w:top w:w="70" w:type="dxa"/>
              <w:start w:w="85" w:type="dxa"/>
              <w:bottom w:w="70" w:type="dxa"/>
              <w:end w:w="85" w:type="dxa"/>
            </w:tcMar>
            <w:vAlign w:val="center"/>
          </w:tcPr>
          <w:p>
            <w:pPr>
              <w:spacing w:before="0" w:after="0" w:line="240" w:lineRule="auto"/>
            </w:pPr>
            <w:r/>
            <w:r>
              <w:rPr>
                <w:sz w:val="16"/>
              </w:rPr>
              <w:t>SWDA/global developed</w:t>
            </w:r>
          </w:p>
        </w:tc>
        <w:tc>
          <w:tcPr>
            <w:tcW w:type="dxa" w:w="1393"/>
            <w:tcMar>
              <w:top w:w="70" w:type="dxa"/>
              <w:start w:w="85" w:type="dxa"/>
              <w:bottom w:w="70" w:type="dxa"/>
              <w:end w:w="85" w:type="dxa"/>
            </w:tcMar>
            <w:vAlign w:val="center"/>
          </w:tcPr>
          <w:p>
            <w:pPr>
              <w:spacing w:before="0" w:after="0" w:line="240" w:lineRule="auto"/>
            </w:pPr>
            <w:r/>
            <w:r>
              <w:rPr>
                <w:sz w:val="16"/>
              </w:rPr>
              <w:t>Arithmetic annualised monthly M2-minus-benchmark return</w:t>
            </w:r>
          </w:p>
        </w:tc>
        <w:tc>
          <w:tcPr>
            <w:tcW w:type="dxa" w:w="1393"/>
            <w:tcMar>
              <w:top w:w="70" w:type="dxa"/>
              <w:start w:w="85" w:type="dxa"/>
              <w:bottom w:w="70" w:type="dxa"/>
              <w:end w:w="85" w:type="dxa"/>
            </w:tcMar>
            <w:vAlign w:val="center"/>
          </w:tcPr>
          <w:p>
            <w:pPr>
              <w:spacing w:before="0" w:after="0" w:line="240" w:lineRule="auto"/>
            </w:pPr>
            <w:r/>
            <w:r>
              <w:rPr>
                <w:sz w:val="16"/>
              </w:rPr>
              <w:t>1.88%</w:t>
            </w:r>
          </w:p>
        </w:tc>
        <w:tc>
          <w:tcPr>
            <w:tcW w:type="dxa" w:w="1393"/>
            <w:tcMar>
              <w:top w:w="70" w:type="dxa"/>
              <w:start w:w="85" w:type="dxa"/>
              <w:bottom w:w="70" w:type="dxa"/>
              <w:end w:w="85" w:type="dxa"/>
            </w:tcMar>
            <w:vAlign w:val="center"/>
          </w:tcPr>
          <w:p>
            <w:pPr>
              <w:spacing w:before="0" w:after="0" w:line="240" w:lineRule="auto"/>
            </w:pPr>
            <w:r/>
            <w:r>
              <w:rPr>
                <w:sz w:val="16"/>
              </w:rPr>
              <w:t>−9.04% to 16.20%</w:t>
            </w:r>
          </w:p>
        </w:tc>
        <w:tc>
          <w:tcPr>
            <w:tcW w:type="dxa" w:w="1393"/>
            <w:tcMar>
              <w:top w:w="70" w:type="dxa"/>
              <w:start w:w="85" w:type="dxa"/>
              <w:bottom w:w="70" w:type="dxa"/>
              <w:end w:w="85" w:type="dxa"/>
            </w:tcMar>
            <w:vAlign w:val="center"/>
          </w:tcPr>
          <w:p>
            <w:pPr>
              <w:spacing w:before="0" w:after="0" w:line="240" w:lineRule="auto"/>
            </w:pPr>
            <w:r/>
            <w:r>
              <w:rPr>
                <w:sz w:val="16"/>
              </w:rPr>
              <w:t>59.86%</w:t>
            </w:r>
          </w:p>
        </w:tc>
        <w:tc>
          <w:tcPr>
            <w:tcW w:type="dxa" w:w="1393"/>
            <w:tcMar>
              <w:top w:w="70" w:type="dxa"/>
              <w:start w:w="85" w:type="dxa"/>
              <w:bottom w:w="70" w:type="dxa"/>
              <w:end w:w="85" w:type="dxa"/>
            </w:tcMar>
            <w:vAlign w:val="center"/>
          </w:tcPr>
          <w:p>
            <w:pPr>
              <w:spacing w:before="0" w:after="0" w:line="240" w:lineRule="auto"/>
            </w:pPr>
            <w:r/>
            <w:r>
              <w:rPr>
                <w:sz w:val="16"/>
              </w:rPr>
              <w:t>59 months; circular 6-month blocks; 5,000 paths</w:t>
            </w:r>
          </w:p>
        </w:tc>
        <w:tc>
          <w:tcPr>
            <w:tcW w:type="dxa" w:w="1393"/>
            <w:tcMar>
              <w:top w:w="70" w:type="dxa"/>
              <w:start w:w="85" w:type="dxa"/>
              <w:bottom w:w="70" w:type="dxa"/>
              <w:end w:w="85" w:type="dxa"/>
            </w:tcMar>
            <w:vAlign w:val="center"/>
          </w:tcPr>
          <w:p>
            <w:pPr>
              <w:spacing w:before="0" w:after="0" w:line="240" w:lineRule="auto"/>
            </w:pPr>
            <w:r/>
            <w:r>
              <w:rPr>
                <w:sz w:val="16"/>
              </w:rPr>
              <w:t>Interval includes zero</w:t>
            </w:r>
          </w:p>
        </w:tc>
      </w:tr>
      <w:tr>
        <w:tc>
          <w:tcPr>
            <w:tcW w:type="dxa" w:w="1393"/>
            <w:tcMar>
              <w:top w:w="70" w:type="dxa"/>
              <w:start w:w="85" w:type="dxa"/>
              <w:bottom w:w="70" w:type="dxa"/>
              <w:end w:w="85" w:type="dxa"/>
            </w:tcMar>
            <w:vAlign w:val="center"/>
          </w:tcPr>
          <w:p>
            <w:pPr>
              <w:spacing w:before="0" w:after="0" w:line="240" w:lineRule="auto"/>
            </w:pPr>
            <w:r/>
            <w:r>
              <w:rPr>
                <w:sz w:val="16"/>
              </w:rPr>
              <w:t>Equal-weight pool</w:t>
            </w:r>
          </w:p>
        </w:tc>
        <w:tc>
          <w:tcPr>
            <w:tcW w:type="dxa" w:w="1393"/>
            <w:tcMar>
              <w:top w:w="70" w:type="dxa"/>
              <w:start w:w="85" w:type="dxa"/>
              <w:bottom w:w="70" w:type="dxa"/>
              <w:end w:w="85" w:type="dxa"/>
            </w:tcMar>
            <w:vAlign w:val="center"/>
          </w:tcPr>
          <w:p>
            <w:pPr>
              <w:spacing w:before="0" w:after="0" w:line="240" w:lineRule="auto"/>
            </w:pPr>
            <w:r/>
            <w:r>
              <w:rPr>
                <w:sz w:val="16"/>
              </w:rPr>
              <w:t>Same estimand</w:t>
            </w:r>
          </w:p>
        </w:tc>
        <w:tc>
          <w:tcPr>
            <w:tcW w:type="dxa" w:w="1393"/>
            <w:tcMar>
              <w:top w:w="70" w:type="dxa"/>
              <w:start w:w="85" w:type="dxa"/>
              <w:bottom w:w="70" w:type="dxa"/>
              <w:end w:w="85" w:type="dxa"/>
            </w:tcMar>
            <w:vAlign w:val="center"/>
          </w:tcPr>
          <w:p>
            <w:pPr>
              <w:spacing w:before="0" w:after="0" w:line="240" w:lineRule="auto"/>
            </w:pPr>
            <w:r/>
            <w:r>
              <w:rPr>
                <w:sz w:val="16"/>
              </w:rPr>
              <w:t>2.94%</w:t>
            </w:r>
          </w:p>
        </w:tc>
        <w:tc>
          <w:tcPr>
            <w:tcW w:type="dxa" w:w="1393"/>
            <w:tcMar>
              <w:top w:w="70" w:type="dxa"/>
              <w:start w:w="85" w:type="dxa"/>
              <w:bottom w:w="70" w:type="dxa"/>
              <w:end w:w="85" w:type="dxa"/>
            </w:tcMar>
            <w:vAlign w:val="center"/>
          </w:tcPr>
          <w:p>
            <w:pPr>
              <w:spacing w:before="0" w:after="0" w:line="240" w:lineRule="auto"/>
            </w:pPr>
            <w:r/>
            <w:r>
              <w:rPr>
                <w:sz w:val="16"/>
              </w:rPr>
              <w:t>−5.61% to 12.73%</w:t>
            </w:r>
          </w:p>
        </w:tc>
        <w:tc>
          <w:tcPr>
            <w:tcW w:type="dxa" w:w="1393"/>
            <w:tcMar>
              <w:top w:w="70" w:type="dxa"/>
              <w:start w:w="85" w:type="dxa"/>
              <w:bottom w:w="70" w:type="dxa"/>
              <w:end w:w="85" w:type="dxa"/>
            </w:tcMar>
            <w:vAlign w:val="center"/>
          </w:tcPr>
          <w:p>
            <w:pPr>
              <w:spacing w:before="0" w:after="0" w:line="240" w:lineRule="auto"/>
            </w:pPr>
            <w:r/>
            <w:r>
              <w:rPr>
                <w:sz w:val="16"/>
              </w:rPr>
              <w:t>73.80%</w:t>
            </w:r>
          </w:p>
        </w:tc>
        <w:tc>
          <w:tcPr>
            <w:tcW w:type="dxa" w:w="1393"/>
            <w:tcMar>
              <w:top w:w="70" w:type="dxa"/>
              <w:start w:w="85" w:type="dxa"/>
              <w:bottom w:w="70" w:type="dxa"/>
              <w:end w:w="85" w:type="dxa"/>
            </w:tcMar>
            <w:vAlign w:val="center"/>
          </w:tcPr>
          <w:p>
            <w:pPr>
              <w:spacing w:before="0" w:after="0" w:line="240" w:lineRule="auto"/>
            </w:pPr>
            <w:r/>
            <w:r>
              <w:rPr>
                <w:sz w:val="16"/>
              </w:rPr>
              <w:t>Same</w:t>
            </w:r>
          </w:p>
        </w:tc>
        <w:tc>
          <w:tcPr>
            <w:tcW w:type="dxa" w:w="1393"/>
            <w:tcMar>
              <w:top w:w="70" w:type="dxa"/>
              <w:start w:w="85" w:type="dxa"/>
              <w:bottom w:w="70" w:type="dxa"/>
              <w:end w:w="85" w:type="dxa"/>
            </w:tcMar>
            <w:vAlign w:val="center"/>
          </w:tcPr>
          <w:p>
            <w:pPr>
              <w:spacing w:before="0" w:after="0" w:line="240" w:lineRule="auto"/>
            </w:pPr>
            <w:r/>
            <w:r>
              <w:rPr>
                <w:sz w:val="16"/>
              </w:rPr>
              <w:t>Interval includes zero</w:t>
            </w:r>
          </w:p>
        </w:tc>
      </w:tr>
    </w:tbl>
    <w:p>
      <w:pPr>
        <w:pStyle w:val="SourceCitation"/>
      </w:pPr>
      <w:r>
        <w:rPr>
          <w:sz w:val="16"/>
        </w:rPr>
        <w:t xml:space="preserve">Sample: 2021-09-01–2026-08-21; baseline-cost monthly M2 TOP7 CASH0 equal weight. Internal sources [UNC-01], [UNC-02]: </w:t>
      </w:r>
      <w:r>
        <w:rPr>
          <w:rFonts w:ascii="Consolas" w:hAnsi="Consolas"/>
          <w:color w:val="1F4D78"/>
          <w:sz w:val="16"/>
        </w:rPr>
        <w:t>UKACTIVE_A4D_REPRESENTATIVE_BLOCK_BOOTSTRAP.csv</w:t>
      </w:r>
      <w:r>
        <w:rPr>
          <w:sz w:val="16"/>
        </w:rPr>
        <w:t xml:space="preserve">, A4D commit </w:t>
      </w:r>
      <w:r>
        <w:rPr>
          <w:rFonts w:ascii="Consolas" w:hAnsi="Consolas"/>
          <w:color w:val="1F4D78"/>
          <w:sz w:val="16"/>
        </w:rPr>
        <w:t>f411e0d</w:t>
      </w:r>
      <w:r>
        <w:rPr>
          <w:sz w:val="16"/>
        </w:rPr>
        <w:t>.</w:t>
      </w:r>
    </w:p>
    <w:p>
      <w:r>
        <w:t>No Superior Predictive Ability test was completed for the frozen model, so no SPA result is claimed. The White and Hansen literature motivated the research discipline; it is not a substitute for an unperformed test. The block bootstrap also cannot manufacture regimes absent from the data. Nine and a half executable years contain roughly 114 monthly decisions but far fewer independent multi-month market episodes. The 59-month bootstrap window contains still fewer.</w:t>
      </w:r>
    </w:p>
    <w:p>
      <w:r>
        <w:t>Intervals including zero do not prove the absence of an effect. They show that the completed sample and dependence-aware design cannot estimate its sign precisely at conventional confidence. Conversely, high randomisation percentiles do not make these intervals irrelevant. Randomisation says the realised ordering beat scrambled ordering; the bootstrap says the magnitude of recurring excess is uncertain. Both can be true when the realised advantage sits in a small right tail.</w:t>
      </w:r>
    </w:p>
    <w:p>
      <w:pPr>
        <w:pStyle w:val="Heading1"/>
      </w:pPr>
      <w:r>
        <w:t>24. Robustness and influence tests</w:t>
      </w:r>
    </w:p>
    <w:p>
      <w:r>
        <w:t xml:space="preserve">Robustness was assessed by time split, recent windows, year deletion, costs, family deletion, spell deletion and matched-risk controls. A result is labelled </w:t>
      </w:r>
      <w:r>
        <w:rPr>
          <w:b/>
        </w:rPr>
        <w:t>preserves</w:t>
      </w:r>
      <w:r>
        <w:t xml:space="preserve"> when the incremental estimate remains positive without a material change in interpretation, </w:t>
      </w:r>
      <w:r>
        <w:rPr>
          <w:b/>
        </w:rPr>
        <w:t>materially weakens</w:t>
      </w:r>
      <w:r>
        <w:t xml:space="preserve"> when it remains marginally positive or loses economic margin, and </w:t>
      </w:r>
      <w:r>
        <w:rPr>
          <w:b/>
        </w:rPr>
        <w:t>reverses</w:t>
      </w:r>
      <w:r>
        <w:t xml:space="preserve"> when it becomes non-positive. These are descriptive classifications, not formal hypothesis tests.</w:t>
      </w:r>
    </w:p>
    <w:p>
      <w:pPr>
        <w:keepNext/>
        <w:spacing w:before="160" w:after="80"/>
      </w:pPr>
      <w:r>
        <w:rPr>
          <w:b/>
        </w:rPr>
        <w:t>Table 18. Full-history robustness summary</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Test</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M2 net CAGR</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Incremental vs SWDA</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MDD</w:t>
            </w:r>
          </w:p>
        </w:tc>
        <w:tc>
          <w:tcPr>
            <w:tcW w:type="dxa" w:w="1950"/>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Assessment</w:t>
            </w:r>
          </w:p>
        </w:tc>
      </w:tr>
      <w:tr>
        <w:tc>
          <w:tcPr>
            <w:tcW w:type="dxa" w:w="1950"/>
            <w:tcMar>
              <w:top w:w="70" w:type="dxa"/>
              <w:start w:w="85" w:type="dxa"/>
              <w:bottom w:w="70" w:type="dxa"/>
              <w:end w:w="85" w:type="dxa"/>
            </w:tcMar>
            <w:vAlign w:val="center"/>
          </w:tcPr>
          <w:p>
            <w:pPr>
              <w:spacing w:before="0" w:after="0" w:line="240" w:lineRule="auto"/>
            </w:pPr>
            <w:r/>
            <w:r>
              <w:rPr>
                <w:sz w:val="17"/>
              </w:rPr>
              <w:t>Full common history</w:t>
            </w:r>
          </w:p>
        </w:tc>
        <w:tc>
          <w:tcPr>
            <w:tcW w:type="dxa" w:w="1950"/>
            <w:tcMar>
              <w:top w:w="70" w:type="dxa"/>
              <w:start w:w="85" w:type="dxa"/>
              <w:bottom w:w="70" w:type="dxa"/>
              <w:end w:w="85" w:type="dxa"/>
            </w:tcMar>
            <w:vAlign w:val="center"/>
          </w:tcPr>
          <w:p>
            <w:pPr>
              <w:spacing w:before="0" w:after="0" w:line="240" w:lineRule="auto"/>
            </w:pPr>
            <w:r/>
            <w:r>
              <w:rPr>
                <w:sz w:val="17"/>
              </w:rPr>
              <w:t>13.14%</w:t>
            </w:r>
          </w:p>
        </w:tc>
        <w:tc>
          <w:tcPr>
            <w:tcW w:type="dxa" w:w="1950"/>
            <w:tcMar>
              <w:top w:w="70" w:type="dxa"/>
              <w:start w:w="85" w:type="dxa"/>
              <w:bottom w:w="70" w:type="dxa"/>
              <w:end w:w="85" w:type="dxa"/>
            </w:tcMar>
            <w:vAlign w:val="center"/>
          </w:tcPr>
          <w:p>
            <w:pPr>
              <w:spacing w:before="0" w:after="0" w:line="240" w:lineRule="auto"/>
            </w:pPr>
            <w:r/>
            <w:r>
              <w:rPr>
                <w:sz w:val="17"/>
              </w:rPr>
              <w:t>1.54 pp</w:t>
            </w:r>
          </w:p>
        </w:tc>
        <w:tc>
          <w:tcPr>
            <w:tcW w:type="dxa" w:w="1950"/>
            <w:tcMar>
              <w:top w:w="70" w:type="dxa"/>
              <w:start w:w="85" w:type="dxa"/>
              <w:bottom w:w="70" w:type="dxa"/>
              <w:end w:w="85" w:type="dxa"/>
            </w:tcMar>
            <w:vAlign w:val="center"/>
          </w:tcPr>
          <w:p>
            <w:pPr>
              <w:spacing w:before="0" w:after="0" w:line="240" w:lineRule="auto"/>
            </w:pPr>
            <w:r/>
            <w:r>
              <w:rPr>
                <w:sz w:val="17"/>
              </w:rPr>
              <w:t>−23.53%</w:t>
            </w:r>
          </w:p>
        </w:tc>
        <w:tc>
          <w:tcPr>
            <w:tcW w:type="dxa" w:w="1950"/>
            <w:tcMar>
              <w:top w:w="70" w:type="dxa"/>
              <w:start w:w="85" w:type="dxa"/>
              <w:bottom w:w="70" w:type="dxa"/>
              <w:end w:w="85" w:type="dxa"/>
            </w:tcMar>
            <w:vAlign w:val="center"/>
          </w:tcPr>
          <w:p>
            <w:pPr>
              <w:spacing w:before="0" w:after="0" w:line="240" w:lineRule="auto"/>
            </w:pPr>
            <w:r/>
            <w:r>
              <w:rPr>
                <w:sz w:val="17"/>
              </w:rPr>
              <w:t>Preserves</w:t>
            </w:r>
          </w:p>
        </w:tc>
      </w:tr>
      <w:tr>
        <w:tc>
          <w:tcPr>
            <w:tcW w:type="dxa" w:w="1950"/>
            <w:tcMar>
              <w:top w:w="70" w:type="dxa"/>
              <w:start w:w="85" w:type="dxa"/>
              <w:bottom w:w="70" w:type="dxa"/>
              <w:end w:w="85" w:type="dxa"/>
            </w:tcMar>
            <w:vAlign w:val="center"/>
          </w:tcPr>
          <w:p>
            <w:pPr>
              <w:spacing w:before="0" w:after="0" w:line="240" w:lineRule="auto"/>
            </w:pPr>
            <w:r/>
            <w:r>
              <w:rPr>
                <w:sz w:val="17"/>
              </w:rPr>
              <w:t>Pre-2020</w:t>
            </w:r>
          </w:p>
        </w:tc>
        <w:tc>
          <w:tcPr>
            <w:tcW w:type="dxa" w:w="1950"/>
            <w:tcMar>
              <w:top w:w="70" w:type="dxa"/>
              <w:start w:w="85" w:type="dxa"/>
              <w:bottom w:w="70" w:type="dxa"/>
              <w:end w:w="85" w:type="dxa"/>
            </w:tcMar>
            <w:vAlign w:val="center"/>
          </w:tcPr>
          <w:p>
            <w:pPr>
              <w:spacing w:before="0" w:after="0" w:line="240" w:lineRule="auto"/>
            </w:pPr>
            <w:r/>
            <w:r>
              <w:rPr>
                <w:sz w:val="17"/>
              </w:rPr>
              <w:t>3.76%</w:t>
            </w:r>
          </w:p>
        </w:tc>
        <w:tc>
          <w:tcPr>
            <w:tcW w:type="dxa" w:w="1950"/>
            <w:tcMar>
              <w:top w:w="70" w:type="dxa"/>
              <w:start w:w="85" w:type="dxa"/>
              <w:bottom w:w="70" w:type="dxa"/>
              <w:end w:w="85" w:type="dxa"/>
            </w:tcMar>
            <w:vAlign w:val="center"/>
          </w:tcPr>
          <w:p>
            <w:pPr>
              <w:spacing w:before="0" w:after="0" w:line="240" w:lineRule="auto"/>
            </w:pPr>
            <w:r/>
            <w:r>
              <w:rPr>
                <w:b/>
                <w:sz w:val="17"/>
              </w:rPr>
              <w:t>−4.32 pp</w:t>
            </w:r>
          </w:p>
        </w:tc>
        <w:tc>
          <w:tcPr>
            <w:tcW w:type="dxa" w:w="1950"/>
            <w:tcMar>
              <w:top w:w="70" w:type="dxa"/>
              <w:start w:w="85" w:type="dxa"/>
              <w:bottom w:w="70" w:type="dxa"/>
              <w:end w:w="85" w:type="dxa"/>
            </w:tcMar>
            <w:vAlign w:val="center"/>
          </w:tcPr>
          <w:p>
            <w:pPr>
              <w:spacing w:before="0" w:after="0" w:line="240" w:lineRule="auto"/>
            </w:pPr>
            <w:r/>
            <w:r>
              <w:rPr>
                <w:sz w:val="17"/>
              </w:rPr>
              <w:t>−13.91%</w:t>
            </w:r>
          </w:p>
        </w:tc>
        <w:tc>
          <w:tcPr>
            <w:tcW w:type="dxa" w:w="1950"/>
            <w:tcMar>
              <w:top w:w="70" w:type="dxa"/>
              <w:start w:w="85" w:type="dxa"/>
              <w:bottom w:w="70" w:type="dxa"/>
              <w:end w:w="85" w:type="dxa"/>
            </w:tcMar>
            <w:vAlign w:val="center"/>
          </w:tcPr>
          <w:p>
            <w:pPr>
              <w:spacing w:before="0" w:after="0" w:line="240" w:lineRule="auto"/>
            </w:pPr>
            <w:r/>
            <w:r>
              <w:rPr>
                <w:sz w:val="17"/>
              </w:rPr>
              <w:t>Reverses</w:t>
            </w:r>
          </w:p>
        </w:tc>
      </w:tr>
      <w:tr>
        <w:tc>
          <w:tcPr>
            <w:tcW w:type="dxa" w:w="1950"/>
            <w:tcMar>
              <w:top w:w="70" w:type="dxa"/>
              <w:start w:w="85" w:type="dxa"/>
              <w:bottom w:w="70" w:type="dxa"/>
              <w:end w:w="85" w:type="dxa"/>
            </w:tcMar>
            <w:vAlign w:val="center"/>
          </w:tcPr>
          <w:p>
            <w:pPr>
              <w:spacing w:before="0" w:after="0" w:line="240" w:lineRule="auto"/>
            </w:pPr>
            <w:r/>
            <w:r>
              <w:rPr>
                <w:sz w:val="17"/>
              </w:rPr>
              <w:t>Post-2020</w:t>
            </w:r>
          </w:p>
        </w:tc>
        <w:tc>
          <w:tcPr>
            <w:tcW w:type="dxa" w:w="1950"/>
            <w:tcMar>
              <w:top w:w="70" w:type="dxa"/>
              <w:start w:w="85" w:type="dxa"/>
              <w:bottom w:w="70" w:type="dxa"/>
              <w:end w:w="85" w:type="dxa"/>
            </w:tcMar>
            <w:vAlign w:val="center"/>
          </w:tcPr>
          <w:p>
            <w:pPr>
              <w:spacing w:before="0" w:after="0" w:line="240" w:lineRule="auto"/>
            </w:pPr>
            <w:r/>
            <w:r>
              <w:rPr>
                <w:sz w:val="17"/>
              </w:rPr>
              <w:t>17.25%</w:t>
            </w:r>
          </w:p>
        </w:tc>
        <w:tc>
          <w:tcPr>
            <w:tcW w:type="dxa" w:w="1950"/>
            <w:tcMar>
              <w:top w:w="70" w:type="dxa"/>
              <w:start w:w="85" w:type="dxa"/>
              <w:bottom w:w="70" w:type="dxa"/>
              <w:end w:w="85" w:type="dxa"/>
            </w:tcMar>
            <w:vAlign w:val="center"/>
          </w:tcPr>
          <w:p>
            <w:pPr>
              <w:spacing w:before="0" w:after="0" w:line="240" w:lineRule="auto"/>
            </w:pPr>
            <w:r/>
            <w:r>
              <w:rPr>
                <w:sz w:val="17"/>
              </w:rPr>
              <w:t>4.29 pp</w:t>
            </w:r>
          </w:p>
        </w:tc>
        <w:tc>
          <w:tcPr>
            <w:tcW w:type="dxa" w:w="1950"/>
            <w:tcMar>
              <w:top w:w="70" w:type="dxa"/>
              <w:start w:w="85" w:type="dxa"/>
              <w:bottom w:w="70" w:type="dxa"/>
              <w:end w:w="85" w:type="dxa"/>
            </w:tcMar>
            <w:vAlign w:val="center"/>
          </w:tcPr>
          <w:p>
            <w:pPr>
              <w:spacing w:before="0" w:after="0" w:line="240" w:lineRule="auto"/>
            </w:pPr>
            <w:r/>
            <w:r>
              <w:rPr>
                <w:sz w:val="17"/>
              </w:rPr>
              <w:t>−23.53%</w:t>
            </w:r>
          </w:p>
        </w:tc>
        <w:tc>
          <w:tcPr>
            <w:tcW w:type="dxa" w:w="1950"/>
            <w:tcMar>
              <w:top w:w="70" w:type="dxa"/>
              <w:start w:w="85" w:type="dxa"/>
              <w:bottom w:w="70" w:type="dxa"/>
              <w:end w:w="85" w:type="dxa"/>
            </w:tcMar>
            <w:vAlign w:val="center"/>
          </w:tcPr>
          <w:p>
            <w:pPr>
              <w:spacing w:before="0" w:after="0" w:line="240" w:lineRule="auto"/>
            </w:pPr>
            <w:r/>
            <w:r>
              <w:rPr>
                <w:sz w:val="17"/>
              </w:rPr>
              <w:t>Preserves</w:t>
            </w:r>
          </w:p>
        </w:tc>
      </w:tr>
      <w:tr>
        <w:tc>
          <w:tcPr>
            <w:tcW w:type="dxa" w:w="1950"/>
            <w:tcMar>
              <w:top w:w="70" w:type="dxa"/>
              <w:start w:w="85" w:type="dxa"/>
              <w:bottom w:w="70" w:type="dxa"/>
              <w:end w:w="85" w:type="dxa"/>
            </w:tcMar>
            <w:vAlign w:val="center"/>
          </w:tcPr>
          <w:p>
            <w:pPr>
              <w:spacing w:before="0" w:after="0" w:line="240" w:lineRule="auto"/>
            </w:pPr>
            <w:r/>
            <w:r>
              <w:rPr>
                <w:sz w:val="17"/>
              </w:rPr>
              <w:t>Latest five years</w:t>
            </w:r>
          </w:p>
        </w:tc>
        <w:tc>
          <w:tcPr>
            <w:tcW w:type="dxa" w:w="1950"/>
            <w:tcMar>
              <w:top w:w="70" w:type="dxa"/>
              <w:start w:w="85" w:type="dxa"/>
              <w:bottom w:w="70" w:type="dxa"/>
              <w:end w:w="85" w:type="dxa"/>
            </w:tcMar>
            <w:vAlign w:val="center"/>
          </w:tcPr>
          <w:p>
            <w:pPr>
              <w:spacing w:before="0" w:after="0" w:line="240" w:lineRule="auto"/>
            </w:pPr>
            <w:r/>
            <w:r>
              <w:rPr>
                <w:sz w:val="17"/>
              </w:rPr>
              <w:t>13.62%</w:t>
            </w:r>
          </w:p>
        </w:tc>
        <w:tc>
          <w:tcPr>
            <w:tcW w:type="dxa" w:w="1950"/>
            <w:tcMar>
              <w:top w:w="70" w:type="dxa"/>
              <w:start w:w="85" w:type="dxa"/>
              <w:bottom w:w="70" w:type="dxa"/>
              <w:end w:w="85" w:type="dxa"/>
            </w:tcMar>
            <w:vAlign w:val="center"/>
          </w:tcPr>
          <w:p>
            <w:pPr>
              <w:spacing w:before="0" w:after="0" w:line="240" w:lineRule="auto"/>
            </w:pPr>
            <w:r/>
            <w:r>
              <w:rPr>
                <w:sz w:val="17"/>
              </w:rPr>
              <w:t>2.10 pp</w:t>
            </w:r>
          </w:p>
        </w:tc>
        <w:tc>
          <w:tcPr>
            <w:tcW w:type="dxa" w:w="1950"/>
            <w:tcMar>
              <w:top w:w="70" w:type="dxa"/>
              <w:start w:w="85" w:type="dxa"/>
              <w:bottom w:w="70" w:type="dxa"/>
              <w:end w:w="85" w:type="dxa"/>
            </w:tcMar>
            <w:vAlign w:val="center"/>
          </w:tcPr>
          <w:p>
            <w:pPr>
              <w:spacing w:before="0" w:after="0" w:line="240" w:lineRule="auto"/>
            </w:pPr>
            <w:r/>
            <w:r>
              <w:rPr>
                <w:sz w:val="17"/>
              </w:rPr>
              <w:t>−22.34%</w:t>
            </w:r>
          </w:p>
        </w:tc>
        <w:tc>
          <w:tcPr>
            <w:tcW w:type="dxa" w:w="1950"/>
            <w:tcMar>
              <w:top w:w="70" w:type="dxa"/>
              <w:start w:w="85" w:type="dxa"/>
              <w:bottom w:w="70" w:type="dxa"/>
              <w:end w:w="85" w:type="dxa"/>
            </w:tcMar>
            <w:vAlign w:val="center"/>
          </w:tcPr>
          <w:p>
            <w:pPr>
              <w:spacing w:before="0" w:after="0" w:line="240" w:lineRule="auto"/>
            </w:pPr>
            <w:r/>
            <w:r>
              <w:rPr>
                <w:sz w:val="17"/>
              </w:rPr>
              <w:t>Preserves</w:t>
            </w:r>
          </w:p>
        </w:tc>
      </w:tr>
      <w:tr>
        <w:tc>
          <w:tcPr>
            <w:tcW w:type="dxa" w:w="1950"/>
            <w:tcMar>
              <w:top w:w="70" w:type="dxa"/>
              <w:start w:w="85" w:type="dxa"/>
              <w:bottom w:w="70" w:type="dxa"/>
              <w:end w:w="85" w:type="dxa"/>
            </w:tcMar>
            <w:vAlign w:val="center"/>
          </w:tcPr>
          <w:p>
            <w:pPr>
              <w:spacing w:before="0" w:after="0" w:line="240" w:lineRule="auto"/>
            </w:pPr>
            <w:r/>
            <w:r>
              <w:rPr>
                <w:sz w:val="17"/>
              </w:rPr>
              <w:t>Latest three years</w:t>
            </w:r>
          </w:p>
        </w:tc>
        <w:tc>
          <w:tcPr>
            <w:tcW w:type="dxa" w:w="1950"/>
            <w:tcMar>
              <w:top w:w="70" w:type="dxa"/>
              <w:start w:w="85" w:type="dxa"/>
              <w:bottom w:w="70" w:type="dxa"/>
              <w:end w:w="85" w:type="dxa"/>
            </w:tcMar>
            <w:vAlign w:val="center"/>
          </w:tcPr>
          <w:p>
            <w:pPr>
              <w:spacing w:before="0" w:after="0" w:line="240" w:lineRule="auto"/>
            </w:pPr>
            <w:r/>
            <w:r>
              <w:rPr>
                <w:sz w:val="17"/>
              </w:rPr>
              <w:t>29.51%</w:t>
            </w:r>
          </w:p>
        </w:tc>
        <w:tc>
          <w:tcPr>
            <w:tcW w:type="dxa" w:w="1950"/>
            <w:tcMar>
              <w:top w:w="70" w:type="dxa"/>
              <w:start w:w="85" w:type="dxa"/>
              <w:bottom w:w="70" w:type="dxa"/>
              <w:end w:w="85" w:type="dxa"/>
            </w:tcMar>
            <w:vAlign w:val="center"/>
          </w:tcPr>
          <w:p>
            <w:pPr>
              <w:spacing w:before="0" w:after="0" w:line="240" w:lineRule="auto"/>
            </w:pPr>
            <w:r/>
            <w:r>
              <w:rPr>
                <w:sz w:val="17"/>
              </w:rPr>
              <w:t>10.83 pp</w:t>
            </w:r>
          </w:p>
        </w:tc>
        <w:tc>
          <w:tcPr>
            <w:tcW w:type="dxa" w:w="1950"/>
            <w:tcMar>
              <w:top w:w="70" w:type="dxa"/>
              <w:start w:w="85" w:type="dxa"/>
              <w:bottom w:w="70" w:type="dxa"/>
              <w:end w:w="85" w:type="dxa"/>
            </w:tcMar>
            <w:vAlign w:val="center"/>
          </w:tcPr>
          <w:p>
            <w:pPr>
              <w:spacing w:before="0" w:after="0" w:line="240" w:lineRule="auto"/>
            </w:pPr>
            <w:r/>
            <w:r>
              <w:rPr>
                <w:sz w:val="17"/>
              </w:rPr>
              <w:t>−16.72%</w:t>
            </w:r>
          </w:p>
        </w:tc>
        <w:tc>
          <w:tcPr>
            <w:tcW w:type="dxa" w:w="1950"/>
            <w:tcMar>
              <w:top w:w="70" w:type="dxa"/>
              <w:start w:w="85" w:type="dxa"/>
              <w:bottom w:w="70" w:type="dxa"/>
              <w:end w:w="85" w:type="dxa"/>
            </w:tcMar>
            <w:vAlign w:val="center"/>
          </w:tcPr>
          <w:p>
            <w:pPr>
              <w:spacing w:before="0" w:after="0" w:line="240" w:lineRule="auto"/>
            </w:pPr>
            <w:r/>
            <w:r>
              <w:rPr>
                <w:sz w:val="17"/>
              </w:rPr>
              <w:t>Preserves, very period-specific</w:t>
            </w:r>
          </w:p>
        </w:tc>
      </w:tr>
      <w:tr>
        <w:tc>
          <w:tcPr>
            <w:tcW w:type="dxa" w:w="1950"/>
            <w:tcMar>
              <w:top w:w="70" w:type="dxa"/>
              <w:start w:w="85" w:type="dxa"/>
              <w:bottom w:w="70" w:type="dxa"/>
              <w:end w:w="85" w:type="dxa"/>
            </w:tcMar>
            <w:vAlign w:val="center"/>
          </w:tcPr>
          <w:p>
            <w:pPr>
              <w:spacing w:before="0" w:after="0" w:line="240" w:lineRule="auto"/>
            </w:pPr>
            <w:r/>
            <w:r>
              <w:rPr>
                <w:sz w:val="17"/>
              </w:rPr>
              <w:t>Exclude 2025</w:t>
            </w:r>
          </w:p>
        </w:tc>
        <w:tc>
          <w:tcPr>
            <w:tcW w:type="dxa" w:w="1950"/>
            <w:tcMar>
              <w:top w:w="70" w:type="dxa"/>
              <w:start w:w="85" w:type="dxa"/>
              <w:bottom w:w="70" w:type="dxa"/>
              <w:end w:w="85" w:type="dxa"/>
            </w:tcMar>
            <w:vAlign w:val="center"/>
          </w:tcPr>
          <w:p>
            <w:pPr>
              <w:spacing w:before="0" w:after="0" w:line="240" w:lineRule="auto"/>
            </w:pPr>
            <w:r/>
            <w:r>
              <w:rPr>
                <w:sz w:val="17"/>
              </w:rPr>
              <w:t>10.42%</w:t>
            </w:r>
          </w:p>
        </w:tc>
        <w:tc>
          <w:tcPr>
            <w:tcW w:type="dxa" w:w="1950"/>
            <w:tcMar>
              <w:top w:w="70" w:type="dxa"/>
              <w:start w:w="85" w:type="dxa"/>
              <w:bottom w:w="70" w:type="dxa"/>
              <w:end w:w="85" w:type="dxa"/>
            </w:tcMar>
            <w:vAlign w:val="center"/>
          </w:tcPr>
          <w:p>
            <w:pPr>
              <w:spacing w:before="0" w:after="0" w:line="240" w:lineRule="auto"/>
            </w:pPr>
            <w:r/>
            <w:r>
              <w:rPr>
                <w:b/>
                <w:sz w:val="17"/>
              </w:rPr>
              <w:t>−1.03 pp</w:t>
            </w:r>
          </w:p>
        </w:tc>
        <w:tc>
          <w:tcPr>
            <w:tcW w:type="dxa" w:w="1950"/>
            <w:tcMar>
              <w:top w:w="70" w:type="dxa"/>
              <w:start w:w="85" w:type="dxa"/>
              <w:bottom w:w="70" w:type="dxa"/>
              <w:end w:w="85" w:type="dxa"/>
            </w:tcMar>
            <w:vAlign w:val="center"/>
          </w:tcPr>
          <w:p>
            <w:pPr>
              <w:spacing w:before="0" w:after="0" w:line="240" w:lineRule="auto"/>
            </w:pPr>
            <w:r/>
            <w:r>
              <w:rPr>
                <w:sz w:val="17"/>
              </w:rPr>
              <w:t>−23.53%</w:t>
            </w:r>
          </w:p>
        </w:tc>
        <w:tc>
          <w:tcPr>
            <w:tcW w:type="dxa" w:w="1950"/>
            <w:tcMar>
              <w:top w:w="70" w:type="dxa"/>
              <w:start w:w="85" w:type="dxa"/>
              <w:bottom w:w="70" w:type="dxa"/>
              <w:end w:w="85" w:type="dxa"/>
            </w:tcMar>
            <w:vAlign w:val="center"/>
          </w:tcPr>
          <w:p>
            <w:pPr>
              <w:spacing w:before="0" w:after="0" w:line="240" w:lineRule="auto"/>
            </w:pPr>
            <w:r/>
            <w:r>
              <w:rPr>
                <w:sz w:val="17"/>
              </w:rPr>
              <w:t>Reverses</w:t>
            </w:r>
          </w:p>
        </w:tc>
      </w:tr>
      <w:tr>
        <w:tc>
          <w:tcPr>
            <w:tcW w:type="dxa" w:w="1950"/>
            <w:tcMar>
              <w:top w:w="70" w:type="dxa"/>
              <w:start w:w="85" w:type="dxa"/>
              <w:bottom w:w="70" w:type="dxa"/>
              <w:end w:w="85" w:type="dxa"/>
            </w:tcMar>
            <w:vAlign w:val="center"/>
          </w:tcPr>
          <w:p>
            <w:pPr>
              <w:spacing w:before="0" w:after="0" w:line="240" w:lineRule="auto"/>
            </w:pPr>
            <w:r/>
            <w:r>
              <w:rPr>
                <w:sz w:val="17"/>
              </w:rPr>
              <w:t>Exclude 2020</w:t>
            </w:r>
          </w:p>
        </w:tc>
        <w:tc>
          <w:tcPr>
            <w:tcW w:type="dxa" w:w="1950"/>
            <w:tcMar>
              <w:top w:w="70" w:type="dxa"/>
              <w:start w:w="85" w:type="dxa"/>
              <w:bottom w:w="70" w:type="dxa"/>
              <w:end w:w="85" w:type="dxa"/>
            </w:tcMar>
            <w:vAlign w:val="center"/>
          </w:tcPr>
          <w:p>
            <w:pPr>
              <w:spacing w:before="0" w:after="0" w:line="240" w:lineRule="auto"/>
            </w:pPr>
            <w:r/>
            <w:r>
              <w:rPr>
                <w:sz w:val="17"/>
              </w:rPr>
              <w:t>12.11%</w:t>
            </w:r>
          </w:p>
        </w:tc>
        <w:tc>
          <w:tcPr>
            <w:tcW w:type="dxa" w:w="1950"/>
            <w:tcMar>
              <w:top w:w="70" w:type="dxa"/>
              <w:start w:w="85" w:type="dxa"/>
              <w:bottom w:w="70" w:type="dxa"/>
              <w:end w:w="85" w:type="dxa"/>
            </w:tcMar>
            <w:vAlign w:val="center"/>
          </w:tcPr>
          <w:p>
            <w:pPr>
              <w:spacing w:before="0" w:after="0" w:line="240" w:lineRule="auto"/>
            </w:pPr>
            <w:r/>
            <w:r>
              <w:rPr>
                <w:sz w:val="17"/>
              </w:rPr>
              <w:t>0.61 pp</w:t>
            </w:r>
          </w:p>
        </w:tc>
        <w:tc>
          <w:tcPr>
            <w:tcW w:type="dxa" w:w="1950"/>
            <w:tcMar>
              <w:top w:w="70" w:type="dxa"/>
              <w:start w:w="85" w:type="dxa"/>
              <w:bottom w:w="70" w:type="dxa"/>
              <w:end w:w="85" w:type="dxa"/>
            </w:tcMar>
            <w:vAlign w:val="center"/>
          </w:tcPr>
          <w:p>
            <w:pPr>
              <w:spacing w:before="0" w:after="0" w:line="240" w:lineRule="auto"/>
            </w:pPr>
            <w:r/>
            <w:r>
              <w:rPr>
                <w:sz w:val="17"/>
              </w:rPr>
              <w:t>−22.34%</w:t>
            </w:r>
          </w:p>
        </w:tc>
        <w:tc>
          <w:tcPr>
            <w:tcW w:type="dxa" w:w="1950"/>
            <w:tcMar>
              <w:top w:w="70" w:type="dxa"/>
              <w:start w:w="85" w:type="dxa"/>
              <w:bottom w:w="70" w:type="dxa"/>
              <w:end w:w="85" w:type="dxa"/>
            </w:tcMar>
            <w:vAlign w:val="center"/>
          </w:tcPr>
          <w:p>
            <w:pPr>
              <w:spacing w:before="0" w:after="0" w:line="240" w:lineRule="auto"/>
            </w:pPr>
            <w:r/>
            <w:r>
              <w:rPr>
                <w:sz w:val="17"/>
              </w:rPr>
              <w:t>Preserves narrowly</w:t>
            </w:r>
          </w:p>
        </w:tc>
      </w:tr>
      <w:tr>
        <w:tc>
          <w:tcPr>
            <w:tcW w:type="dxa" w:w="1950"/>
            <w:tcMar>
              <w:top w:w="70" w:type="dxa"/>
              <w:start w:w="85" w:type="dxa"/>
              <w:bottom w:w="70" w:type="dxa"/>
              <w:end w:w="85" w:type="dxa"/>
            </w:tcMar>
            <w:vAlign w:val="center"/>
          </w:tcPr>
          <w:p>
            <w:pPr>
              <w:spacing w:before="0" w:after="0" w:line="240" w:lineRule="auto"/>
            </w:pPr>
            <w:r/>
            <w:r>
              <w:rPr>
                <w:sz w:val="17"/>
              </w:rPr>
              <w:t>Exclude 2020 and 2025</w:t>
            </w:r>
          </w:p>
        </w:tc>
        <w:tc>
          <w:tcPr>
            <w:tcW w:type="dxa" w:w="1950"/>
            <w:tcMar>
              <w:top w:w="70" w:type="dxa"/>
              <w:start w:w="85" w:type="dxa"/>
              <w:bottom w:w="70" w:type="dxa"/>
              <w:end w:w="85" w:type="dxa"/>
            </w:tcMar>
            <w:vAlign w:val="center"/>
          </w:tcPr>
          <w:p>
            <w:pPr>
              <w:spacing w:before="0" w:after="0" w:line="240" w:lineRule="auto"/>
            </w:pPr>
            <w:r/>
            <w:r>
              <w:rPr>
                <w:sz w:val="17"/>
              </w:rPr>
              <w:t>7.58%</w:t>
            </w:r>
          </w:p>
        </w:tc>
        <w:tc>
          <w:tcPr>
            <w:tcW w:type="dxa" w:w="1950"/>
            <w:tcMar>
              <w:top w:w="70" w:type="dxa"/>
              <w:start w:w="85" w:type="dxa"/>
              <w:bottom w:w="70" w:type="dxa"/>
              <w:end w:w="85" w:type="dxa"/>
            </w:tcMar>
            <w:vAlign w:val="center"/>
          </w:tcPr>
          <w:p>
            <w:pPr>
              <w:spacing w:before="0" w:after="0" w:line="240" w:lineRule="auto"/>
            </w:pPr>
            <w:r/>
            <w:r>
              <w:rPr>
                <w:b/>
                <w:sz w:val="17"/>
              </w:rPr>
              <w:t>−3.78 pp</w:t>
            </w:r>
          </w:p>
        </w:tc>
        <w:tc>
          <w:tcPr>
            <w:tcW w:type="dxa" w:w="1950"/>
            <w:tcMar>
              <w:top w:w="70" w:type="dxa"/>
              <w:start w:w="85" w:type="dxa"/>
              <w:bottom w:w="70" w:type="dxa"/>
              <w:end w:w="85" w:type="dxa"/>
            </w:tcMar>
            <w:vAlign w:val="center"/>
          </w:tcPr>
          <w:p>
            <w:pPr>
              <w:spacing w:before="0" w:after="0" w:line="240" w:lineRule="auto"/>
            </w:pPr>
            <w:r/>
            <w:r>
              <w:rPr>
                <w:sz w:val="17"/>
              </w:rPr>
              <w:t>−22.34%</w:t>
            </w:r>
          </w:p>
        </w:tc>
        <w:tc>
          <w:tcPr>
            <w:tcW w:type="dxa" w:w="1950"/>
            <w:tcMar>
              <w:top w:w="70" w:type="dxa"/>
              <w:start w:w="85" w:type="dxa"/>
              <w:bottom w:w="70" w:type="dxa"/>
              <w:end w:w="85" w:type="dxa"/>
            </w:tcMar>
            <w:vAlign w:val="center"/>
          </w:tcPr>
          <w:p>
            <w:pPr>
              <w:spacing w:before="0" w:after="0" w:line="240" w:lineRule="auto"/>
            </w:pPr>
            <w:r/>
            <w:r>
              <w:rPr>
                <w:sz w:val="17"/>
              </w:rPr>
              <w:t>Reverses</w:t>
            </w:r>
          </w:p>
        </w:tc>
      </w:tr>
      <w:tr>
        <w:tc>
          <w:tcPr>
            <w:tcW w:type="dxa" w:w="1950"/>
            <w:tcMar>
              <w:top w:w="70" w:type="dxa"/>
              <w:start w:w="85" w:type="dxa"/>
              <w:bottom w:w="70" w:type="dxa"/>
              <w:end w:w="85" w:type="dxa"/>
            </w:tcMar>
            <w:vAlign w:val="center"/>
          </w:tcPr>
          <w:p>
            <w:pPr>
              <w:spacing w:before="0" w:after="0" w:line="240" w:lineRule="auto"/>
            </w:pPr>
            <w:r/>
            <w:r>
              <w:rPr>
                <w:sz w:val="17"/>
              </w:rPr>
              <w:t>Doubled costs</w:t>
            </w:r>
          </w:p>
        </w:tc>
        <w:tc>
          <w:tcPr>
            <w:tcW w:type="dxa" w:w="1950"/>
            <w:tcMar>
              <w:top w:w="70" w:type="dxa"/>
              <w:start w:w="85" w:type="dxa"/>
              <w:bottom w:w="70" w:type="dxa"/>
              <w:end w:w="85" w:type="dxa"/>
            </w:tcMar>
            <w:vAlign w:val="center"/>
          </w:tcPr>
          <w:p>
            <w:pPr>
              <w:spacing w:before="0" w:after="0" w:line="240" w:lineRule="auto"/>
            </w:pPr>
            <w:r/>
            <w:r>
              <w:rPr>
                <w:sz w:val="17"/>
              </w:rPr>
              <w:t>11.80%</w:t>
            </w:r>
          </w:p>
        </w:tc>
        <w:tc>
          <w:tcPr>
            <w:tcW w:type="dxa" w:w="1950"/>
            <w:tcMar>
              <w:top w:w="70" w:type="dxa"/>
              <w:start w:w="85" w:type="dxa"/>
              <w:bottom w:w="70" w:type="dxa"/>
              <w:end w:w="85" w:type="dxa"/>
            </w:tcMar>
            <w:vAlign w:val="center"/>
          </w:tcPr>
          <w:p>
            <w:pPr>
              <w:spacing w:before="0" w:after="0" w:line="240" w:lineRule="auto"/>
            </w:pPr>
            <w:r/>
            <w:r>
              <w:rPr>
                <w:b/>
                <w:sz w:val="17"/>
              </w:rPr>
              <w:t>0.20 pp</w:t>
            </w:r>
          </w:p>
        </w:tc>
        <w:tc>
          <w:tcPr>
            <w:tcW w:type="dxa" w:w="1950"/>
            <w:tcMar>
              <w:top w:w="70" w:type="dxa"/>
              <w:start w:w="85" w:type="dxa"/>
              <w:bottom w:w="70" w:type="dxa"/>
              <w:end w:w="85" w:type="dxa"/>
            </w:tcMar>
            <w:vAlign w:val="center"/>
          </w:tcPr>
          <w:p>
            <w:pPr>
              <w:spacing w:before="0" w:after="0" w:line="240" w:lineRule="auto"/>
            </w:pPr>
            <w:r/>
            <w:r>
              <w:rPr>
                <w:sz w:val="17"/>
              </w:rPr>
              <w:t>−23.73%</w:t>
            </w:r>
          </w:p>
        </w:tc>
        <w:tc>
          <w:tcPr>
            <w:tcW w:type="dxa" w:w="1950"/>
            <w:tcMar>
              <w:top w:w="70" w:type="dxa"/>
              <w:start w:w="85" w:type="dxa"/>
              <w:bottom w:w="70" w:type="dxa"/>
              <w:end w:w="85" w:type="dxa"/>
            </w:tcMar>
            <w:vAlign w:val="center"/>
          </w:tcPr>
          <w:p>
            <w:pPr>
              <w:spacing w:before="0" w:after="0" w:line="240" w:lineRule="auto"/>
            </w:pPr>
            <w:r/>
            <w:r>
              <w:rPr>
                <w:sz w:val="17"/>
              </w:rPr>
              <w:t>Materially weakens</w:t>
            </w:r>
          </w:p>
        </w:tc>
      </w:tr>
      <w:tr>
        <w:tc>
          <w:tcPr>
            <w:tcW w:type="dxa" w:w="1950"/>
            <w:tcMar>
              <w:top w:w="70" w:type="dxa"/>
              <w:start w:w="85" w:type="dxa"/>
              <w:bottom w:w="70" w:type="dxa"/>
              <w:end w:w="85" w:type="dxa"/>
            </w:tcMar>
            <w:vAlign w:val="center"/>
          </w:tcPr>
          <w:p>
            <w:pPr>
              <w:spacing w:before="0" w:after="0" w:line="240" w:lineRule="auto"/>
            </w:pPr>
            <w:r/>
            <w:r>
              <w:rPr>
                <w:sz w:val="17"/>
              </w:rPr>
              <w:t>Minimum leave-one-family-out</w:t>
            </w:r>
          </w:p>
        </w:tc>
        <w:tc>
          <w:tcPr>
            <w:tcW w:type="dxa" w:w="1950"/>
            <w:tcMar>
              <w:top w:w="70" w:type="dxa"/>
              <w:start w:w="85" w:type="dxa"/>
              <w:bottom w:w="70" w:type="dxa"/>
              <w:end w:w="85" w:type="dxa"/>
            </w:tcMar>
            <w:vAlign w:val="center"/>
          </w:tcPr>
          <w:p>
            <w:pPr>
              <w:spacing w:before="0" w:after="0" w:line="240" w:lineRule="auto"/>
            </w:pPr>
            <w:r/>
            <w:r>
              <w:rPr>
                <w:sz w:val="17"/>
              </w:rPr>
              <w:t>—</w:t>
            </w:r>
          </w:p>
        </w:tc>
        <w:tc>
          <w:tcPr>
            <w:tcW w:type="dxa" w:w="1950"/>
            <w:tcMar>
              <w:top w:w="70" w:type="dxa"/>
              <w:start w:w="85" w:type="dxa"/>
              <w:bottom w:w="70" w:type="dxa"/>
              <w:end w:w="85" w:type="dxa"/>
            </w:tcMar>
            <w:vAlign w:val="center"/>
          </w:tcPr>
          <w:p>
            <w:pPr>
              <w:spacing w:before="0" w:after="0" w:line="240" w:lineRule="auto"/>
            </w:pPr>
            <w:r/>
            <w:r>
              <w:rPr>
                <w:sz w:val="17"/>
              </w:rPr>
              <w:t>0.09 pp</w:t>
            </w:r>
          </w:p>
        </w:tc>
        <w:tc>
          <w:tcPr>
            <w:tcW w:type="dxa" w:w="1950"/>
            <w:tcMar>
              <w:top w:w="70" w:type="dxa"/>
              <w:start w:w="85" w:type="dxa"/>
              <w:bottom w:w="70" w:type="dxa"/>
              <w:end w:w="85" w:type="dxa"/>
            </w:tcMar>
            <w:vAlign w:val="center"/>
          </w:tcPr>
          <w:p>
            <w:pPr>
              <w:spacing w:before="0" w:after="0" w:line="240" w:lineRule="auto"/>
            </w:pPr>
            <w:r/>
            <w:r>
              <w:rPr>
                <w:sz w:val="17"/>
              </w:rPr>
              <w:t>—</w:t>
            </w:r>
          </w:p>
        </w:tc>
        <w:tc>
          <w:tcPr>
            <w:tcW w:type="dxa" w:w="1950"/>
            <w:tcMar>
              <w:top w:w="70" w:type="dxa"/>
              <w:start w:w="85" w:type="dxa"/>
              <w:bottom w:w="70" w:type="dxa"/>
              <w:end w:w="85" w:type="dxa"/>
            </w:tcMar>
            <w:vAlign w:val="center"/>
          </w:tcPr>
          <w:p>
            <w:pPr>
              <w:spacing w:before="0" w:after="0" w:line="240" w:lineRule="auto"/>
            </w:pPr>
            <w:r/>
            <w:r>
              <w:rPr>
                <w:sz w:val="17"/>
              </w:rPr>
              <w:t>Materially weakens, does not reverse</w:t>
            </w:r>
          </w:p>
        </w:tc>
      </w:tr>
      <w:tr>
        <w:tc>
          <w:tcPr>
            <w:tcW w:type="dxa" w:w="1950"/>
            <w:tcMar>
              <w:top w:w="70" w:type="dxa"/>
              <w:start w:w="85" w:type="dxa"/>
              <w:bottom w:w="70" w:type="dxa"/>
              <w:end w:w="85" w:type="dxa"/>
            </w:tcMar>
            <w:vAlign w:val="center"/>
          </w:tcPr>
          <w:p>
            <w:pPr>
              <w:spacing w:before="0" w:after="0" w:line="240" w:lineRule="auto"/>
            </w:pPr>
            <w:r/>
            <w:r>
              <w:rPr>
                <w:sz w:val="17"/>
              </w:rPr>
              <w:t>Exclude top three families</w:t>
            </w:r>
          </w:p>
        </w:tc>
        <w:tc>
          <w:tcPr>
            <w:tcW w:type="dxa" w:w="1950"/>
            <w:tcMar>
              <w:top w:w="70" w:type="dxa"/>
              <w:start w:w="85" w:type="dxa"/>
              <w:bottom w:w="70" w:type="dxa"/>
              <w:end w:w="85" w:type="dxa"/>
            </w:tcMar>
            <w:vAlign w:val="center"/>
          </w:tcPr>
          <w:p>
            <w:pPr>
              <w:spacing w:before="0" w:after="0" w:line="240" w:lineRule="auto"/>
            </w:pPr>
            <w:r/>
            <w:r>
              <w:rPr>
                <w:sz w:val="17"/>
              </w:rPr>
              <w:t>—</w:t>
            </w:r>
          </w:p>
        </w:tc>
        <w:tc>
          <w:tcPr>
            <w:tcW w:type="dxa" w:w="1950"/>
            <w:tcMar>
              <w:top w:w="70" w:type="dxa"/>
              <w:start w:w="85" w:type="dxa"/>
              <w:bottom w:w="70" w:type="dxa"/>
              <w:end w:w="85" w:type="dxa"/>
            </w:tcMar>
            <w:vAlign w:val="center"/>
          </w:tcPr>
          <w:p>
            <w:pPr>
              <w:spacing w:before="0" w:after="0" w:line="240" w:lineRule="auto"/>
            </w:pPr>
            <w:r/>
            <w:r>
              <w:rPr>
                <w:sz w:val="17"/>
              </w:rPr>
              <w:t>−4.37 pp</w:t>
            </w:r>
          </w:p>
        </w:tc>
        <w:tc>
          <w:tcPr>
            <w:tcW w:type="dxa" w:w="1950"/>
            <w:tcMar>
              <w:top w:w="70" w:type="dxa"/>
              <w:start w:w="85" w:type="dxa"/>
              <w:bottom w:w="70" w:type="dxa"/>
              <w:end w:w="85" w:type="dxa"/>
            </w:tcMar>
            <w:vAlign w:val="center"/>
          </w:tcPr>
          <w:p>
            <w:pPr>
              <w:spacing w:before="0" w:after="0" w:line="240" w:lineRule="auto"/>
            </w:pPr>
            <w:r/>
            <w:r>
              <w:rPr>
                <w:sz w:val="17"/>
              </w:rPr>
              <w:t>—</w:t>
            </w:r>
          </w:p>
        </w:tc>
        <w:tc>
          <w:tcPr>
            <w:tcW w:type="dxa" w:w="1950"/>
            <w:tcMar>
              <w:top w:w="70" w:type="dxa"/>
              <w:start w:w="85" w:type="dxa"/>
              <w:bottom w:w="70" w:type="dxa"/>
              <w:end w:w="85" w:type="dxa"/>
            </w:tcMar>
            <w:vAlign w:val="center"/>
          </w:tcPr>
          <w:p>
            <w:pPr>
              <w:spacing w:before="0" w:after="0" w:line="240" w:lineRule="auto"/>
            </w:pPr>
            <w:r/>
            <w:r>
              <w:rPr>
                <w:sz w:val="17"/>
              </w:rPr>
              <w:t>Reverses</w:t>
            </w:r>
          </w:p>
        </w:tc>
      </w:tr>
      <w:tr>
        <w:tc>
          <w:tcPr>
            <w:tcW w:type="dxa" w:w="1950"/>
            <w:tcMar>
              <w:top w:w="70" w:type="dxa"/>
              <w:start w:w="85" w:type="dxa"/>
              <w:bottom w:w="70" w:type="dxa"/>
              <w:end w:w="85" w:type="dxa"/>
            </w:tcMar>
            <w:vAlign w:val="center"/>
          </w:tcPr>
          <w:p>
            <w:pPr>
              <w:spacing w:before="0" w:after="0" w:line="240" w:lineRule="auto"/>
            </w:pPr>
            <w:r/>
            <w:r>
              <w:rPr>
                <w:sz w:val="17"/>
              </w:rPr>
              <w:t>Delete top three spells</w:t>
            </w:r>
          </w:p>
        </w:tc>
        <w:tc>
          <w:tcPr>
            <w:tcW w:type="dxa" w:w="1950"/>
            <w:tcMar>
              <w:top w:w="70" w:type="dxa"/>
              <w:start w:w="85" w:type="dxa"/>
              <w:bottom w:w="70" w:type="dxa"/>
              <w:end w:w="85" w:type="dxa"/>
            </w:tcMar>
            <w:vAlign w:val="center"/>
          </w:tcPr>
          <w:p>
            <w:pPr>
              <w:spacing w:before="0" w:after="0" w:line="240" w:lineRule="auto"/>
            </w:pPr>
            <w:r/>
            <w:r>
              <w:rPr>
                <w:sz w:val="17"/>
              </w:rPr>
              <w:t>9.47%</w:t>
            </w:r>
          </w:p>
        </w:tc>
        <w:tc>
          <w:tcPr>
            <w:tcW w:type="dxa" w:w="1950"/>
            <w:tcMar>
              <w:top w:w="70" w:type="dxa"/>
              <w:start w:w="85" w:type="dxa"/>
              <w:bottom w:w="70" w:type="dxa"/>
              <w:end w:w="85" w:type="dxa"/>
            </w:tcMar>
            <w:vAlign w:val="center"/>
          </w:tcPr>
          <w:p>
            <w:pPr>
              <w:spacing w:before="0" w:after="0" w:line="240" w:lineRule="auto"/>
            </w:pPr>
            <w:r/>
            <w:r>
              <w:rPr>
                <w:sz w:val="17"/>
              </w:rPr>
              <w:t>−2.13 pp</w:t>
            </w:r>
          </w:p>
        </w:tc>
        <w:tc>
          <w:tcPr>
            <w:tcW w:type="dxa" w:w="1950"/>
            <w:tcMar>
              <w:top w:w="70" w:type="dxa"/>
              <w:start w:w="85" w:type="dxa"/>
              <w:bottom w:w="70" w:type="dxa"/>
              <w:end w:w="85" w:type="dxa"/>
            </w:tcMar>
            <w:vAlign w:val="center"/>
          </w:tcPr>
          <w:p>
            <w:pPr>
              <w:spacing w:before="0" w:after="0" w:line="240" w:lineRule="auto"/>
            </w:pPr>
            <w:r/>
            <w:r>
              <w:rPr>
                <w:sz w:val="17"/>
              </w:rPr>
              <w:t>—</w:t>
            </w:r>
          </w:p>
        </w:tc>
        <w:tc>
          <w:tcPr>
            <w:tcW w:type="dxa" w:w="1950"/>
            <w:tcMar>
              <w:top w:w="70" w:type="dxa"/>
              <w:start w:w="85" w:type="dxa"/>
              <w:bottom w:w="70" w:type="dxa"/>
              <w:end w:w="85" w:type="dxa"/>
            </w:tcMar>
            <w:vAlign w:val="center"/>
          </w:tcPr>
          <w:p>
            <w:pPr>
              <w:spacing w:before="0" w:after="0" w:line="240" w:lineRule="auto"/>
            </w:pPr>
            <w:r/>
            <w:r>
              <w:rPr>
                <w:sz w:val="17"/>
              </w:rPr>
              <w:t>Reverses</w:t>
            </w:r>
          </w:p>
        </w:tc>
      </w:tr>
    </w:tbl>
    <w:p>
      <w:r>
        <w:rPr>
          <w:i/>
        </w:rPr>
        <w:t>Common and split samples end 2026-08-21; year exclusions are non-contiguous diagnostics; baseline costs except doubled-cost row. Internal sources [ROB-01]–[ROB-10] and [INFL-01]–[INFL-07]: A4D economic scorecard and A4F exclusion/influence results at commits `f411e0d` and `6dba072`.</w:t>
      </w:r>
    </w:p>
    <w:p>
      <w:r>
        <w:t>The disproportionate role of 2020 and 2025 is not an artefact of a single year-label choice: the calendar table, rolling excess, family contributions and spell deletions all point to episodic leadership. Excluding 2025 alone reverses M2's SWDA difference. Excluding 2020 alone leaves only 0.61 pp. Excluding both produces a −3.78 pp difference. Pre-2020 evidence is adverse. Post-2020, latest-five-year and latest-three-year evidence is favourable but increasingly dominated by the same right tail.</w:t>
      </w:r>
    </w:p>
    <w:p>
      <w:r>
        <w:t>Doubled one-way friction reduces full M2 CAGR from 13.14% to 11.80%, leaving only about 0.20 pp above SWDA and 0.27 pp above the equal pool under the corresponding canonical comparisons. Cost sensitivity therefore affects confidence and sizing, even though baseline monthly economics remained positive. Matched-risk and matched-exposure controls further show that some apparent defensive benefits can be replicated by static lower exposure.</w:t>
      </w:r>
    </w:p>
    <w:p>
      <w:pPr>
        <w:pStyle w:val="Heading1"/>
      </w:pPr>
      <w:r>
        <w:t>25. Why the strategy was selected and frozen</w:t>
      </w:r>
    </w:p>
    <w:p>
      <w:r>
        <w:t>The selection decision must be read as a constrained synthesis of favourable and adverse evidence. M2 was frozen because it was the most defensible completed specification, not because every test supported it.</w:t>
      </w:r>
    </w:p>
    <w:p>
      <w:r>
        <w:t>First, M2 captured stronger historical ranking information than the equal-horizon M1 control: it passed the predeclared diagnostic gate at two top-quintile horizons, improved full and recent portfolio economics, and reduced turnover. M3 passed the same diagnostic count but its deterioration penalty reduced return without improving drawdown. Second, the TOP6–TOP9 frontier was coherent enough to support a moderately diversified basket. TOP7 represented that region without choosing TOP6's full-history or TOP8's recent maximum.</w:t>
      </w:r>
    </w:p>
    <w:p>
      <w:r>
        <w:t>Third, monthly implementation survived costs better than daily and weekly alternatives. It gave up gross responsiveness in exchange for materially fewer legs, lower drag and positive doubled-cost pool excess. Fourth, equal weighting avoided turning noisy rank differences into large capital differences. Rank-decay and fixed top-heavy schemes had lower return, deeper drawdown and higher turnover.</w:t>
      </w:r>
    </w:p>
    <w:p>
      <w:r>
        <w:t>Fifth, the ranking materially beat matched-count random selection and monthly rank shuffling. Sixth, no single family exclusion reversed the full result, and rank-bucket attribution showed that returns did not come only from rank one. Seventh, the model participated in several distinct major trends—battery/EV, semiconductors, silver miners, gold miners, oil and gas, and European banks—rather than one asset alone.</w:t>
      </w:r>
    </w:p>
    <w:p>
      <w:r>
        <w:t>The adverse half of the decision is equally central. Signal inference did not survive broad false-discovery adjustment. The portfolio advantage disappeared before 2020, after deleting 2025, after deleting the largest spell, and after removing small groups of leading families or spells. Baseline costs consumed 1.34 pp of standalone CAGR, and doubled costs nearly erased the SWDA margin. M2 had a worse Ulcer Index, higher volatility and a longer underwater period than SWDA. No untouched holdout or independent E3 confirmation exists.</w:t>
      </w:r>
    </w:p>
    <w:p>
      <w:r>
        <w:t>No cash, exit or regime overlay improved full-history economics enough to be admitted. CASH1's favourable recent drawdown failed on the complete history and against static matched exposure. Dynamic regimes reduced some drawdowns but damaged compounding or Ulcer. Adding more signal rules after observing these failures would increase data-snooping exposure. The rational research action was therefore to stop.</w:t>
      </w:r>
    </w:p>
    <w:p>
      <w:r>
        <w:t>M2 was not allocated at 50% or 100% live because those weights would make retirement outcomes depend heavily on an episodic and weakly estimated right tail. The 50/50 blend is a research comparator; its full CAGR was 12.40%, but it still had a −23.62% MDD, 5.89% Ulcer and 763-day underwater period. The 10% sleeve permits participation in rare leadership without making the whole SIPP an M2 portfolio. Its small expected effect is a feature of risk budgeting, not evidence that the strategy is unimportant.</w:t>
      </w:r>
    </w:p>
    <w:p>
      <w:pPr>
        <w:pStyle w:val="Heading1"/>
      </w:pPr>
      <w:r>
        <w:t>26. Exact frozen strategy</w:t>
      </w:r>
    </w:p>
    <w:p>
      <w:pPr>
        <w:keepNext/>
        <w:spacing w:before="160" w:after="80"/>
      </w:pPr>
      <w:r>
        <w:rPr>
          <w:b/>
        </w:rPr>
        <w:t>Table 19. Definitive frozen-strategy specification</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Field</w:t>
            </w:r>
          </w:p>
        </w:tc>
        <w:tc>
          <w:tcPr>
            <w:tcW w:type="dxa" w:w="4876"/>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Frozen value</w:t>
            </w:r>
          </w:p>
        </w:tc>
      </w:tr>
      <w:tr>
        <w:tc>
          <w:tcPr>
            <w:tcW w:type="dxa" w:w="4876"/>
            <w:tcMar>
              <w:top w:w="70" w:type="dxa"/>
              <w:start w:w="85" w:type="dxa"/>
              <w:bottom w:w="70" w:type="dxa"/>
              <w:end w:w="85" w:type="dxa"/>
            </w:tcMar>
            <w:vAlign w:val="center"/>
          </w:tcPr>
          <w:p>
            <w:pPr>
              <w:spacing w:before="0" w:after="0" w:line="240" w:lineRule="auto"/>
            </w:pPr>
            <w:r/>
            <w:r>
              <w:rPr>
                <w:sz w:val="17"/>
              </w:rPr>
              <w:t>Strategy ID</w:t>
            </w:r>
          </w:p>
        </w:tc>
        <w:tc>
          <w:tcPr>
            <w:tcW w:type="dxa" w:w="4876"/>
            <w:tcMar>
              <w:top w:w="70" w:type="dxa"/>
              <w:start w:w="85" w:type="dxa"/>
              <w:bottom w:w="70" w:type="dxa"/>
              <w:end w:w="85" w:type="dxa"/>
            </w:tcMar>
            <w:vAlign w:val="center"/>
          </w:tcPr>
          <w:p>
            <w:pPr>
              <w:spacing w:before="0" w:after="0" w:line="240" w:lineRule="auto"/>
            </w:pPr>
            <w:r/>
            <w:r>
              <w:rPr>
                <w:rFonts w:ascii="Consolas" w:hAnsi="Consolas"/>
                <w:color w:val="1F4D78"/>
                <w:sz w:val="17"/>
              </w:rPr>
              <w:t>INDUSTRY_PLUS_THEME | M2_BASE | TOP7 | MONTHLY | CASH0_ALWAYS_INVESTED | EQUAL</w:t>
            </w:r>
          </w:p>
        </w:tc>
      </w:tr>
      <w:tr>
        <w:tc>
          <w:tcPr>
            <w:tcW w:type="dxa" w:w="4876"/>
            <w:tcMar>
              <w:top w:w="70" w:type="dxa"/>
              <w:start w:w="85" w:type="dxa"/>
              <w:bottom w:w="70" w:type="dxa"/>
              <w:end w:w="85" w:type="dxa"/>
            </w:tcMar>
            <w:vAlign w:val="center"/>
          </w:tcPr>
          <w:p>
            <w:pPr>
              <w:spacing w:before="0" w:after="0" w:line="240" w:lineRule="auto"/>
            </w:pPr>
            <w:r/>
            <w:r>
              <w:rPr>
                <w:sz w:val="17"/>
              </w:rPr>
              <w:t>Research unit</w:t>
            </w:r>
          </w:p>
        </w:tc>
        <w:tc>
          <w:tcPr>
            <w:tcW w:type="dxa" w:w="4876"/>
            <w:tcMar>
              <w:top w:w="70" w:type="dxa"/>
              <w:start w:w="85" w:type="dxa"/>
              <w:bottom w:w="70" w:type="dxa"/>
              <w:end w:w="85" w:type="dxa"/>
            </w:tcMar>
            <w:vAlign w:val="center"/>
          </w:tcPr>
          <w:p>
            <w:pPr>
              <w:spacing w:before="0" w:after="0" w:line="240" w:lineRule="auto"/>
            </w:pPr>
            <w:r/>
            <w:r>
              <w:rPr>
                <w:sz w:val="17"/>
              </w:rPr>
              <w:t>Economic-exposure family, not ticker</w:t>
            </w:r>
          </w:p>
        </w:tc>
      </w:tr>
      <w:tr>
        <w:tc>
          <w:tcPr>
            <w:tcW w:type="dxa" w:w="4876"/>
            <w:tcMar>
              <w:top w:w="70" w:type="dxa"/>
              <w:start w:w="85" w:type="dxa"/>
              <w:bottom w:w="70" w:type="dxa"/>
              <w:end w:w="85" w:type="dxa"/>
            </w:tcMar>
            <w:vAlign w:val="center"/>
          </w:tcPr>
          <w:p>
            <w:pPr>
              <w:spacing w:before="0" w:after="0" w:line="240" w:lineRule="auto"/>
            </w:pPr>
            <w:r/>
            <w:r>
              <w:rPr>
                <w:sz w:val="17"/>
              </w:rPr>
              <w:t>Structural universe</w:t>
            </w:r>
          </w:p>
        </w:tc>
        <w:tc>
          <w:tcPr>
            <w:tcW w:type="dxa" w:w="4876"/>
            <w:tcMar>
              <w:top w:w="70" w:type="dxa"/>
              <w:start w:w="85" w:type="dxa"/>
              <w:bottom w:w="70" w:type="dxa"/>
              <w:end w:w="85" w:type="dxa"/>
            </w:tcMar>
            <w:vAlign w:val="center"/>
          </w:tcPr>
          <w:p>
            <w:pPr>
              <w:spacing w:before="0" w:after="0" w:line="240" w:lineRule="auto"/>
            </w:pPr>
            <w:r/>
            <w:r>
              <w:rPr>
                <w:sz w:val="17"/>
              </w:rPr>
              <w:t>27 frozen industry/theme families</w:t>
            </w:r>
          </w:p>
        </w:tc>
      </w:tr>
      <w:tr>
        <w:tc>
          <w:tcPr>
            <w:tcW w:type="dxa" w:w="4876"/>
            <w:tcMar>
              <w:top w:w="70" w:type="dxa"/>
              <w:start w:w="85" w:type="dxa"/>
              <w:bottom w:w="70" w:type="dxa"/>
              <w:end w:w="85" w:type="dxa"/>
            </w:tcMar>
            <w:vAlign w:val="center"/>
          </w:tcPr>
          <w:p>
            <w:pPr>
              <w:spacing w:before="0" w:after="0" w:line="240" w:lineRule="auto"/>
            </w:pPr>
            <w:r/>
            <w:r>
              <w:rPr>
                <w:sz w:val="17"/>
              </w:rPr>
              <w:t>Eligibility</w:t>
            </w:r>
          </w:p>
        </w:tc>
        <w:tc>
          <w:tcPr>
            <w:tcW w:type="dxa" w:w="4876"/>
            <w:tcMar>
              <w:top w:w="70" w:type="dxa"/>
              <w:start w:w="85" w:type="dxa"/>
              <w:bottom w:w="70" w:type="dxa"/>
              <w:end w:w="85" w:type="dxa"/>
            </w:tcMar>
            <w:vAlign w:val="center"/>
          </w:tcPr>
          <w:p>
            <w:pPr>
              <w:spacing w:before="0" w:after="0" w:line="240" w:lineRule="auto"/>
            </w:pPr>
            <w:r/>
            <w:r>
              <w:rPr>
                <w:sz w:val="17"/>
              </w:rPr>
              <w:t>Complete causal 21/42/63/126/252-session inputs; at least three eligible families</w:t>
            </w:r>
          </w:p>
        </w:tc>
      </w:tr>
      <w:tr>
        <w:tc>
          <w:tcPr>
            <w:tcW w:type="dxa" w:w="4876"/>
            <w:tcMar>
              <w:top w:w="70" w:type="dxa"/>
              <w:start w:w="85" w:type="dxa"/>
              <w:bottom w:w="70" w:type="dxa"/>
              <w:end w:w="85" w:type="dxa"/>
            </w:tcMar>
            <w:vAlign w:val="center"/>
          </w:tcPr>
          <w:p>
            <w:pPr>
              <w:spacing w:before="0" w:after="0" w:line="240" w:lineRule="auto"/>
            </w:pPr>
            <w:r/>
            <w:r>
              <w:rPr>
                <w:sz w:val="17"/>
              </w:rPr>
              <w:t>Benchmark</w:t>
            </w:r>
          </w:p>
        </w:tc>
        <w:tc>
          <w:tcPr>
            <w:tcW w:type="dxa" w:w="4876"/>
            <w:tcMar>
              <w:top w:w="70" w:type="dxa"/>
              <w:start w:w="85" w:type="dxa"/>
              <w:bottom w:w="70" w:type="dxa"/>
              <w:end w:w="85" w:type="dxa"/>
            </w:tcMar>
            <w:vAlign w:val="center"/>
          </w:tcPr>
          <w:p>
            <w:pPr>
              <w:spacing w:before="0" w:after="0" w:line="240" w:lineRule="auto"/>
            </w:pPr>
            <w:r/>
            <w:r>
              <w:rPr>
                <w:rFonts w:ascii="Consolas" w:hAnsi="Consolas"/>
                <w:color w:val="1F4D78"/>
                <w:sz w:val="17"/>
              </w:rPr>
              <w:t>GLOBAL_DEVELOPED_WORLD</w:t>
            </w:r>
            <w:r>
              <w:rPr>
                <w:sz w:val="17"/>
              </w:rPr>
              <w:t>; SWDA in current implementation</w:t>
            </w:r>
          </w:p>
        </w:tc>
      </w:tr>
      <w:tr>
        <w:tc>
          <w:tcPr>
            <w:tcW w:type="dxa" w:w="4876"/>
            <w:tcMar>
              <w:top w:w="70" w:type="dxa"/>
              <w:start w:w="85" w:type="dxa"/>
              <w:bottom w:w="70" w:type="dxa"/>
              <w:end w:w="85" w:type="dxa"/>
            </w:tcMar>
            <w:vAlign w:val="center"/>
          </w:tcPr>
          <w:p>
            <w:pPr>
              <w:spacing w:before="0" w:after="0" w:line="240" w:lineRule="auto"/>
            </w:pPr>
            <w:r/>
            <w:r>
              <w:rPr>
                <w:sz w:val="17"/>
              </w:rPr>
              <w:t>Relative return</w:t>
            </w:r>
          </w:p>
        </w:tc>
        <w:tc>
          <w:tcPr>
            <w:tcW w:type="dxa" w:w="4876"/>
            <w:tcMar>
              <w:top w:w="70" w:type="dxa"/>
              <w:start w:w="85" w:type="dxa"/>
              <w:bottom w:w="70" w:type="dxa"/>
              <w:end w:w="85" w:type="dxa"/>
            </w:tcMar>
            <w:vAlign w:val="center"/>
          </w:tcPr>
          <w:p>
            <w:pPr>
              <w:spacing w:before="0" w:after="0" w:line="240" w:lineRule="auto"/>
            </w:pPr>
            <w:r/>
            <w:r>
              <w:rPr>
                <w:rFonts w:ascii="Consolas" w:hAnsi="Consolas"/>
                <w:color w:val="1F4D78"/>
                <w:sz w:val="17"/>
              </w:rPr>
              <w:t>(1 + family cumulative total return) / (1 + benchmark cumulative total return) − 1</w:t>
            </w:r>
          </w:p>
        </w:tc>
      </w:tr>
      <w:tr>
        <w:tc>
          <w:tcPr>
            <w:tcW w:type="dxa" w:w="4876"/>
            <w:tcMar>
              <w:top w:w="70" w:type="dxa"/>
              <w:start w:w="85" w:type="dxa"/>
              <w:bottom w:w="70" w:type="dxa"/>
              <w:end w:w="85" w:type="dxa"/>
            </w:tcMar>
            <w:vAlign w:val="center"/>
          </w:tcPr>
          <w:p>
            <w:pPr>
              <w:spacing w:before="0" w:after="0" w:line="240" w:lineRule="auto"/>
            </w:pPr>
            <w:r/>
            <w:r>
              <w:rPr>
                <w:sz w:val="17"/>
              </w:rPr>
              <w:t>Rank method</w:t>
            </w:r>
          </w:p>
        </w:tc>
        <w:tc>
          <w:tcPr>
            <w:tcW w:type="dxa" w:w="4876"/>
            <w:tcMar>
              <w:top w:w="70" w:type="dxa"/>
              <w:start w:w="85" w:type="dxa"/>
              <w:bottom w:w="70" w:type="dxa"/>
              <w:end w:w="85" w:type="dxa"/>
            </w:tcMar>
            <w:vAlign w:val="center"/>
          </w:tcPr>
          <w:p>
            <w:pPr>
              <w:spacing w:before="0" w:after="0" w:line="240" w:lineRule="auto"/>
            </w:pPr>
            <w:r/>
            <w:r>
              <w:rPr>
                <w:sz w:val="17"/>
              </w:rPr>
              <w:t>Cross-sectional average-tie percentile among eligible families</w:t>
            </w:r>
          </w:p>
        </w:tc>
      </w:tr>
      <w:tr>
        <w:tc>
          <w:tcPr>
            <w:tcW w:type="dxa" w:w="4876"/>
            <w:tcMar>
              <w:top w:w="70" w:type="dxa"/>
              <w:start w:w="85" w:type="dxa"/>
              <w:bottom w:w="70" w:type="dxa"/>
              <w:end w:w="85" w:type="dxa"/>
            </w:tcMar>
            <w:vAlign w:val="center"/>
          </w:tcPr>
          <w:p>
            <w:pPr>
              <w:spacing w:before="0" w:after="0" w:line="240" w:lineRule="auto"/>
            </w:pPr>
            <w:r/>
            <w:r>
              <w:rPr>
                <w:sz w:val="17"/>
              </w:rPr>
              <w:t>Signal weights</w:t>
            </w:r>
          </w:p>
        </w:tc>
        <w:tc>
          <w:tcPr>
            <w:tcW w:type="dxa" w:w="4876"/>
            <w:tcMar>
              <w:top w:w="70" w:type="dxa"/>
              <w:start w:w="85" w:type="dxa"/>
              <w:bottom w:w="70" w:type="dxa"/>
              <w:end w:w="85" w:type="dxa"/>
            </w:tcMar>
            <w:vAlign w:val="center"/>
          </w:tcPr>
          <w:p>
            <w:pPr>
              <w:spacing w:before="0" w:after="0" w:line="240" w:lineRule="auto"/>
            </w:pPr>
            <w:r/>
            <w:r>
              <w:rPr>
                <w:sz w:val="17"/>
              </w:rPr>
              <w:t>0.10, 0.15, 0.25, 0.30, 0.20 on 21, 42, 63, 126, 252 sessions</w:t>
            </w:r>
          </w:p>
        </w:tc>
      </w:tr>
      <w:tr>
        <w:tc>
          <w:tcPr>
            <w:tcW w:type="dxa" w:w="4876"/>
            <w:tcMar>
              <w:top w:w="70" w:type="dxa"/>
              <w:start w:w="85" w:type="dxa"/>
              <w:bottom w:w="70" w:type="dxa"/>
              <w:end w:w="85" w:type="dxa"/>
            </w:tcMar>
            <w:vAlign w:val="center"/>
          </w:tcPr>
          <w:p>
            <w:pPr>
              <w:spacing w:before="0" w:after="0" w:line="240" w:lineRule="auto"/>
            </w:pPr>
            <w:r/>
            <w:r>
              <w:rPr>
                <w:sz w:val="17"/>
              </w:rPr>
              <w:t>Sort</w:t>
            </w:r>
          </w:p>
        </w:tc>
        <w:tc>
          <w:tcPr>
            <w:tcW w:type="dxa" w:w="4876"/>
            <w:tcMar>
              <w:top w:w="70" w:type="dxa"/>
              <w:start w:w="85" w:type="dxa"/>
              <w:bottom w:w="70" w:type="dxa"/>
              <w:end w:w="85" w:type="dxa"/>
            </w:tcMar>
            <w:vAlign w:val="center"/>
          </w:tcPr>
          <w:p>
            <w:pPr>
              <w:spacing w:before="0" w:after="0" w:line="240" w:lineRule="auto"/>
            </w:pPr>
            <w:r/>
            <w:r>
              <w:rPr>
                <w:sz w:val="17"/>
              </w:rPr>
              <w:t>M2 descending; exact ties by family ID ascending</w:t>
            </w:r>
          </w:p>
        </w:tc>
      </w:tr>
      <w:tr>
        <w:tc>
          <w:tcPr>
            <w:tcW w:type="dxa" w:w="4876"/>
            <w:tcMar>
              <w:top w:w="70" w:type="dxa"/>
              <w:start w:w="85" w:type="dxa"/>
              <w:bottom w:w="70" w:type="dxa"/>
              <w:end w:w="85" w:type="dxa"/>
            </w:tcMar>
            <w:vAlign w:val="center"/>
          </w:tcPr>
          <w:p>
            <w:pPr>
              <w:spacing w:before="0" w:after="0" w:line="240" w:lineRule="auto"/>
            </w:pPr>
            <w:r/>
            <w:r>
              <w:rPr>
                <w:sz w:val="17"/>
              </w:rPr>
              <w:t>Breadth</w:t>
            </w:r>
          </w:p>
        </w:tc>
        <w:tc>
          <w:tcPr>
            <w:tcW w:type="dxa" w:w="4876"/>
            <w:tcMar>
              <w:top w:w="70" w:type="dxa"/>
              <w:start w:w="85" w:type="dxa"/>
              <w:bottom w:w="70" w:type="dxa"/>
              <w:end w:w="85" w:type="dxa"/>
            </w:tcMar>
            <w:vAlign w:val="center"/>
          </w:tcPr>
          <w:p>
            <w:pPr>
              <w:spacing w:before="0" w:after="0" w:line="240" w:lineRule="auto"/>
            </w:pPr>
            <w:r/>
            <w:r>
              <w:rPr>
                <w:sz w:val="17"/>
              </w:rPr>
              <w:t>TOP7; fewer only if 3–6 eligible under frozen rule</w:t>
            </w:r>
          </w:p>
        </w:tc>
      </w:tr>
      <w:tr>
        <w:tc>
          <w:tcPr>
            <w:tcW w:type="dxa" w:w="4876"/>
            <w:tcMar>
              <w:top w:w="70" w:type="dxa"/>
              <w:start w:w="85" w:type="dxa"/>
              <w:bottom w:w="70" w:type="dxa"/>
              <w:end w:w="85" w:type="dxa"/>
            </w:tcMar>
            <w:vAlign w:val="center"/>
          </w:tcPr>
          <w:p>
            <w:pPr>
              <w:spacing w:before="0" w:after="0" w:line="240" w:lineRule="auto"/>
            </w:pPr>
            <w:r/>
            <w:r>
              <w:rPr>
                <w:sz w:val="17"/>
              </w:rPr>
              <w:t>Weighting</w:t>
            </w:r>
          </w:p>
        </w:tc>
        <w:tc>
          <w:tcPr>
            <w:tcW w:type="dxa" w:w="4876"/>
            <w:tcMar>
              <w:top w:w="70" w:type="dxa"/>
              <w:start w:w="85" w:type="dxa"/>
              <w:bottom w:w="70" w:type="dxa"/>
              <w:end w:w="85" w:type="dxa"/>
            </w:tcMar>
            <w:vAlign w:val="center"/>
          </w:tcPr>
          <w:p>
            <w:pPr>
              <w:spacing w:before="0" w:after="0" w:line="240" w:lineRule="auto"/>
            </w:pPr>
            <w:r/>
            <w:r>
              <w:rPr>
                <w:sz w:val="17"/>
              </w:rPr>
              <w:t>Equal across selected families</w:t>
            </w:r>
          </w:p>
        </w:tc>
      </w:tr>
      <w:tr>
        <w:tc>
          <w:tcPr>
            <w:tcW w:type="dxa" w:w="4876"/>
            <w:tcMar>
              <w:top w:w="70" w:type="dxa"/>
              <w:start w:w="85" w:type="dxa"/>
              <w:bottom w:w="70" w:type="dxa"/>
              <w:end w:w="85" w:type="dxa"/>
            </w:tcMar>
            <w:vAlign w:val="center"/>
          </w:tcPr>
          <w:p>
            <w:pPr>
              <w:spacing w:before="0" w:after="0" w:line="240" w:lineRule="auto"/>
            </w:pPr>
            <w:r/>
            <w:r>
              <w:rPr>
                <w:sz w:val="17"/>
              </w:rPr>
              <w:t>Signal date</w:t>
            </w:r>
          </w:p>
        </w:tc>
        <w:tc>
          <w:tcPr>
            <w:tcW w:type="dxa" w:w="4876"/>
            <w:tcMar>
              <w:top w:w="70" w:type="dxa"/>
              <w:start w:w="85" w:type="dxa"/>
              <w:bottom w:w="70" w:type="dxa"/>
              <w:end w:w="85" w:type="dxa"/>
            </w:tcMar>
            <w:vAlign w:val="center"/>
          </w:tcPr>
          <w:p>
            <w:pPr>
              <w:spacing w:before="0" w:after="0" w:line="240" w:lineRule="auto"/>
            </w:pPr>
            <w:r/>
            <w:r>
              <w:rPr>
                <w:sz w:val="17"/>
              </w:rPr>
              <w:t>Final valid XLON session of month</w:t>
            </w:r>
          </w:p>
        </w:tc>
      </w:tr>
      <w:tr>
        <w:tc>
          <w:tcPr>
            <w:tcW w:type="dxa" w:w="4876"/>
            <w:tcMar>
              <w:top w:w="70" w:type="dxa"/>
              <w:start w:w="85" w:type="dxa"/>
              <w:bottom w:w="70" w:type="dxa"/>
              <w:end w:w="85" w:type="dxa"/>
            </w:tcMar>
            <w:vAlign w:val="center"/>
          </w:tcPr>
          <w:p>
            <w:pPr>
              <w:spacing w:before="0" w:after="0" w:line="240" w:lineRule="auto"/>
            </w:pPr>
            <w:r/>
            <w:r>
              <w:rPr>
                <w:sz w:val="17"/>
              </w:rPr>
              <w:t>Execution date</w:t>
            </w:r>
          </w:p>
        </w:tc>
        <w:tc>
          <w:tcPr>
            <w:tcW w:type="dxa" w:w="4876"/>
            <w:tcMar>
              <w:top w:w="70" w:type="dxa"/>
              <w:start w:w="85" w:type="dxa"/>
              <w:bottom w:w="70" w:type="dxa"/>
              <w:end w:w="85" w:type="dxa"/>
            </w:tcMar>
            <w:vAlign w:val="center"/>
          </w:tcPr>
          <w:p>
            <w:pPr>
              <w:spacing w:before="0" w:after="0" w:line="240" w:lineRule="auto"/>
            </w:pPr>
            <w:r/>
            <w:r>
              <w:rPr>
                <w:sz w:val="17"/>
              </w:rPr>
              <w:t>First following valid XLON session, within three sessions</w:t>
            </w:r>
          </w:p>
        </w:tc>
      </w:tr>
      <w:tr>
        <w:tc>
          <w:tcPr>
            <w:tcW w:type="dxa" w:w="4876"/>
            <w:tcMar>
              <w:top w:w="70" w:type="dxa"/>
              <w:start w:w="85" w:type="dxa"/>
              <w:bottom w:w="70" w:type="dxa"/>
              <w:end w:w="85" w:type="dxa"/>
            </w:tcMar>
            <w:vAlign w:val="center"/>
          </w:tcPr>
          <w:p>
            <w:pPr>
              <w:spacing w:before="0" w:after="0" w:line="240" w:lineRule="auto"/>
            </w:pPr>
            <w:r/>
            <w:r>
              <w:rPr>
                <w:sz w:val="17"/>
              </w:rPr>
              <w:t>Historical costs</w:t>
            </w:r>
          </w:p>
        </w:tc>
        <w:tc>
          <w:tcPr>
            <w:tcW w:type="dxa" w:w="4876"/>
            <w:tcMar>
              <w:top w:w="70" w:type="dxa"/>
              <w:start w:w="85" w:type="dxa"/>
              <w:bottom w:w="70" w:type="dxa"/>
              <w:end w:w="85" w:type="dxa"/>
            </w:tcMar>
            <w:vAlign w:val="center"/>
          </w:tcPr>
          <w:p>
            <w:pPr>
              <w:spacing w:before="0" w:after="0" w:line="240" w:lineRule="auto"/>
            </w:pPr>
            <w:r/>
            <w:r>
              <w:rPr>
                <w:sz w:val="17"/>
              </w:rPr>
              <w:t>20 bps one-way plus applicable fixed dealing fee; doubled-cost stress at 40 bps</w:t>
            </w:r>
          </w:p>
        </w:tc>
      </w:tr>
      <w:tr>
        <w:tc>
          <w:tcPr>
            <w:tcW w:type="dxa" w:w="4876"/>
            <w:tcMar>
              <w:top w:w="70" w:type="dxa"/>
              <w:start w:w="85" w:type="dxa"/>
              <w:bottom w:w="70" w:type="dxa"/>
              <w:end w:w="85" w:type="dxa"/>
            </w:tcMar>
            <w:vAlign w:val="center"/>
          </w:tcPr>
          <w:p>
            <w:pPr>
              <w:spacing w:before="0" w:after="0" w:line="240" w:lineRule="auto"/>
            </w:pPr>
            <w:r/>
            <w:r>
              <w:rPr>
                <w:sz w:val="17"/>
              </w:rPr>
              <w:t>Cash treatment</w:t>
            </w:r>
          </w:p>
        </w:tc>
        <w:tc>
          <w:tcPr>
            <w:tcW w:type="dxa" w:w="4876"/>
            <w:tcMar>
              <w:top w:w="70" w:type="dxa"/>
              <w:start w:w="85" w:type="dxa"/>
              <w:bottom w:w="70" w:type="dxa"/>
              <w:end w:w="85" w:type="dxa"/>
            </w:tcMar>
            <w:vAlign w:val="center"/>
          </w:tcPr>
          <w:p>
            <w:pPr>
              <w:spacing w:before="0" w:after="0" w:line="240" w:lineRule="auto"/>
            </w:pPr>
            <w:r/>
            <w:r>
              <w:rPr>
                <w:sz w:val="17"/>
              </w:rPr>
              <w:t>CASH0: selected available slots invested; unavailable/suspended live slot to CSH2</w:t>
            </w:r>
          </w:p>
        </w:tc>
      </w:tr>
      <w:tr>
        <w:tc>
          <w:tcPr>
            <w:tcW w:type="dxa" w:w="4876"/>
            <w:tcMar>
              <w:top w:w="70" w:type="dxa"/>
              <w:start w:w="85" w:type="dxa"/>
              <w:bottom w:w="70" w:type="dxa"/>
              <w:end w:w="85" w:type="dxa"/>
            </w:tcMar>
            <w:vAlign w:val="center"/>
          </w:tcPr>
          <w:p>
            <w:pPr>
              <w:spacing w:before="0" w:after="0" w:line="240" w:lineRule="auto"/>
            </w:pPr>
            <w:r/>
            <w:r>
              <w:rPr>
                <w:sz w:val="17"/>
              </w:rPr>
              <w:t>Instrument rule</w:t>
            </w:r>
          </w:p>
        </w:tc>
        <w:tc>
          <w:tcPr>
            <w:tcW w:type="dxa" w:w="4876"/>
            <w:tcMar>
              <w:top w:w="70" w:type="dxa"/>
              <w:start w:w="85" w:type="dxa"/>
              <w:bottom w:w="70" w:type="dxa"/>
              <w:end w:w="85" w:type="dxa"/>
            </w:tcMar>
            <w:vAlign w:val="center"/>
          </w:tcPr>
          <w:p>
            <w:pPr>
              <w:spacing w:before="0" w:after="0" w:line="240" w:lineRule="auto"/>
            </w:pPr>
            <w:r/>
            <w:r>
              <w:rPr>
                <w:sz w:val="17"/>
              </w:rPr>
              <w:t>Preferred GBP/GBX line; only frozen approved alternate after current confirmation</w:t>
            </w:r>
          </w:p>
        </w:tc>
      </w:tr>
      <w:tr>
        <w:tc>
          <w:tcPr>
            <w:tcW w:type="dxa" w:w="4876"/>
            <w:tcMar>
              <w:top w:w="70" w:type="dxa"/>
              <w:start w:w="85" w:type="dxa"/>
              <w:bottom w:w="70" w:type="dxa"/>
              <w:end w:w="85" w:type="dxa"/>
            </w:tcMar>
            <w:vAlign w:val="center"/>
          </w:tcPr>
          <w:p>
            <w:pPr>
              <w:spacing w:before="0" w:after="0" w:line="240" w:lineRule="auto"/>
            </w:pPr>
            <w:r/>
            <w:r>
              <w:rPr>
                <w:sz w:val="17"/>
              </w:rPr>
              <w:t>Leverage / shorting</w:t>
            </w:r>
          </w:p>
        </w:tc>
        <w:tc>
          <w:tcPr>
            <w:tcW w:type="dxa" w:w="4876"/>
            <w:tcMar>
              <w:top w:w="70" w:type="dxa"/>
              <w:start w:w="85" w:type="dxa"/>
              <w:bottom w:w="70" w:type="dxa"/>
              <w:end w:w="85" w:type="dxa"/>
            </w:tcMar>
            <w:vAlign w:val="center"/>
          </w:tcPr>
          <w:p>
            <w:pPr>
              <w:spacing w:before="0" w:after="0" w:line="240" w:lineRule="auto"/>
            </w:pPr>
            <w:r/>
            <w:r>
              <w:rPr>
                <w:sz w:val="17"/>
              </w:rPr>
              <w:t>None / none</w:t>
            </w:r>
          </w:p>
        </w:tc>
      </w:tr>
      <w:tr>
        <w:tc>
          <w:tcPr>
            <w:tcW w:type="dxa" w:w="4876"/>
            <w:tcMar>
              <w:top w:w="70" w:type="dxa"/>
              <w:start w:w="85" w:type="dxa"/>
              <w:bottom w:w="70" w:type="dxa"/>
              <w:end w:w="85" w:type="dxa"/>
            </w:tcMar>
            <w:vAlign w:val="center"/>
          </w:tcPr>
          <w:p>
            <w:pPr>
              <w:spacing w:before="0" w:after="0" w:line="240" w:lineRule="auto"/>
            </w:pPr>
            <w:r/>
            <w:r>
              <w:rPr>
                <w:sz w:val="17"/>
              </w:rPr>
              <w:t>Discretionary overrides</w:t>
            </w:r>
          </w:p>
        </w:tc>
        <w:tc>
          <w:tcPr>
            <w:tcW w:type="dxa" w:w="4876"/>
            <w:tcMar>
              <w:top w:w="70" w:type="dxa"/>
              <w:start w:w="85" w:type="dxa"/>
              <w:bottom w:w="70" w:type="dxa"/>
              <w:end w:w="85" w:type="dxa"/>
            </w:tcMar>
            <w:vAlign w:val="center"/>
          </w:tcPr>
          <w:p>
            <w:pPr>
              <w:spacing w:before="0" w:after="0" w:line="240" w:lineRule="auto"/>
            </w:pPr>
            <w:r/>
            <w:r>
              <w:rPr>
                <w:sz w:val="17"/>
              </w:rPr>
              <w:t>Prohibited</w:t>
            </w:r>
          </w:p>
        </w:tc>
      </w:tr>
      <w:tr>
        <w:tc>
          <w:tcPr>
            <w:tcW w:type="dxa" w:w="4876"/>
            <w:tcMar>
              <w:top w:w="70" w:type="dxa"/>
              <w:start w:w="85" w:type="dxa"/>
              <w:bottom w:w="70" w:type="dxa"/>
              <w:end w:w="85" w:type="dxa"/>
            </w:tcMar>
            <w:vAlign w:val="center"/>
          </w:tcPr>
          <w:p>
            <w:pPr>
              <w:spacing w:before="0" w:after="0" w:line="240" w:lineRule="auto"/>
            </w:pPr>
            <w:r/>
            <w:r>
              <w:rPr>
                <w:sz w:val="17"/>
              </w:rPr>
              <w:t>Model-development status</w:t>
            </w:r>
          </w:p>
        </w:tc>
        <w:tc>
          <w:tcPr>
            <w:tcW w:type="dxa" w:w="4876"/>
            <w:tcMar>
              <w:top w:w="70" w:type="dxa"/>
              <w:start w:w="85" w:type="dxa"/>
              <w:bottom w:w="70" w:type="dxa"/>
              <w:end w:w="85" w:type="dxa"/>
            </w:tcMar>
            <w:vAlign w:val="center"/>
          </w:tcPr>
          <w:p>
            <w:pPr>
              <w:spacing w:before="0" w:after="0" w:line="240" w:lineRule="auto"/>
            </w:pPr>
            <w:r/>
            <w:r>
              <w:rPr>
                <w:rFonts w:ascii="Consolas" w:hAnsi="Consolas"/>
                <w:color w:val="1F4D78"/>
                <w:sz w:val="17"/>
              </w:rPr>
              <w:t>M2_HISTORICAL_MODEL_DEVELOPMENT_CLOSED</w:t>
            </w:r>
          </w:p>
        </w:tc>
      </w:tr>
    </w:tbl>
    <w:p>
      <w:pPr>
        <w:pStyle w:val="SourceCitation"/>
      </w:pPr>
      <w:r>
        <w:rPr>
          <w:sz w:val="16"/>
        </w:rPr>
        <w:t xml:space="preserve">Internal sources [M2-FROZEN], [M2-FORMULA], [M2-TIMING], [COST-HIST] and [LIVE-MAP]: A5C frozen spec at freeze commit </w:t>
      </w:r>
      <w:r>
        <w:rPr>
          <w:rFonts w:ascii="Consolas" w:hAnsi="Consolas"/>
          <w:color w:val="1F4D78"/>
          <w:sz w:val="16"/>
        </w:rPr>
        <w:t>a8008f7</w:t>
      </w:r>
      <w:r>
        <w:rPr>
          <w:sz w:val="16"/>
        </w:rPr>
        <w:t xml:space="preserve"> and A5C live map at results commit </w:t>
      </w:r>
      <w:r>
        <w:rPr>
          <w:rFonts w:ascii="Consolas" w:hAnsi="Consolas"/>
          <w:color w:val="1F4D78"/>
          <w:sz w:val="16"/>
        </w:rPr>
        <w:t>beb8d49</w:t>
      </w:r>
      <w:r>
        <w:rPr>
          <w:sz w:val="16"/>
        </w:rPr>
        <w:t>.</w:t>
      </w:r>
    </w:p>
    <w:p>
      <w:r>
        <w:t>Reproducible monthly pseudocode is:</w:t>
      </w:r>
    </w:p>
    <w:p>
      <w:pPr>
        <w:pStyle w:val="CodeBlockUKACTIVE"/>
        <w:keepLines/>
        <w:shd w:fill="F4F6F9"/>
      </w:pPr>
      <w:r>
        <w:rPr>
          <w:rFonts w:ascii="Consolas" w:hAnsi="Consolas"/>
          <w:sz w:val="15"/>
        </w:rPr>
        <w:t>input: immutable family map, accepted total-return histories, SWDA benchmark,</w:t>
        <w:br/>
        <w:t xml:space="preserve">       XLON sessions, prior holdings, frozen instrument map</w:t>
        <w:br/>
        <w:br/>
        <w:t>t = final valid XLON session of review month</w:t>
        <w:br/>
        <w:t>u = first valid XLON session after t; require u no later than third valid session</w:t>
        <w:br/>
        <w:br/>
        <w:t>for each structural family i:</w:t>
        <w:br/>
        <w:t xml:space="preserve">    require an accepted point-in-time history through t</w:t>
        <w:br/>
        <w:t xml:space="preserve">    for h in [21, 42, 63, 126, 252]:</w:t>
        <w:br/>
        <w:t xml:space="preserve">        require family and benchmark endpoints on the frozen true-session contract</w:t>
        <w:br/>
        <w:t xml:space="preserve">        raw_rs[i,h] = (1 + family_total_return[i,t,h]) /</w:t>
        <w:br/>
        <w:t xml:space="preserve">                      (1 + benchmark_total_return[t,h]) - 1</w:t>
        <w:br/>
        <w:br/>
        <w:t>eligible = families with all five raw_rs values</w:t>
        <w:br/>
        <w:t>if count(eligible) &lt; 3: suspend run</w:t>
        <w:br/>
        <w:br/>
        <w:t>for h in [21, 42, 63, 126, 252]:</w:t>
        <w:br/>
        <w:t xml:space="preserve">    rs_percentile[:,h] = average_tie_percentile(raw_rs[eligible,h])</w:t>
        <w:br/>
        <w:br/>
        <w:t>m2[i] = 0.10*rs_percentile[i,21]</w:t>
        <w:br/>
        <w:t xml:space="preserve">      + 0.15*rs_percentile[i,42]</w:t>
        <w:br/>
        <w:t xml:space="preserve">      + 0.25*rs_percentile[i,63]</w:t>
        <w:br/>
        <w:t xml:space="preserve">      + 0.30*rs_percentile[i,126]</w:t>
        <w:br/>
        <w:t xml:space="preserve">      + 0.20*rs_percentile[i,252]</w:t>
        <w:br/>
        <w:br/>
        <w:t>rank eligible by (-m2, family_id)</w:t>
        <w:br/>
        <w:t>selected = first min(7, count(eligible)) families</w:t>
        <w:br/>
        <w:t>family_target = 1 / count(selected) within M2 sleeve</w:t>
        <w:br/>
        <w:br/>
        <w:t>for each selected family:</w:t>
        <w:br/>
        <w:t xml:space="preserve">    map to frozen preferred current GBP/GBX line</w:t>
        <w:br/>
        <w:t xml:space="preserve">    if unavailable or suspended: assign that slot to CSH2</w:t>
        <w:br/>
        <w:t xml:space="preserve">    else: retain mapped ETF target</w:t>
        <w:br/>
        <w:br/>
        <w:t>compare targets with holdings; create deterministic legs</w:t>
        <w:br/>
        <w:t>execute on u at market-price operating convention</w:t>
        <w:br/>
        <w:t>record signal inputs, ranks, mappings, fills, fees, friction and exceptions</w:t>
        <w:br/>
        <w:t>make no intra-month discretionary changes</w:t>
      </w:r>
    </w:p>
    <w:p>
      <w:r>
        <w:t>The pseudocode specifies the decision, not broker instructions. A run cannot be reconstructed by reading the M2 label alone; the exact percentile, tie, missing-data and timing contracts are integral.</w:t>
      </w:r>
    </w:p>
    <w:p>
      <w:pPr>
        <w:pStyle w:val="Heading1"/>
      </w:pPr>
      <w:r>
        <w:t>27. Detailed frozen-strategy statistics</w:t>
      </w:r>
    </w:p>
    <w:p>
      <w:pPr>
        <w:pStyle w:val="Heading2"/>
      </w:pPr>
      <w:r>
        <w:t>27.1 Standalone active strategy</w:t>
      </w:r>
    </w:p>
    <w:p>
      <w:r>
        <w:t>At the A4D scientific baseline notional of £250,000, M2's full-history net CAGR was 13.14%, recent-five-year CAGR 13.62%, full MDD −23.53%, Ulcer 8.20%, Calmar 0.56, volatility 18.49%, longest underwater period 857 days, turnover 5.52×, 865 trade legs and terminal wealth £321,979 per £100,000. Its full-window CAGR differences were +1.54 pp versus SWDA and +1.61 pp versus the equal pool. On the latest five years, M2's MDD was −22.34%, Ulcer 10.13%, volatility 19.70%, turnover 6.93× and terminal wealth £188,614; CAGR differences were +2.10 pp versus SWDA and +2.63 pp versus the pool. (Internal sources [ECON-M2_TOP7_CASH0_100] and [BR-7], A4D/A4F canonical scorecards.)</w:t>
      </w:r>
    </w:p>
    <w:p>
      <w:r>
        <w:t xml:space="preserve">A5C restated the same strategy for a £563,000 II Plus illustration. Fixed fees are smaller relative to this notional, so the subscription-separated net CAGR is 13.20% full history and 13.68% latest five years rather than the £250,000 A4D values. The gross CAGRs are 14.48% and 15.30%; full-subscription values are 13.18% and 13.66%. The change is a notional/fee treatment, not a new model or sample conclusion. Full-history current-scale annual market friction was estimated at £6,218.97 and annual all-in cost at £6,721.48; these are scale illustrations, not forecasts of actual fills. (Internal sources [WRAP-M2_100_DIAGNOSTIC-FULL_HISTORY-563000] and [WRAP-M2_100_DIAGNOSTIC-LATEST_FIVE_YEARS-563000]: A5C cost restatement, results commit </w:t>
      </w:r>
      <w:r>
        <w:rPr>
          <w:rFonts w:ascii="Consolas" w:hAnsi="Consolas"/>
          <w:color w:val="1F4D78"/>
        </w:rPr>
        <w:t>beb8d49</w:t>
      </w:r>
      <w:r>
        <w:t>.)</w:t>
      </w:r>
    </w:p>
    <w:p>
      <w:pPr>
        <w:pStyle w:val="Heading2"/>
      </w:pPr>
      <w:r>
        <w:t>27.2 Whole-SIPP pilot and research comparators</w:t>
      </w:r>
    </w:p>
    <w:p>
      <w:pPr>
        <w:sectPr>
          <w:pgSz w:w="11906" w:h="16838"/>
          <w:pgMar w:top="992" w:right="1077" w:bottom="935" w:left="1077" w:header="425" w:footer="425" w:gutter="0"/>
          <w:cols w:space="720"/>
          <w:docGrid w:linePitch="360"/>
        </w:sectPr>
      </w:pPr>
    </w:p>
    <w:p>
      <w:pPr>
        <w:keepNext/>
        <w:spacing w:before="160" w:after="80"/>
      </w:pPr>
      <w:r>
        <w:rPr>
          <w:b/>
        </w:rPr>
        <w:t>Table 20. 0%, 10%, 15% and 25% M2 whole-SIPP comparison, II Plus, £563,000</w:t>
      </w:r>
    </w:p>
    <w:tbl>
      <w:tblPr>
        <w:tblStyle w:val="TableGrid"/>
        <w:tblW w:type="auto" w:w="0"/>
        <w:jc w:val="center"/>
        <w:tblLayout w:type="autofit"/>
        <w:tblLook w:firstColumn="1" w:firstRow="1" w:lastColumn="0" w:lastRow="0" w:noHBand="0" w:noVBand="1" w:val="04A0"/>
      </w:tblPr>
      <w:tblGrid>
        <w:gridCol w:w="1381"/>
        <w:gridCol w:w="1381"/>
        <w:gridCol w:w="1381"/>
        <w:gridCol w:w="1381"/>
        <w:gridCol w:w="1381"/>
        <w:gridCol w:w="1381"/>
        <w:gridCol w:w="1381"/>
        <w:gridCol w:w="1381"/>
        <w:gridCol w:w="1381"/>
        <w:gridCol w:w="1381"/>
        <w:gridCol w:w="1381"/>
      </w:tblGrid>
      <w:tr>
        <w:trPr>
          <w:tblHeader w:val="true"/>
        </w:trPr>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Window</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M2 weight / status</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Gross CAGR</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Net CAGR, subscription separate</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Net CAGR, subscription included</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Increment vs 75/25 control</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MDD</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Ulcer</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Turnover</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Current annual market friction</w:t>
            </w:r>
          </w:p>
        </w:tc>
        <w:tc>
          <w:tcPr>
            <w:tcW w:type="dxa" w:w="1381"/>
            <w:tcMar>
              <w:top w:w="70" w:type="dxa"/>
              <w:start w:w="85" w:type="dxa"/>
              <w:bottom w:w="70" w:type="dxa"/>
              <w:end w:w="85" w:type="dxa"/>
            </w:tcMar>
            <w:vAlign w:val="center"/>
            <w:shd w:fill="F4F6F9"/>
          </w:tcPr>
          <w:p>
            <w:pPr>
              <w:spacing w:before="0" w:after="0" w:line="240" w:lineRule="auto"/>
            </w:pPr>
            <w:r>
              <w:rPr>
                <w:b/>
                <w:color w:val="1F4D78"/>
              </w:rPr>
            </w:r>
            <w:r>
              <w:rPr>
                <w:b/>
                <w:color w:val="1F4D78"/>
                <w:sz w:val="15"/>
              </w:rPr>
              <w:t>Current annual all-in cost</w:t>
            </w:r>
          </w:p>
        </w:tc>
      </w:tr>
      <w:tr>
        <w:tc>
          <w:tcPr>
            <w:tcW w:type="dxa" w:w="1381"/>
            <w:tcMar>
              <w:top w:w="70" w:type="dxa"/>
              <w:start w:w="85" w:type="dxa"/>
              <w:bottom w:w="70" w:type="dxa"/>
              <w:end w:w="85" w:type="dxa"/>
            </w:tcMar>
            <w:vAlign w:val="center"/>
          </w:tcPr>
          <w:p>
            <w:pPr>
              <w:spacing w:before="0" w:after="0" w:line="240" w:lineRule="auto"/>
            </w:pPr>
            <w:r/>
            <w:r>
              <w:rPr>
                <w:sz w:val="15"/>
              </w:rPr>
              <w:t>Full</w:t>
            </w:r>
          </w:p>
        </w:tc>
        <w:tc>
          <w:tcPr>
            <w:tcW w:type="dxa" w:w="1381"/>
            <w:tcMar>
              <w:top w:w="70" w:type="dxa"/>
              <w:start w:w="85" w:type="dxa"/>
              <w:bottom w:w="70" w:type="dxa"/>
              <w:end w:w="85" w:type="dxa"/>
            </w:tcMar>
            <w:vAlign w:val="center"/>
          </w:tcPr>
          <w:p>
            <w:pPr>
              <w:spacing w:before="0" w:after="0" w:line="240" w:lineRule="auto"/>
            </w:pPr>
            <w:r/>
            <w:r>
              <w:rPr>
                <w:sz w:val="15"/>
              </w:rPr>
              <w:t>0% control</w:t>
            </w:r>
          </w:p>
        </w:tc>
        <w:tc>
          <w:tcPr>
            <w:tcW w:type="dxa" w:w="1381"/>
            <w:tcMar>
              <w:top w:w="70" w:type="dxa"/>
              <w:start w:w="85" w:type="dxa"/>
              <w:bottom w:w="70" w:type="dxa"/>
              <w:end w:w="85" w:type="dxa"/>
            </w:tcMar>
            <w:vAlign w:val="center"/>
          </w:tcPr>
          <w:p>
            <w:pPr>
              <w:spacing w:before="0" w:after="0" w:line="240" w:lineRule="auto"/>
            </w:pPr>
            <w:r/>
            <w:r>
              <w:rPr>
                <w:sz w:val="15"/>
              </w:rPr>
              <w:t>9.29%</w:t>
            </w:r>
          </w:p>
        </w:tc>
        <w:tc>
          <w:tcPr>
            <w:tcW w:type="dxa" w:w="1381"/>
            <w:tcMar>
              <w:top w:w="70" w:type="dxa"/>
              <w:start w:w="85" w:type="dxa"/>
              <w:bottom w:w="70" w:type="dxa"/>
              <w:end w:w="85" w:type="dxa"/>
            </w:tcMar>
            <w:vAlign w:val="center"/>
          </w:tcPr>
          <w:p>
            <w:pPr>
              <w:spacing w:before="0" w:after="0" w:line="240" w:lineRule="auto"/>
            </w:pPr>
            <w:r/>
            <w:r>
              <w:rPr>
                <w:sz w:val="15"/>
              </w:rPr>
              <w:t>9.28%</w:t>
            </w:r>
          </w:p>
        </w:tc>
        <w:tc>
          <w:tcPr>
            <w:tcW w:type="dxa" w:w="1381"/>
            <w:tcMar>
              <w:top w:w="70" w:type="dxa"/>
              <w:start w:w="85" w:type="dxa"/>
              <w:bottom w:w="70" w:type="dxa"/>
              <w:end w:w="85" w:type="dxa"/>
            </w:tcMar>
            <w:vAlign w:val="center"/>
          </w:tcPr>
          <w:p>
            <w:pPr>
              <w:spacing w:before="0" w:after="0" w:line="240" w:lineRule="auto"/>
            </w:pPr>
            <w:r/>
            <w:r>
              <w:rPr>
                <w:sz w:val="15"/>
              </w:rPr>
              <w:t>9.25%</w:t>
            </w:r>
          </w:p>
        </w:tc>
        <w:tc>
          <w:tcPr>
            <w:tcW w:type="dxa" w:w="1381"/>
            <w:tcMar>
              <w:top w:w="70" w:type="dxa"/>
              <w:start w:w="85" w:type="dxa"/>
              <w:bottom w:w="70" w:type="dxa"/>
              <w:end w:w="85" w:type="dxa"/>
            </w:tcMar>
            <w:vAlign w:val="center"/>
          </w:tcPr>
          <w:p>
            <w:pPr>
              <w:spacing w:before="0" w:after="0" w:line="240" w:lineRule="auto"/>
            </w:pPr>
            <w:r/>
            <w:r>
              <w:rPr>
                <w:sz w:val="15"/>
              </w:rPr>
              <w:t>0.00 pp</w:t>
            </w:r>
          </w:p>
        </w:tc>
        <w:tc>
          <w:tcPr>
            <w:tcW w:type="dxa" w:w="1381"/>
            <w:tcMar>
              <w:top w:w="70" w:type="dxa"/>
              <w:start w:w="85" w:type="dxa"/>
              <w:bottom w:w="70" w:type="dxa"/>
              <w:end w:w="85" w:type="dxa"/>
            </w:tcMar>
            <w:vAlign w:val="center"/>
          </w:tcPr>
          <w:p>
            <w:pPr>
              <w:spacing w:before="0" w:after="0" w:line="240" w:lineRule="auto"/>
            </w:pPr>
            <w:r/>
            <w:r>
              <w:rPr>
                <w:sz w:val="15"/>
              </w:rPr>
              <w:t>−19.55%</w:t>
            </w:r>
          </w:p>
        </w:tc>
        <w:tc>
          <w:tcPr>
            <w:tcW w:type="dxa" w:w="1381"/>
            <w:tcMar>
              <w:top w:w="70" w:type="dxa"/>
              <w:start w:w="85" w:type="dxa"/>
              <w:bottom w:w="70" w:type="dxa"/>
              <w:end w:w="85" w:type="dxa"/>
            </w:tcMar>
            <w:vAlign w:val="center"/>
          </w:tcPr>
          <w:p>
            <w:pPr>
              <w:spacing w:before="0" w:after="0" w:line="240" w:lineRule="auto"/>
            </w:pPr>
            <w:r/>
            <w:r>
              <w:rPr>
                <w:sz w:val="15"/>
              </w:rPr>
              <w:t>3.60%</w:t>
            </w:r>
          </w:p>
        </w:tc>
        <w:tc>
          <w:tcPr>
            <w:tcW w:type="dxa" w:w="1381"/>
            <w:tcMar>
              <w:top w:w="70" w:type="dxa"/>
              <w:start w:w="85" w:type="dxa"/>
              <w:bottom w:w="70" w:type="dxa"/>
              <w:end w:w="85" w:type="dxa"/>
            </w:tcMar>
            <w:vAlign w:val="center"/>
          </w:tcPr>
          <w:p>
            <w:pPr>
              <w:spacing w:before="0" w:after="0" w:line="240" w:lineRule="auto"/>
            </w:pPr>
            <w:r/>
            <w:r>
              <w:rPr>
                <w:sz w:val="15"/>
              </w:rPr>
              <w:t>0.14×</w:t>
            </w:r>
          </w:p>
        </w:tc>
        <w:tc>
          <w:tcPr>
            <w:tcW w:type="dxa" w:w="1381"/>
            <w:tcMar>
              <w:top w:w="70" w:type="dxa"/>
              <w:start w:w="85" w:type="dxa"/>
              <w:bottom w:w="70" w:type="dxa"/>
              <w:end w:w="85" w:type="dxa"/>
            </w:tcMar>
            <w:vAlign w:val="center"/>
          </w:tcPr>
          <w:p>
            <w:pPr>
              <w:spacing w:before="0" w:after="0" w:line="240" w:lineRule="auto"/>
            </w:pPr>
            <w:r/>
            <w:r>
              <w:rPr>
                <w:sz w:val="15"/>
              </w:rPr>
              <w:t>£159.05</w:t>
            </w:r>
          </w:p>
        </w:tc>
        <w:tc>
          <w:tcPr>
            <w:tcW w:type="dxa" w:w="1381"/>
            <w:tcMar>
              <w:top w:w="70" w:type="dxa"/>
              <w:start w:w="85" w:type="dxa"/>
              <w:bottom w:w="70" w:type="dxa"/>
              <w:end w:w="85" w:type="dxa"/>
            </w:tcMar>
            <w:vAlign w:val="center"/>
          </w:tcPr>
          <w:p>
            <w:pPr>
              <w:spacing w:before="0" w:after="0" w:line="240" w:lineRule="auto"/>
            </w:pPr>
            <w:r/>
            <w:r>
              <w:rPr>
                <w:sz w:val="15"/>
              </w:rPr>
              <w:t>£338.93</w:t>
            </w:r>
          </w:p>
        </w:tc>
      </w:tr>
      <w:tr>
        <w:tc>
          <w:tcPr>
            <w:tcW w:type="dxa" w:w="1381"/>
            <w:tcMar>
              <w:top w:w="70" w:type="dxa"/>
              <w:start w:w="85" w:type="dxa"/>
              <w:bottom w:w="70" w:type="dxa"/>
              <w:end w:w="85" w:type="dxa"/>
            </w:tcMar>
            <w:vAlign w:val="center"/>
          </w:tcPr>
          <w:p>
            <w:pPr>
              <w:spacing w:before="0" w:after="0" w:line="240" w:lineRule="auto"/>
            </w:pPr>
            <w:r/>
            <w:r>
              <w:rPr>
                <w:sz w:val="15"/>
              </w:rPr>
              <w:t>Full</w:t>
            </w:r>
          </w:p>
        </w:tc>
        <w:tc>
          <w:tcPr>
            <w:tcW w:type="dxa" w:w="1381"/>
            <w:tcMar>
              <w:top w:w="70" w:type="dxa"/>
              <w:start w:w="85" w:type="dxa"/>
              <w:bottom w:w="70" w:type="dxa"/>
              <w:end w:w="85" w:type="dxa"/>
            </w:tcMar>
            <w:vAlign w:val="center"/>
          </w:tcPr>
          <w:p>
            <w:pPr>
              <w:spacing w:before="0" w:after="0" w:line="240" w:lineRule="auto"/>
            </w:pPr>
            <w:r/>
            <w:r>
              <w:rPr>
                <w:b/>
                <w:sz w:val="15"/>
              </w:rPr>
              <w:t>10% pilot</w:t>
            </w:r>
          </w:p>
        </w:tc>
        <w:tc>
          <w:tcPr>
            <w:tcW w:type="dxa" w:w="1381"/>
            <w:tcMar>
              <w:top w:w="70" w:type="dxa"/>
              <w:start w:w="85" w:type="dxa"/>
              <w:bottom w:w="70" w:type="dxa"/>
              <w:end w:w="85" w:type="dxa"/>
            </w:tcMar>
            <w:vAlign w:val="center"/>
          </w:tcPr>
          <w:p>
            <w:pPr>
              <w:spacing w:before="0" w:after="0" w:line="240" w:lineRule="auto"/>
            </w:pPr>
            <w:r/>
            <w:r>
              <w:rPr>
                <w:sz w:val="15"/>
              </w:rPr>
              <w:t>9.61%</w:t>
            </w:r>
          </w:p>
        </w:tc>
        <w:tc>
          <w:tcPr>
            <w:tcW w:type="dxa" w:w="1381"/>
            <w:tcMar>
              <w:top w:w="70" w:type="dxa"/>
              <w:start w:w="85" w:type="dxa"/>
              <w:bottom w:w="70" w:type="dxa"/>
              <w:end w:w="85" w:type="dxa"/>
            </w:tcMar>
            <w:vAlign w:val="center"/>
          </w:tcPr>
          <w:p>
            <w:pPr>
              <w:spacing w:before="0" w:after="0" w:line="240" w:lineRule="auto"/>
            </w:pPr>
            <w:r/>
            <w:r>
              <w:rPr>
                <w:b/>
                <w:sz w:val="15"/>
              </w:rPr>
              <w:t>9.42%</w:t>
            </w:r>
          </w:p>
        </w:tc>
        <w:tc>
          <w:tcPr>
            <w:tcW w:type="dxa" w:w="1381"/>
            <w:tcMar>
              <w:top w:w="70" w:type="dxa"/>
              <w:start w:w="85" w:type="dxa"/>
              <w:bottom w:w="70" w:type="dxa"/>
              <w:end w:w="85" w:type="dxa"/>
            </w:tcMar>
            <w:vAlign w:val="center"/>
          </w:tcPr>
          <w:p>
            <w:pPr>
              <w:spacing w:before="0" w:after="0" w:line="240" w:lineRule="auto"/>
            </w:pPr>
            <w:r/>
            <w:r>
              <w:rPr>
                <w:sz w:val="15"/>
              </w:rPr>
              <w:t>9.40%</w:t>
            </w:r>
          </w:p>
        </w:tc>
        <w:tc>
          <w:tcPr>
            <w:tcW w:type="dxa" w:w="1381"/>
            <w:tcMar>
              <w:top w:w="70" w:type="dxa"/>
              <w:start w:w="85" w:type="dxa"/>
              <w:bottom w:w="70" w:type="dxa"/>
              <w:end w:w="85" w:type="dxa"/>
            </w:tcMar>
            <w:vAlign w:val="center"/>
          </w:tcPr>
          <w:p>
            <w:pPr>
              <w:spacing w:before="0" w:after="0" w:line="240" w:lineRule="auto"/>
            </w:pPr>
            <w:r/>
            <w:r>
              <w:rPr>
                <w:b/>
                <w:sz w:val="15"/>
              </w:rPr>
              <w:t>0.14 pp</w:t>
            </w:r>
          </w:p>
        </w:tc>
        <w:tc>
          <w:tcPr>
            <w:tcW w:type="dxa" w:w="1381"/>
            <w:tcMar>
              <w:top w:w="70" w:type="dxa"/>
              <w:start w:w="85" w:type="dxa"/>
              <w:bottom w:w="70" w:type="dxa"/>
              <w:end w:w="85" w:type="dxa"/>
            </w:tcMar>
            <w:vAlign w:val="center"/>
          </w:tcPr>
          <w:p>
            <w:pPr>
              <w:spacing w:before="0" w:after="0" w:line="240" w:lineRule="auto"/>
            </w:pPr>
            <w:r/>
            <w:r>
              <w:rPr>
                <w:sz w:val="15"/>
              </w:rPr>
              <w:t>−19.11%</w:t>
            </w:r>
          </w:p>
        </w:tc>
        <w:tc>
          <w:tcPr>
            <w:tcW w:type="dxa" w:w="1381"/>
            <w:tcMar>
              <w:top w:w="70" w:type="dxa"/>
              <w:start w:w="85" w:type="dxa"/>
              <w:bottom w:w="70" w:type="dxa"/>
              <w:end w:w="85" w:type="dxa"/>
            </w:tcMar>
            <w:vAlign w:val="center"/>
          </w:tcPr>
          <w:p>
            <w:pPr>
              <w:spacing w:before="0" w:after="0" w:line="240" w:lineRule="auto"/>
            </w:pPr>
            <w:r/>
            <w:r>
              <w:rPr>
                <w:b/>
                <w:sz w:val="15"/>
              </w:rPr>
              <w:t>3.58%</w:t>
            </w:r>
          </w:p>
        </w:tc>
        <w:tc>
          <w:tcPr>
            <w:tcW w:type="dxa" w:w="1381"/>
            <w:tcMar>
              <w:top w:w="70" w:type="dxa"/>
              <w:start w:w="85" w:type="dxa"/>
              <w:bottom w:w="70" w:type="dxa"/>
              <w:end w:w="85" w:type="dxa"/>
            </w:tcMar>
            <w:vAlign w:val="center"/>
          </w:tcPr>
          <w:p>
            <w:pPr>
              <w:spacing w:before="0" w:after="0" w:line="240" w:lineRule="auto"/>
            </w:pPr>
            <w:r/>
            <w:r>
              <w:rPr>
                <w:sz w:val="15"/>
              </w:rPr>
              <w:t>0.68×</w:t>
            </w:r>
          </w:p>
        </w:tc>
        <w:tc>
          <w:tcPr>
            <w:tcW w:type="dxa" w:w="1381"/>
            <w:tcMar>
              <w:top w:w="70" w:type="dxa"/>
              <w:start w:w="85" w:type="dxa"/>
              <w:bottom w:w="70" w:type="dxa"/>
              <w:end w:w="85" w:type="dxa"/>
            </w:tcMar>
            <w:vAlign w:val="center"/>
          </w:tcPr>
          <w:p>
            <w:pPr>
              <w:spacing w:before="0" w:after="0" w:line="240" w:lineRule="auto"/>
            </w:pPr>
            <w:r/>
            <w:r>
              <w:rPr>
                <w:sz w:val="15"/>
              </w:rPr>
              <w:t>£769.97</w:t>
            </w:r>
          </w:p>
        </w:tc>
        <w:tc>
          <w:tcPr>
            <w:tcW w:type="dxa" w:w="1381"/>
            <w:tcMar>
              <w:top w:w="70" w:type="dxa"/>
              <w:start w:w="85" w:type="dxa"/>
              <w:bottom w:w="70" w:type="dxa"/>
              <w:end w:w="85" w:type="dxa"/>
            </w:tcMar>
            <w:vAlign w:val="center"/>
          </w:tcPr>
          <w:p>
            <w:pPr>
              <w:spacing w:before="0" w:after="0" w:line="240" w:lineRule="auto"/>
            </w:pPr>
            <w:r/>
            <w:r>
              <w:rPr>
                <w:sz w:val="15"/>
              </w:rPr>
              <w:t>£1,355.46</w:t>
            </w:r>
          </w:p>
        </w:tc>
      </w:tr>
      <w:tr>
        <w:tc>
          <w:tcPr>
            <w:tcW w:type="dxa" w:w="1381"/>
            <w:tcMar>
              <w:top w:w="70" w:type="dxa"/>
              <w:start w:w="85" w:type="dxa"/>
              <w:bottom w:w="70" w:type="dxa"/>
              <w:end w:w="85" w:type="dxa"/>
            </w:tcMar>
            <w:vAlign w:val="center"/>
          </w:tcPr>
          <w:p>
            <w:pPr>
              <w:spacing w:before="0" w:after="0" w:line="240" w:lineRule="auto"/>
            </w:pPr>
            <w:r/>
            <w:r>
              <w:rPr>
                <w:sz w:val="15"/>
              </w:rPr>
              <w:t>Full</w:t>
            </w:r>
          </w:p>
        </w:tc>
        <w:tc>
          <w:tcPr>
            <w:tcW w:type="dxa" w:w="1381"/>
            <w:tcMar>
              <w:top w:w="70" w:type="dxa"/>
              <w:start w:w="85" w:type="dxa"/>
              <w:bottom w:w="70" w:type="dxa"/>
              <w:end w:w="85" w:type="dxa"/>
            </w:tcMar>
            <w:vAlign w:val="center"/>
          </w:tcPr>
          <w:p>
            <w:pPr>
              <w:spacing w:before="0" w:after="0" w:line="240" w:lineRule="auto"/>
            </w:pPr>
            <w:r/>
            <w:r>
              <w:rPr>
                <w:sz w:val="15"/>
              </w:rPr>
              <w:t>15% comparator</w:t>
            </w:r>
          </w:p>
        </w:tc>
        <w:tc>
          <w:tcPr>
            <w:tcW w:type="dxa" w:w="1381"/>
            <w:tcMar>
              <w:top w:w="70" w:type="dxa"/>
              <w:start w:w="85" w:type="dxa"/>
              <w:bottom w:w="70" w:type="dxa"/>
              <w:end w:w="85" w:type="dxa"/>
            </w:tcMar>
            <w:vAlign w:val="center"/>
          </w:tcPr>
          <w:p>
            <w:pPr>
              <w:spacing w:before="0" w:after="0" w:line="240" w:lineRule="auto"/>
            </w:pPr>
            <w:r/>
            <w:r>
              <w:rPr>
                <w:sz w:val="15"/>
              </w:rPr>
              <w:t>9.77%</w:t>
            </w:r>
          </w:p>
        </w:tc>
        <w:tc>
          <w:tcPr>
            <w:tcW w:type="dxa" w:w="1381"/>
            <w:tcMar>
              <w:top w:w="70" w:type="dxa"/>
              <w:start w:w="85" w:type="dxa"/>
              <w:bottom w:w="70" w:type="dxa"/>
              <w:end w:w="85" w:type="dxa"/>
            </w:tcMar>
            <w:vAlign w:val="center"/>
          </w:tcPr>
          <w:p>
            <w:pPr>
              <w:spacing w:before="0" w:after="0" w:line="240" w:lineRule="auto"/>
            </w:pPr>
            <w:r/>
            <w:r>
              <w:rPr>
                <w:sz w:val="15"/>
              </w:rPr>
              <w:t>9.52%</w:t>
            </w:r>
          </w:p>
        </w:tc>
        <w:tc>
          <w:tcPr>
            <w:tcW w:type="dxa" w:w="1381"/>
            <w:tcMar>
              <w:top w:w="70" w:type="dxa"/>
              <w:start w:w="85" w:type="dxa"/>
              <w:bottom w:w="70" w:type="dxa"/>
              <w:end w:w="85" w:type="dxa"/>
            </w:tcMar>
            <w:vAlign w:val="center"/>
          </w:tcPr>
          <w:p>
            <w:pPr>
              <w:spacing w:before="0" w:after="0" w:line="240" w:lineRule="auto"/>
            </w:pPr>
            <w:r/>
            <w:r>
              <w:rPr>
                <w:sz w:val="15"/>
              </w:rPr>
              <w:t>9.50%</w:t>
            </w:r>
          </w:p>
        </w:tc>
        <w:tc>
          <w:tcPr>
            <w:tcW w:type="dxa" w:w="1381"/>
            <w:tcMar>
              <w:top w:w="70" w:type="dxa"/>
              <w:start w:w="85" w:type="dxa"/>
              <w:bottom w:w="70" w:type="dxa"/>
              <w:end w:w="85" w:type="dxa"/>
            </w:tcMar>
            <w:vAlign w:val="center"/>
          </w:tcPr>
          <w:p>
            <w:pPr>
              <w:spacing w:before="0" w:after="0" w:line="240" w:lineRule="auto"/>
            </w:pPr>
            <w:r/>
            <w:r>
              <w:rPr>
                <w:sz w:val="15"/>
              </w:rPr>
              <w:t>0.24 pp</w:t>
            </w:r>
          </w:p>
        </w:tc>
        <w:tc>
          <w:tcPr>
            <w:tcW w:type="dxa" w:w="1381"/>
            <w:tcMar>
              <w:top w:w="70" w:type="dxa"/>
              <w:start w:w="85" w:type="dxa"/>
              <w:bottom w:w="70" w:type="dxa"/>
              <w:end w:w="85" w:type="dxa"/>
            </w:tcMar>
            <w:vAlign w:val="center"/>
          </w:tcPr>
          <w:p>
            <w:pPr>
              <w:spacing w:before="0" w:after="0" w:line="240" w:lineRule="auto"/>
            </w:pPr>
            <w:r/>
            <w:r>
              <w:rPr>
                <w:sz w:val="15"/>
              </w:rPr>
              <w:t>−18.88%</w:t>
            </w:r>
          </w:p>
        </w:tc>
        <w:tc>
          <w:tcPr>
            <w:tcW w:type="dxa" w:w="1381"/>
            <w:tcMar>
              <w:top w:w="70" w:type="dxa"/>
              <w:start w:w="85" w:type="dxa"/>
              <w:bottom w:w="70" w:type="dxa"/>
              <w:end w:w="85" w:type="dxa"/>
            </w:tcMar>
            <w:vAlign w:val="center"/>
          </w:tcPr>
          <w:p>
            <w:pPr>
              <w:spacing w:before="0" w:after="0" w:line="240" w:lineRule="auto"/>
            </w:pPr>
            <w:r/>
            <w:r>
              <w:rPr>
                <w:sz w:val="15"/>
              </w:rPr>
              <w:t>3.65%</w:t>
            </w:r>
          </w:p>
        </w:tc>
        <w:tc>
          <w:tcPr>
            <w:tcW w:type="dxa" w:w="1381"/>
            <w:tcMar>
              <w:top w:w="70" w:type="dxa"/>
              <w:start w:w="85" w:type="dxa"/>
              <w:bottom w:w="70" w:type="dxa"/>
              <w:end w:w="85" w:type="dxa"/>
            </w:tcMar>
            <w:vAlign w:val="center"/>
          </w:tcPr>
          <w:p>
            <w:pPr>
              <w:spacing w:before="0" w:after="0" w:line="240" w:lineRule="auto"/>
            </w:pPr>
            <w:r/>
            <w:r>
              <w:rPr>
                <w:sz w:val="15"/>
              </w:rPr>
              <w:t>0.96×</w:t>
            </w:r>
          </w:p>
        </w:tc>
        <w:tc>
          <w:tcPr>
            <w:tcW w:type="dxa" w:w="1381"/>
            <w:tcMar>
              <w:top w:w="70" w:type="dxa"/>
              <w:start w:w="85" w:type="dxa"/>
              <w:bottom w:w="70" w:type="dxa"/>
              <w:end w:w="85" w:type="dxa"/>
            </w:tcMar>
            <w:vAlign w:val="center"/>
          </w:tcPr>
          <w:p>
            <w:pPr>
              <w:spacing w:before="0" w:after="0" w:line="240" w:lineRule="auto"/>
            </w:pPr>
            <w:r/>
            <w:r>
              <w:rPr>
                <w:sz w:val="15"/>
              </w:rPr>
              <w:t>£1,077.44</w:t>
            </w:r>
          </w:p>
        </w:tc>
        <w:tc>
          <w:tcPr>
            <w:tcW w:type="dxa" w:w="1381"/>
            <w:tcMar>
              <w:top w:w="70" w:type="dxa"/>
              <w:start w:w="85" w:type="dxa"/>
              <w:bottom w:w="70" w:type="dxa"/>
              <w:end w:w="85" w:type="dxa"/>
            </w:tcMar>
            <w:vAlign w:val="center"/>
          </w:tcPr>
          <w:p>
            <w:pPr>
              <w:spacing w:before="0" w:after="0" w:line="240" w:lineRule="auto"/>
            </w:pPr>
            <w:r/>
            <w:r>
              <w:rPr>
                <w:sz w:val="15"/>
              </w:rPr>
              <w:t>£1,662.92</w:t>
            </w:r>
          </w:p>
        </w:tc>
      </w:tr>
      <w:tr>
        <w:tc>
          <w:tcPr>
            <w:tcW w:type="dxa" w:w="1381"/>
            <w:tcMar>
              <w:top w:w="70" w:type="dxa"/>
              <w:start w:w="85" w:type="dxa"/>
              <w:bottom w:w="70" w:type="dxa"/>
              <w:end w:w="85" w:type="dxa"/>
            </w:tcMar>
            <w:vAlign w:val="center"/>
          </w:tcPr>
          <w:p>
            <w:pPr>
              <w:spacing w:before="0" w:after="0" w:line="240" w:lineRule="auto"/>
            </w:pPr>
            <w:r/>
            <w:r>
              <w:rPr>
                <w:sz w:val="15"/>
              </w:rPr>
              <w:t>Full</w:t>
            </w:r>
          </w:p>
        </w:tc>
        <w:tc>
          <w:tcPr>
            <w:tcW w:type="dxa" w:w="1381"/>
            <w:tcMar>
              <w:top w:w="70" w:type="dxa"/>
              <w:start w:w="85" w:type="dxa"/>
              <w:bottom w:w="70" w:type="dxa"/>
              <w:end w:w="85" w:type="dxa"/>
            </w:tcMar>
            <w:vAlign w:val="center"/>
          </w:tcPr>
          <w:p>
            <w:pPr>
              <w:spacing w:before="0" w:after="0" w:line="240" w:lineRule="auto"/>
            </w:pPr>
            <w:r/>
            <w:r>
              <w:rPr>
                <w:sz w:val="15"/>
              </w:rPr>
              <w:t>25% comparator</w:t>
            </w:r>
          </w:p>
        </w:tc>
        <w:tc>
          <w:tcPr>
            <w:tcW w:type="dxa" w:w="1381"/>
            <w:tcMar>
              <w:top w:w="70" w:type="dxa"/>
              <w:start w:w="85" w:type="dxa"/>
              <w:bottom w:w="70" w:type="dxa"/>
              <w:end w:w="85" w:type="dxa"/>
            </w:tcMar>
            <w:vAlign w:val="center"/>
          </w:tcPr>
          <w:p>
            <w:pPr>
              <w:spacing w:before="0" w:after="0" w:line="240" w:lineRule="auto"/>
            </w:pPr>
            <w:r/>
            <w:r>
              <w:rPr>
                <w:sz w:val="15"/>
              </w:rPr>
              <w:t>10.08%</w:t>
            </w:r>
          </w:p>
        </w:tc>
        <w:tc>
          <w:tcPr>
            <w:tcW w:type="dxa" w:w="1381"/>
            <w:tcMar>
              <w:top w:w="70" w:type="dxa"/>
              <w:start w:w="85" w:type="dxa"/>
              <w:bottom w:w="70" w:type="dxa"/>
              <w:end w:w="85" w:type="dxa"/>
            </w:tcMar>
            <w:vAlign w:val="center"/>
          </w:tcPr>
          <w:p>
            <w:pPr>
              <w:spacing w:before="0" w:after="0" w:line="240" w:lineRule="auto"/>
            </w:pPr>
            <w:r/>
            <w:r>
              <w:rPr>
                <w:sz w:val="15"/>
              </w:rPr>
              <w:t>9.71%</w:t>
            </w:r>
          </w:p>
        </w:tc>
        <w:tc>
          <w:tcPr>
            <w:tcW w:type="dxa" w:w="1381"/>
            <w:tcMar>
              <w:top w:w="70" w:type="dxa"/>
              <w:start w:w="85" w:type="dxa"/>
              <w:bottom w:w="70" w:type="dxa"/>
              <w:end w:w="85" w:type="dxa"/>
            </w:tcMar>
            <w:vAlign w:val="center"/>
          </w:tcPr>
          <w:p>
            <w:pPr>
              <w:spacing w:before="0" w:after="0" w:line="240" w:lineRule="auto"/>
            </w:pPr>
            <w:r/>
            <w:r>
              <w:rPr>
                <w:sz w:val="15"/>
              </w:rPr>
              <w:t>9.69%</w:t>
            </w:r>
          </w:p>
        </w:tc>
        <w:tc>
          <w:tcPr>
            <w:tcW w:type="dxa" w:w="1381"/>
            <w:tcMar>
              <w:top w:w="70" w:type="dxa"/>
              <w:start w:w="85" w:type="dxa"/>
              <w:bottom w:w="70" w:type="dxa"/>
              <w:end w:w="85" w:type="dxa"/>
            </w:tcMar>
            <w:vAlign w:val="center"/>
          </w:tcPr>
          <w:p>
            <w:pPr>
              <w:spacing w:before="0" w:after="0" w:line="240" w:lineRule="auto"/>
            </w:pPr>
            <w:r/>
            <w:r>
              <w:rPr>
                <w:sz w:val="15"/>
              </w:rPr>
              <w:t>0.43 pp</w:t>
            </w:r>
          </w:p>
        </w:tc>
        <w:tc>
          <w:tcPr>
            <w:tcW w:type="dxa" w:w="1381"/>
            <w:tcMar>
              <w:top w:w="70" w:type="dxa"/>
              <w:start w:w="85" w:type="dxa"/>
              <w:bottom w:w="70" w:type="dxa"/>
              <w:end w:w="85" w:type="dxa"/>
            </w:tcMar>
            <w:vAlign w:val="center"/>
          </w:tcPr>
          <w:p>
            <w:pPr>
              <w:spacing w:before="0" w:after="0" w:line="240" w:lineRule="auto"/>
            </w:pPr>
            <w:r/>
            <w:r>
              <w:rPr>
                <w:b/>
                <w:sz w:val="15"/>
              </w:rPr>
              <w:t>−18.43%</w:t>
            </w:r>
          </w:p>
        </w:tc>
        <w:tc>
          <w:tcPr>
            <w:tcW w:type="dxa" w:w="1381"/>
            <w:tcMar>
              <w:top w:w="70" w:type="dxa"/>
              <w:start w:w="85" w:type="dxa"/>
              <w:bottom w:w="70" w:type="dxa"/>
              <w:end w:w="85" w:type="dxa"/>
            </w:tcMar>
            <w:vAlign w:val="center"/>
          </w:tcPr>
          <w:p>
            <w:pPr>
              <w:spacing w:before="0" w:after="0" w:line="240" w:lineRule="auto"/>
            </w:pPr>
            <w:r/>
            <w:r>
              <w:rPr>
                <w:sz w:val="15"/>
              </w:rPr>
              <w:t>3.86%</w:t>
            </w:r>
          </w:p>
        </w:tc>
        <w:tc>
          <w:tcPr>
            <w:tcW w:type="dxa" w:w="1381"/>
            <w:tcMar>
              <w:top w:w="70" w:type="dxa"/>
              <w:start w:w="85" w:type="dxa"/>
              <w:bottom w:w="70" w:type="dxa"/>
              <w:end w:w="85" w:type="dxa"/>
            </w:tcMar>
            <w:vAlign w:val="center"/>
          </w:tcPr>
          <w:p>
            <w:pPr>
              <w:spacing w:before="0" w:after="0" w:line="240" w:lineRule="auto"/>
            </w:pPr>
            <w:r/>
            <w:r>
              <w:rPr>
                <w:sz w:val="15"/>
              </w:rPr>
              <w:t>1.50×</w:t>
            </w:r>
          </w:p>
        </w:tc>
        <w:tc>
          <w:tcPr>
            <w:tcW w:type="dxa" w:w="1381"/>
            <w:tcMar>
              <w:top w:w="70" w:type="dxa"/>
              <w:start w:w="85" w:type="dxa"/>
              <w:bottom w:w="70" w:type="dxa"/>
              <w:end w:w="85" w:type="dxa"/>
            </w:tcMar>
            <w:vAlign w:val="center"/>
          </w:tcPr>
          <w:p>
            <w:pPr>
              <w:spacing w:before="0" w:after="0" w:line="240" w:lineRule="auto"/>
            </w:pPr>
            <w:r/>
            <w:r>
              <w:rPr>
                <w:sz w:val="15"/>
              </w:rPr>
              <w:t>£1,691.80</w:t>
            </w:r>
          </w:p>
        </w:tc>
        <w:tc>
          <w:tcPr>
            <w:tcW w:type="dxa" w:w="1381"/>
            <w:tcMar>
              <w:top w:w="70" w:type="dxa"/>
              <w:start w:w="85" w:type="dxa"/>
              <w:bottom w:w="70" w:type="dxa"/>
              <w:end w:w="85" w:type="dxa"/>
            </w:tcMar>
            <w:vAlign w:val="center"/>
          </w:tcPr>
          <w:p>
            <w:pPr>
              <w:spacing w:before="0" w:after="0" w:line="240" w:lineRule="auto"/>
            </w:pPr>
            <w:r/>
            <w:r>
              <w:rPr>
                <w:sz w:val="15"/>
              </w:rPr>
              <w:t>£2,277.29</w:t>
            </w:r>
          </w:p>
        </w:tc>
      </w:tr>
      <w:tr>
        <w:tc>
          <w:tcPr>
            <w:tcW w:type="dxa" w:w="1381"/>
            <w:tcMar>
              <w:top w:w="70" w:type="dxa"/>
              <w:start w:w="85" w:type="dxa"/>
              <w:bottom w:w="70" w:type="dxa"/>
              <w:end w:w="85" w:type="dxa"/>
            </w:tcMar>
            <w:vAlign w:val="center"/>
          </w:tcPr>
          <w:p>
            <w:pPr>
              <w:spacing w:before="0" w:after="0" w:line="240" w:lineRule="auto"/>
            </w:pPr>
            <w:r/>
            <w:r>
              <w:rPr>
                <w:sz w:val="15"/>
              </w:rPr>
              <w:t>Latest 5y</w:t>
            </w:r>
          </w:p>
        </w:tc>
        <w:tc>
          <w:tcPr>
            <w:tcW w:type="dxa" w:w="1381"/>
            <w:tcMar>
              <w:top w:w="70" w:type="dxa"/>
              <w:start w:w="85" w:type="dxa"/>
              <w:bottom w:w="70" w:type="dxa"/>
              <w:end w:w="85" w:type="dxa"/>
            </w:tcMar>
            <w:vAlign w:val="center"/>
          </w:tcPr>
          <w:p>
            <w:pPr>
              <w:spacing w:before="0" w:after="0" w:line="240" w:lineRule="auto"/>
            </w:pPr>
            <w:r/>
            <w:r>
              <w:rPr>
                <w:sz w:val="15"/>
              </w:rPr>
              <w:t>0% control</w:t>
            </w:r>
          </w:p>
        </w:tc>
        <w:tc>
          <w:tcPr>
            <w:tcW w:type="dxa" w:w="1381"/>
            <w:tcMar>
              <w:top w:w="70" w:type="dxa"/>
              <w:start w:w="85" w:type="dxa"/>
              <w:bottom w:w="70" w:type="dxa"/>
              <w:end w:w="85" w:type="dxa"/>
            </w:tcMar>
            <w:vAlign w:val="center"/>
          </w:tcPr>
          <w:p>
            <w:pPr>
              <w:spacing w:before="0" w:after="0" w:line="240" w:lineRule="auto"/>
            </w:pPr>
            <w:r/>
            <w:r>
              <w:rPr>
                <w:sz w:val="15"/>
              </w:rPr>
              <w:t>9.58%</w:t>
            </w:r>
          </w:p>
        </w:tc>
        <w:tc>
          <w:tcPr>
            <w:tcW w:type="dxa" w:w="1381"/>
            <w:tcMar>
              <w:top w:w="70" w:type="dxa"/>
              <w:start w:w="85" w:type="dxa"/>
              <w:bottom w:w="70" w:type="dxa"/>
              <w:end w:w="85" w:type="dxa"/>
            </w:tcMar>
            <w:vAlign w:val="center"/>
          </w:tcPr>
          <w:p>
            <w:pPr>
              <w:spacing w:before="0" w:after="0" w:line="240" w:lineRule="auto"/>
            </w:pPr>
            <w:r/>
            <w:r>
              <w:rPr>
                <w:sz w:val="15"/>
              </w:rPr>
              <w:t>9.57%</w:t>
            </w:r>
          </w:p>
        </w:tc>
        <w:tc>
          <w:tcPr>
            <w:tcW w:type="dxa" w:w="1381"/>
            <w:tcMar>
              <w:top w:w="70" w:type="dxa"/>
              <w:start w:w="85" w:type="dxa"/>
              <w:bottom w:w="70" w:type="dxa"/>
              <w:end w:w="85" w:type="dxa"/>
            </w:tcMar>
            <w:vAlign w:val="center"/>
          </w:tcPr>
          <w:p>
            <w:pPr>
              <w:spacing w:before="0" w:after="0" w:line="240" w:lineRule="auto"/>
            </w:pPr>
            <w:r/>
            <w:r>
              <w:rPr>
                <w:sz w:val="15"/>
              </w:rPr>
              <w:t>9.55%</w:t>
            </w:r>
          </w:p>
        </w:tc>
        <w:tc>
          <w:tcPr>
            <w:tcW w:type="dxa" w:w="1381"/>
            <w:tcMar>
              <w:top w:w="70" w:type="dxa"/>
              <w:start w:w="85" w:type="dxa"/>
              <w:bottom w:w="70" w:type="dxa"/>
              <w:end w:w="85" w:type="dxa"/>
            </w:tcMar>
            <w:vAlign w:val="center"/>
          </w:tcPr>
          <w:p>
            <w:pPr>
              <w:spacing w:before="0" w:after="0" w:line="240" w:lineRule="auto"/>
            </w:pPr>
            <w:r/>
            <w:r>
              <w:rPr>
                <w:sz w:val="15"/>
              </w:rPr>
              <w:t>0.00 pp</w:t>
            </w:r>
          </w:p>
        </w:tc>
        <w:tc>
          <w:tcPr>
            <w:tcW w:type="dxa" w:w="1381"/>
            <w:tcMar>
              <w:top w:w="70" w:type="dxa"/>
              <w:start w:w="85" w:type="dxa"/>
              <w:bottom w:w="70" w:type="dxa"/>
              <w:end w:w="85" w:type="dxa"/>
            </w:tcMar>
            <w:vAlign w:val="center"/>
          </w:tcPr>
          <w:p>
            <w:pPr>
              <w:spacing w:before="0" w:after="0" w:line="240" w:lineRule="auto"/>
            </w:pPr>
            <w:r/>
            <w:r>
              <w:rPr>
                <w:sz w:val="15"/>
              </w:rPr>
              <w:t>−13.90%</w:t>
            </w:r>
          </w:p>
        </w:tc>
        <w:tc>
          <w:tcPr>
            <w:tcW w:type="dxa" w:w="1381"/>
            <w:tcMar>
              <w:top w:w="70" w:type="dxa"/>
              <w:start w:w="85" w:type="dxa"/>
              <w:bottom w:w="70" w:type="dxa"/>
              <w:end w:w="85" w:type="dxa"/>
            </w:tcMar>
            <w:vAlign w:val="center"/>
          </w:tcPr>
          <w:p>
            <w:pPr>
              <w:spacing w:before="0" w:after="0" w:line="240" w:lineRule="auto"/>
            </w:pPr>
            <w:r/>
            <w:r>
              <w:rPr>
                <w:b/>
                <w:sz w:val="15"/>
              </w:rPr>
              <w:t>3.35%</w:t>
            </w:r>
          </w:p>
        </w:tc>
        <w:tc>
          <w:tcPr>
            <w:tcW w:type="dxa" w:w="1381"/>
            <w:tcMar>
              <w:top w:w="70" w:type="dxa"/>
              <w:start w:w="85" w:type="dxa"/>
              <w:bottom w:w="70" w:type="dxa"/>
              <w:end w:w="85" w:type="dxa"/>
            </w:tcMar>
            <w:vAlign w:val="center"/>
          </w:tcPr>
          <w:p>
            <w:pPr>
              <w:spacing w:before="0" w:after="0" w:line="240" w:lineRule="auto"/>
            </w:pPr>
            <w:r/>
            <w:r>
              <w:rPr>
                <w:sz w:val="15"/>
              </w:rPr>
              <w:t>0.06×</w:t>
            </w:r>
          </w:p>
        </w:tc>
        <w:tc>
          <w:tcPr>
            <w:tcW w:type="dxa" w:w="1381"/>
            <w:tcMar>
              <w:top w:w="70" w:type="dxa"/>
              <w:start w:w="85" w:type="dxa"/>
              <w:bottom w:w="70" w:type="dxa"/>
              <w:end w:w="85" w:type="dxa"/>
            </w:tcMar>
            <w:vAlign w:val="center"/>
          </w:tcPr>
          <w:p>
            <w:pPr>
              <w:spacing w:before="0" w:after="0" w:line="240" w:lineRule="auto"/>
            </w:pPr>
            <w:r/>
            <w:r>
              <w:rPr>
                <w:sz w:val="15"/>
              </w:rPr>
              <w:t>£64.84</w:t>
            </w:r>
          </w:p>
        </w:tc>
        <w:tc>
          <w:tcPr>
            <w:tcW w:type="dxa" w:w="1381"/>
            <w:tcMar>
              <w:top w:w="70" w:type="dxa"/>
              <w:start w:w="85" w:type="dxa"/>
              <w:bottom w:w="70" w:type="dxa"/>
              <w:end w:w="85" w:type="dxa"/>
            </w:tcMar>
            <w:vAlign w:val="center"/>
          </w:tcPr>
          <w:p>
            <w:pPr>
              <w:spacing w:before="0" w:after="0" w:line="240" w:lineRule="auto"/>
            </w:pPr>
            <w:r/>
            <w:r>
              <w:rPr>
                <w:sz w:val="15"/>
              </w:rPr>
              <w:t>£244.72</w:t>
            </w:r>
          </w:p>
        </w:tc>
      </w:tr>
      <w:tr>
        <w:tc>
          <w:tcPr>
            <w:tcW w:type="dxa" w:w="1381"/>
            <w:tcMar>
              <w:top w:w="70" w:type="dxa"/>
              <w:start w:w="85" w:type="dxa"/>
              <w:bottom w:w="70" w:type="dxa"/>
              <w:end w:w="85" w:type="dxa"/>
            </w:tcMar>
            <w:vAlign w:val="center"/>
          </w:tcPr>
          <w:p>
            <w:pPr>
              <w:spacing w:before="0" w:after="0" w:line="240" w:lineRule="auto"/>
            </w:pPr>
            <w:r/>
            <w:r>
              <w:rPr>
                <w:sz w:val="15"/>
              </w:rPr>
              <w:t>Latest 5y</w:t>
            </w:r>
          </w:p>
        </w:tc>
        <w:tc>
          <w:tcPr>
            <w:tcW w:type="dxa" w:w="1381"/>
            <w:tcMar>
              <w:top w:w="70" w:type="dxa"/>
              <w:start w:w="85" w:type="dxa"/>
              <w:bottom w:w="70" w:type="dxa"/>
              <w:end w:w="85" w:type="dxa"/>
            </w:tcMar>
            <w:vAlign w:val="center"/>
          </w:tcPr>
          <w:p>
            <w:pPr>
              <w:spacing w:before="0" w:after="0" w:line="240" w:lineRule="auto"/>
            </w:pPr>
            <w:r/>
            <w:r>
              <w:rPr>
                <w:b/>
                <w:sz w:val="15"/>
              </w:rPr>
              <w:t>10% pilot</w:t>
            </w:r>
          </w:p>
        </w:tc>
        <w:tc>
          <w:tcPr>
            <w:tcW w:type="dxa" w:w="1381"/>
            <w:tcMar>
              <w:top w:w="70" w:type="dxa"/>
              <w:start w:w="85" w:type="dxa"/>
              <w:bottom w:w="70" w:type="dxa"/>
              <w:end w:w="85" w:type="dxa"/>
            </w:tcMar>
            <w:vAlign w:val="center"/>
          </w:tcPr>
          <w:p>
            <w:pPr>
              <w:spacing w:before="0" w:after="0" w:line="240" w:lineRule="auto"/>
            </w:pPr>
            <w:r/>
            <w:r>
              <w:rPr>
                <w:sz w:val="15"/>
              </w:rPr>
              <w:t>10.01%</w:t>
            </w:r>
          </w:p>
        </w:tc>
        <w:tc>
          <w:tcPr>
            <w:tcW w:type="dxa" w:w="1381"/>
            <w:tcMar>
              <w:top w:w="70" w:type="dxa"/>
              <w:start w:w="85" w:type="dxa"/>
              <w:bottom w:w="70" w:type="dxa"/>
              <w:end w:w="85" w:type="dxa"/>
            </w:tcMar>
            <w:vAlign w:val="center"/>
          </w:tcPr>
          <w:p>
            <w:pPr>
              <w:spacing w:before="0" w:after="0" w:line="240" w:lineRule="auto"/>
            </w:pPr>
            <w:r/>
            <w:r>
              <w:rPr>
                <w:b/>
                <w:sz w:val="15"/>
              </w:rPr>
              <w:t>9.80%</w:t>
            </w:r>
          </w:p>
        </w:tc>
        <w:tc>
          <w:tcPr>
            <w:tcW w:type="dxa" w:w="1381"/>
            <w:tcMar>
              <w:top w:w="70" w:type="dxa"/>
              <w:start w:w="85" w:type="dxa"/>
              <w:bottom w:w="70" w:type="dxa"/>
              <w:end w:w="85" w:type="dxa"/>
            </w:tcMar>
            <w:vAlign w:val="center"/>
          </w:tcPr>
          <w:p>
            <w:pPr>
              <w:spacing w:before="0" w:after="0" w:line="240" w:lineRule="auto"/>
            </w:pPr>
            <w:r/>
            <w:r>
              <w:rPr>
                <w:sz w:val="15"/>
              </w:rPr>
              <w:t>9.78%</w:t>
            </w:r>
          </w:p>
        </w:tc>
        <w:tc>
          <w:tcPr>
            <w:tcW w:type="dxa" w:w="1381"/>
            <w:tcMar>
              <w:top w:w="70" w:type="dxa"/>
              <w:start w:w="85" w:type="dxa"/>
              <w:bottom w:w="70" w:type="dxa"/>
              <w:end w:w="85" w:type="dxa"/>
            </w:tcMar>
            <w:vAlign w:val="center"/>
          </w:tcPr>
          <w:p>
            <w:pPr>
              <w:spacing w:before="0" w:after="0" w:line="240" w:lineRule="auto"/>
            </w:pPr>
            <w:r/>
            <w:r>
              <w:rPr>
                <w:b/>
                <w:sz w:val="15"/>
              </w:rPr>
              <w:t>0.23 pp</w:t>
            </w:r>
          </w:p>
        </w:tc>
        <w:tc>
          <w:tcPr>
            <w:tcW w:type="dxa" w:w="1381"/>
            <w:tcMar>
              <w:top w:w="70" w:type="dxa"/>
              <w:start w:w="85" w:type="dxa"/>
              <w:bottom w:w="70" w:type="dxa"/>
              <w:end w:w="85" w:type="dxa"/>
            </w:tcMar>
            <w:vAlign w:val="center"/>
          </w:tcPr>
          <w:p>
            <w:pPr>
              <w:spacing w:before="0" w:after="0" w:line="240" w:lineRule="auto"/>
            </w:pPr>
            <w:r/>
            <w:r>
              <w:rPr>
                <w:sz w:val="15"/>
              </w:rPr>
              <w:t>−13.51%</w:t>
            </w:r>
          </w:p>
        </w:tc>
        <w:tc>
          <w:tcPr>
            <w:tcW w:type="dxa" w:w="1381"/>
            <w:tcMar>
              <w:top w:w="70" w:type="dxa"/>
              <w:start w:w="85" w:type="dxa"/>
              <w:bottom w:w="70" w:type="dxa"/>
              <w:end w:w="85" w:type="dxa"/>
            </w:tcMar>
            <w:vAlign w:val="center"/>
          </w:tcPr>
          <w:p>
            <w:pPr>
              <w:spacing w:before="0" w:after="0" w:line="240" w:lineRule="auto"/>
            </w:pPr>
            <w:r/>
            <w:r>
              <w:rPr>
                <w:sz w:val="15"/>
              </w:rPr>
              <w:t>3.51%</w:t>
            </w:r>
          </w:p>
        </w:tc>
        <w:tc>
          <w:tcPr>
            <w:tcW w:type="dxa" w:w="1381"/>
            <w:tcMar>
              <w:top w:w="70" w:type="dxa"/>
              <w:start w:w="85" w:type="dxa"/>
              <w:bottom w:w="70" w:type="dxa"/>
              <w:end w:w="85" w:type="dxa"/>
            </w:tcMar>
            <w:vAlign w:val="center"/>
          </w:tcPr>
          <w:p>
            <w:pPr>
              <w:spacing w:before="0" w:after="0" w:line="240" w:lineRule="auto"/>
            </w:pPr>
            <w:r/>
            <w:r>
              <w:rPr>
                <w:sz w:val="15"/>
              </w:rPr>
              <w:t>0.75×</w:t>
            </w:r>
          </w:p>
        </w:tc>
        <w:tc>
          <w:tcPr>
            <w:tcW w:type="dxa" w:w="1381"/>
            <w:tcMar>
              <w:top w:w="70" w:type="dxa"/>
              <w:start w:w="85" w:type="dxa"/>
              <w:bottom w:w="70" w:type="dxa"/>
              <w:end w:w="85" w:type="dxa"/>
            </w:tcMar>
            <w:vAlign w:val="center"/>
          </w:tcPr>
          <w:p>
            <w:pPr>
              <w:spacing w:before="0" w:after="0" w:line="240" w:lineRule="auto"/>
            </w:pPr>
            <w:r/>
            <w:r>
              <w:rPr>
                <w:sz w:val="15"/>
              </w:rPr>
              <w:t>£846.76</w:t>
            </w:r>
          </w:p>
        </w:tc>
        <w:tc>
          <w:tcPr>
            <w:tcW w:type="dxa" w:w="1381"/>
            <w:tcMar>
              <w:top w:w="70" w:type="dxa"/>
              <w:start w:w="85" w:type="dxa"/>
              <w:bottom w:w="70" w:type="dxa"/>
              <w:end w:w="85" w:type="dxa"/>
            </w:tcMar>
            <w:vAlign w:val="center"/>
          </w:tcPr>
          <w:p>
            <w:pPr>
              <w:spacing w:before="0" w:after="0" w:line="240" w:lineRule="auto"/>
            </w:pPr>
            <w:r/>
            <w:r>
              <w:rPr>
                <w:sz w:val="15"/>
              </w:rPr>
              <w:t>£1,457.81</w:t>
            </w:r>
          </w:p>
        </w:tc>
      </w:tr>
      <w:tr>
        <w:tc>
          <w:tcPr>
            <w:tcW w:type="dxa" w:w="1381"/>
            <w:tcMar>
              <w:top w:w="70" w:type="dxa"/>
              <w:start w:w="85" w:type="dxa"/>
              <w:bottom w:w="70" w:type="dxa"/>
              <w:end w:w="85" w:type="dxa"/>
            </w:tcMar>
            <w:vAlign w:val="center"/>
          </w:tcPr>
          <w:p>
            <w:pPr>
              <w:spacing w:before="0" w:after="0" w:line="240" w:lineRule="auto"/>
            </w:pPr>
            <w:r/>
            <w:r>
              <w:rPr>
                <w:sz w:val="15"/>
              </w:rPr>
              <w:t>Latest 5y</w:t>
            </w:r>
          </w:p>
        </w:tc>
        <w:tc>
          <w:tcPr>
            <w:tcW w:type="dxa" w:w="1381"/>
            <w:tcMar>
              <w:top w:w="70" w:type="dxa"/>
              <w:start w:w="85" w:type="dxa"/>
              <w:bottom w:w="70" w:type="dxa"/>
              <w:end w:w="85" w:type="dxa"/>
            </w:tcMar>
            <w:vAlign w:val="center"/>
          </w:tcPr>
          <w:p>
            <w:pPr>
              <w:spacing w:before="0" w:after="0" w:line="240" w:lineRule="auto"/>
            </w:pPr>
            <w:r/>
            <w:r>
              <w:rPr>
                <w:sz w:val="15"/>
              </w:rPr>
              <w:t>15% comparator</w:t>
            </w:r>
          </w:p>
        </w:tc>
        <w:tc>
          <w:tcPr>
            <w:tcW w:type="dxa" w:w="1381"/>
            <w:tcMar>
              <w:top w:w="70" w:type="dxa"/>
              <w:start w:w="85" w:type="dxa"/>
              <w:bottom w:w="70" w:type="dxa"/>
              <w:end w:w="85" w:type="dxa"/>
            </w:tcMar>
            <w:vAlign w:val="center"/>
          </w:tcPr>
          <w:p>
            <w:pPr>
              <w:spacing w:before="0" w:after="0" w:line="240" w:lineRule="auto"/>
            </w:pPr>
            <w:r/>
            <w:r>
              <w:rPr>
                <w:sz w:val="15"/>
              </w:rPr>
              <w:t>10.22%</w:t>
            </w:r>
          </w:p>
        </w:tc>
        <w:tc>
          <w:tcPr>
            <w:tcW w:type="dxa" w:w="1381"/>
            <w:tcMar>
              <w:top w:w="70" w:type="dxa"/>
              <w:start w:w="85" w:type="dxa"/>
              <w:bottom w:w="70" w:type="dxa"/>
              <w:end w:w="85" w:type="dxa"/>
            </w:tcMar>
            <w:vAlign w:val="center"/>
          </w:tcPr>
          <w:p>
            <w:pPr>
              <w:spacing w:before="0" w:after="0" w:line="240" w:lineRule="auto"/>
            </w:pPr>
            <w:r/>
            <w:r>
              <w:rPr>
                <w:sz w:val="15"/>
              </w:rPr>
              <w:t>9.94%</w:t>
            </w:r>
          </w:p>
        </w:tc>
        <w:tc>
          <w:tcPr>
            <w:tcW w:type="dxa" w:w="1381"/>
            <w:tcMar>
              <w:top w:w="70" w:type="dxa"/>
              <w:start w:w="85" w:type="dxa"/>
              <w:bottom w:w="70" w:type="dxa"/>
              <w:end w:w="85" w:type="dxa"/>
            </w:tcMar>
            <w:vAlign w:val="center"/>
          </w:tcPr>
          <w:p>
            <w:pPr>
              <w:spacing w:before="0" w:after="0" w:line="240" w:lineRule="auto"/>
            </w:pPr>
            <w:r/>
            <w:r>
              <w:rPr>
                <w:sz w:val="15"/>
              </w:rPr>
              <w:t>9.91%</w:t>
            </w:r>
          </w:p>
        </w:tc>
        <w:tc>
          <w:tcPr>
            <w:tcW w:type="dxa" w:w="1381"/>
            <w:tcMar>
              <w:top w:w="70" w:type="dxa"/>
              <w:start w:w="85" w:type="dxa"/>
              <w:bottom w:w="70" w:type="dxa"/>
              <w:end w:w="85" w:type="dxa"/>
            </w:tcMar>
            <w:vAlign w:val="center"/>
          </w:tcPr>
          <w:p>
            <w:pPr>
              <w:spacing w:before="0" w:after="0" w:line="240" w:lineRule="auto"/>
            </w:pPr>
            <w:r/>
            <w:r>
              <w:rPr>
                <w:sz w:val="15"/>
              </w:rPr>
              <w:t>0.37 pp</w:t>
            </w:r>
          </w:p>
        </w:tc>
        <w:tc>
          <w:tcPr>
            <w:tcW w:type="dxa" w:w="1381"/>
            <w:tcMar>
              <w:top w:w="70" w:type="dxa"/>
              <w:start w:w="85" w:type="dxa"/>
              <w:bottom w:w="70" w:type="dxa"/>
              <w:end w:w="85" w:type="dxa"/>
            </w:tcMar>
            <w:vAlign w:val="center"/>
          </w:tcPr>
          <w:p>
            <w:pPr>
              <w:spacing w:before="0" w:after="0" w:line="240" w:lineRule="auto"/>
            </w:pPr>
            <w:r/>
            <w:r>
              <w:rPr>
                <w:sz w:val="15"/>
              </w:rPr>
              <w:t>−13.38%</w:t>
            </w:r>
          </w:p>
        </w:tc>
        <w:tc>
          <w:tcPr>
            <w:tcW w:type="dxa" w:w="1381"/>
            <w:tcMar>
              <w:top w:w="70" w:type="dxa"/>
              <w:start w:w="85" w:type="dxa"/>
              <w:bottom w:w="70" w:type="dxa"/>
              <w:end w:w="85" w:type="dxa"/>
            </w:tcMar>
            <w:vAlign w:val="center"/>
          </w:tcPr>
          <w:p>
            <w:pPr>
              <w:spacing w:before="0" w:after="0" w:line="240" w:lineRule="auto"/>
            </w:pPr>
            <w:r/>
            <w:r>
              <w:rPr>
                <w:sz w:val="15"/>
              </w:rPr>
              <w:t>3.68%</w:t>
            </w:r>
          </w:p>
        </w:tc>
        <w:tc>
          <w:tcPr>
            <w:tcW w:type="dxa" w:w="1381"/>
            <w:tcMar>
              <w:top w:w="70" w:type="dxa"/>
              <w:start w:w="85" w:type="dxa"/>
              <w:bottom w:w="70" w:type="dxa"/>
              <w:end w:w="85" w:type="dxa"/>
            </w:tcMar>
            <w:vAlign w:val="center"/>
          </w:tcPr>
          <w:p>
            <w:pPr>
              <w:spacing w:before="0" w:after="0" w:line="240" w:lineRule="auto"/>
            </w:pPr>
            <w:r/>
            <w:r>
              <w:rPr>
                <w:sz w:val="15"/>
              </w:rPr>
              <w:t>1.10×</w:t>
            </w:r>
          </w:p>
        </w:tc>
        <w:tc>
          <w:tcPr>
            <w:tcW w:type="dxa" w:w="1381"/>
            <w:tcMar>
              <w:top w:w="70" w:type="dxa"/>
              <w:start w:w="85" w:type="dxa"/>
              <w:bottom w:w="70" w:type="dxa"/>
              <w:end w:w="85" w:type="dxa"/>
            </w:tcMar>
            <w:vAlign w:val="center"/>
          </w:tcPr>
          <w:p>
            <w:pPr>
              <w:spacing w:before="0" w:after="0" w:line="240" w:lineRule="auto"/>
            </w:pPr>
            <w:r/>
            <w:r>
              <w:rPr>
                <w:sz w:val="15"/>
              </w:rPr>
              <w:t>£1,239.69</w:t>
            </w:r>
          </w:p>
        </w:tc>
        <w:tc>
          <w:tcPr>
            <w:tcW w:type="dxa" w:w="1381"/>
            <w:tcMar>
              <w:top w:w="70" w:type="dxa"/>
              <w:start w:w="85" w:type="dxa"/>
              <w:bottom w:w="70" w:type="dxa"/>
              <w:end w:w="85" w:type="dxa"/>
            </w:tcMar>
            <w:vAlign w:val="center"/>
          </w:tcPr>
          <w:p>
            <w:pPr>
              <w:spacing w:before="0" w:after="0" w:line="240" w:lineRule="auto"/>
            </w:pPr>
            <w:r/>
            <w:r>
              <w:rPr>
                <w:sz w:val="15"/>
              </w:rPr>
              <w:t>£1,850.75</w:t>
            </w:r>
          </w:p>
        </w:tc>
      </w:tr>
      <w:tr>
        <w:tc>
          <w:tcPr>
            <w:tcW w:type="dxa" w:w="1381"/>
            <w:tcMar>
              <w:top w:w="70" w:type="dxa"/>
              <w:start w:w="85" w:type="dxa"/>
              <w:bottom w:w="70" w:type="dxa"/>
              <w:end w:w="85" w:type="dxa"/>
            </w:tcMar>
            <w:vAlign w:val="center"/>
          </w:tcPr>
          <w:p>
            <w:pPr>
              <w:spacing w:before="0" w:after="0" w:line="240" w:lineRule="auto"/>
            </w:pPr>
            <w:r/>
            <w:r>
              <w:rPr>
                <w:sz w:val="15"/>
              </w:rPr>
              <w:t>Latest 5y</w:t>
            </w:r>
          </w:p>
        </w:tc>
        <w:tc>
          <w:tcPr>
            <w:tcW w:type="dxa" w:w="1381"/>
            <w:tcMar>
              <w:top w:w="70" w:type="dxa"/>
              <w:start w:w="85" w:type="dxa"/>
              <w:bottom w:w="70" w:type="dxa"/>
              <w:end w:w="85" w:type="dxa"/>
            </w:tcMar>
            <w:vAlign w:val="center"/>
          </w:tcPr>
          <w:p>
            <w:pPr>
              <w:spacing w:before="0" w:after="0" w:line="240" w:lineRule="auto"/>
            </w:pPr>
            <w:r/>
            <w:r>
              <w:rPr>
                <w:sz w:val="15"/>
              </w:rPr>
              <w:t>25% comparator</w:t>
            </w:r>
          </w:p>
        </w:tc>
        <w:tc>
          <w:tcPr>
            <w:tcW w:type="dxa" w:w="1381"/>
            <w:tcMar>
              <w:top w:w="70" w:type="dxa"/>
              <w:start w:w="85" w:type="dxa"/>
              <w:bottom w:w="70" w:type="dxa"/>
              <w:end w:w="85" w:type="dxa"/>
            </w:tcMar>
            <w:vAlign w:val="center"/>
          </w:tcPr>
          <w:p>
            <w:pPr>
              <w:spacing w:before="0" w:after="0" w:line="240" w:lineRule="auto"/>
            </w:pPr>
            <w:r/>
            <w:r>
              <w:rPr>
                <w:sz w:val="15"/>
              </w:rPr>
              <w:t>10.64%</w:t>
            </w:r>
          </w:p>
        </w:tc>
        <w:tc>
          <w:tcPr>
            <w:tcW w:type="dxa" w:w="1381"/>
            <w:tcMar>
              <w:top w:w="70" w:type="dxa"/>
              <w:start w:w="85" w:type="dxa"/>
              <w:bottom w:w="70" w:type="dxa"/>
              <w:end w:w="85" w:type="dxa"/>
            </w:tcMar>
            <w:vAlign w:val="center"/>
          </w:tcPr>
          <w:p>
            <w:pPr>
              <w:spacing w:before="0" w:after="0" w:line="240" w:lineRule="auto"/>
            </w:pPr>
            <w:r/>
            <w:r>
              <w:rPr>
                <w:sz w:val="15"/>
              </w:rPr>
              <w:t>10.20%</w:t>
            </w:r>
          </w:p>
        </w:tc>
        <w:tc>
          <w:tcPr>
            <w:tcW w:type="dxa" w:w="1381"/>
            <w:tcMar>
              <w:top w:w="70" w:type="dxa"/>
              <w:start w:w="85" w:type="dxa"/>
              <w:bottom w:w="70" w:type="dxa"/>
              <w:end w:w="85" w:type="dxa"/>
            </w:tcMar>
            <w:vAlign w:val="center"/>
          </w:tcPr>
          <w:p>
            <w:pPr>
              <w:spacing w:before="0" w:after="0" w:line="240" w:lineRule="auto"/>
            </w:pPr>
            <w:r/>
            <w:r>
              <w:rPr>
                <w:sz w:val="15"/>
              </w:rPr>
              <w:t>10.17%</w:t>
            </w:r>
          </w:p>
        </w:tc>
        <w:tc>
          <w:tcPr>
            <w:tcW w:type="dxa" w:w="1381"/>
            <w:tcMar>
              <w:top w:w="70" w:type="dxa"/>
              <w:start w:w="85" w:type="dxa"/>
              <w:bottom w:w="70" w:type="dxa"/>
              <w:end w:w="85" w:type="dxa"/>
            </w:tcMar>
            <w:vAlign w:val="center"/>
          </w:tcPr>
          <w:p>
            <w:pPr>
              <w:spacing w:before="0" w:after="0" w:line="240" w:lineRule="auto"/>
            </w:pPr>
            <w:r/>
            <w:r>
              <w:rPr>
                <w:sz w:val="15"/>
              </w:rPr>
              <w:t>0.63 pp</w:t>
            </w:r>
          </w:p>
        </w:tc>
        <w:tc>
          <w:tcPr>
            <w:tcW w:type="dxa" w:w="1381"/>
            <w:tcMar>
              <w:top w:w="70" w:type="dxa"/>
              <w:start w:w="85" w:type="dxa"/>
              <w:bottom w:w="70" w:type="dxa"/>
              <w:end w:w="85" w:type="dxa"/>
            </w:tcMar>
            <w:vAlign w:val="center"/>
          </w:tcPr>
          <w:p>
            <w:pPr>
              <w:spacing w:before="0" w:after="0" w:line="240" w:lineRule="auto"/>
            </w:pPr>
            <w:r/>
            <w:r>
              <w:rPr>
                <w:b/>
                <w:sz w:val="15"/>
              </w:rPr>
              <w:t>−13.15%</w:t>
            </w:r>
          </w:p>
        </w:tc>
        <w:tc>
          <w:tcPr>
            <w:tcW w:type="dxa" w:w="1381"/>
            <w:tcMar>
              <w:top w:w="70" w:type="dxa"/>
              <w:start w:w="85" w:type="dxa"/>
              <w:bottom w:w="70" w:type="dxa"/>
              <w:end w:w="85" w:type="dxa"/>
            </w:tcMar>
            <w:vAlign w:val="center"/>
          </w:tcPr>
          <w:p>
            <w:pPr>
              <w:spacing w:before="0" w:after="0" w:line="240" w:lineRule="auto"/>
            </w:pPr>
            <w:r/>
            <w:r>
              <w:rPr>
                <w:sz w:val="15"/>
              </w:rPr>
              <w:t>4.11%</w:t>
            </w:r>
          </w:p>
        </w:tc>
        <w:tc>
          <w:tcPr>
            <w:tcW w:type="dxa" w:w="1381"/>
            <w:tcMar>
              <w:top w:w="70" w:type="dxa"/>
              <w:start w:w="85" w:type="dxa"/>
              <w:bottom w:w="70" w:type="dxa"/>
              <w:end w:w="85" w:type="dxa"/>
            </w:tcMar>
            <w:vAlign w:val="center"/>
          </w:tcPr>
          <w:p>
            <w:pPr>
              <w:spacing w:before="0" w:after="0" w:line="240" w:lineRule="auto"/>
            </w:pPr>
            <w:r/>
            <w:r>
              <w:rPr>
                <w:sz w:val="15"/>
              </w:rPr>
              <w:t>1.80×</w:t>
            </w:r>
          </w:p>
        </w:tc>
        <w:tc>
          <w:tcPr>
            <w:tcW w:type="dxa" w:w="1381"/>
            <w:tcMar>
              <w:top w:w="70" w:type="dxa"/>
              <w:start w:w="85" w:type="dxa"/>
              <w:bottom w:w="70" w:type="dxa"/>
              <w:end w:w="85" w:type="dxa"/>
            </w:tcMar>
            <w:vAlign w:val="center"/>
          </w:tcPr>
          <w:p>
            <w:pPr>
              <w:spacing w:before="0" w:after="0" w:line="240" w:lineRule="auto"/>
            </w:pPr>
            <w:r/>
            <w:r>
              <w:rPr>
                <w:sz w:val="15"/>
              </w:rPr>
              <w:t>£2,024.76</w:t>
            </w:r>
          </w:p>
        </w:tc>
        <w:tc>
          <w:tcPr>
            <w:tcW w:type="dxa" w:w="1381"/>
            <w:tcMar>
              <w:top w:w="70" w:type="dxa"/>
              <w:start w:w="85" w:type="dxa"/>
              <w:bottom w:w="70" w:type="dxa"/>
              <w:end w:w="85" w:type="dxa"/>
            </w:tcMar>
            <w:vAlign w:val="center"/>
          </w:tcPr>
          <w:p>
            <w:pPr>
              <w:spacing w:before="0" w:after="0" w:line="240" w:lineRule="auto"/>
            </w:pPr>
            <w:r/>
            <w:r>
              <w:rPr>
                <w:sz w:val="15"/>
              </w:rPr>
              <w:t>£2,635.82</w:t>
            </w:r>
          </w:p>
        </w:tc>
      </w:tr>
    </w:tbl>
    <w:p>
      <w:pPr>
        <w:sectPr>
          <w:pgSz w:w="16838" w:h="11906" w:orient="landscape"/>
          <w:pgMar w:top="822" w:right="822" w:bottom="822" w:left="822" w:header="425" w:footer="425" w:gutter="0"/>
          <w:cols w:space="720"/>
          <w:docGrid w:linePitch="360"/>
        </w:sectPr>
      </w:pPr>
    </w:p>
    <w:p>
      <w:r>
        <w:rPr>
          <w:i/>
        </w:rPr>
        <w:t>Full sample 2017-03-01–2026-08-21; latest five years 2021-09-01–2026-08-21. Wrapper always retains 25% defensive; M2 replaces SWDA as its weight rises. 20 bps one-way, II Plus credits/fees, £563,000. Internal sources [WRAP-</w:t>
      </w:r>
      <w:r>
        <w:t xml:space="preserve">563000]: </w:t>
      </w:r>
      <w:r>
        <w:rPr>
          <w:rFonts w:ascii="Consolas" w:hAnsi="Consolas"/>
          <w:color w:val="1F4D78"/>
        </w:rPr>
        <w:t>UKACTIVE_A5C_SIPP_COST_RESTATEMENT.csv</w:t>
      </w:r>
      <w:r>
        <w:t xml:space="preserve">, results commit </w:t>
      </w:r>
      <w:r>
        <w:rPr>
          <w:rFonts w:ascii="Consolas" w:hAnsi="Consolas"/>
          <w:color w:val="1F4D78"/>
        </w:rPr>
        <w:t>beb8d49</w:t>
      </w:r>
      <w:r>
        <w:t>.*</w:t>
      </w:r>
    </w:p>
    <w:p>
      <w:r>
        <w:t>The 10% pilot generated 1,076 historical trade legs on the full window, £3,842.37 in paid dealing charges, £10,855.35 in market friction and £1,708.86 in account subscription. Those cumulative pound values are not annual costs. On the latest-five-year window the corresponding legs were 597, dealing charges £2,142.63, market friction £7,401.07 and subscription £899.40. Subscription-separated performance is the primary incremental view because the control account also needs a broker plan; the all-in view is shown to avoid hiding the expense.</w:t>
      </w:r>
    </w:p>
    <w:p>
      <w:r>
        <w:t>The 15% and 25% rows are research comparators, not authorised allocations. Their higher historical incremental CAGR came with higher turnover, cost and latest-five-year Ulcer. A monotonic historical return increment is not a sizing rule when the standalone edge is uncertain. Figure 15 displays the return-drawdown locations without treating the upper point as a recommendation.</w:t>
      </w:r>
    </w:p>
    <w:p>
      <w:pPr>
        <w:keepNext/>
        <w:jc w:val="center"/>
      </w:pPr>
      <w:r>
        <w:drawing>
          <wp:inline xmlns:a="http://schemas.openxmlformats.org/drawingml/2006/main" xmlns:pic="http://schemas.openxmlformats.org/drawingml/2006/picture">
            <wp:extent cx="5806440" cy="2754221"/>
            <wp:docPr id="15" name="Picture 15"/>
            <wp:cNvGraphicFramePr>
              <a:graphicFrameLocks noChangeAspect="1"/>
            </wp:cNvGraphicFramePr>
            <a:graphic>
              <a:graphicData uri="http://schemas.openxmlformats.org/drawingml/2006/picture">
                <pic:pic>
                  <pic:nvPicPr>
                    <pic:cNvPr id="0" name="FIGURE_15_WHOLE_SIPP_FRONTIER.png"/>
                    <pic:cNvPicPr/>
                  </pic:nvPicPr>
                  <pic:blipFill>
                    <a:blip r:embed="rId25"/>
                    <a:stretch>
                      <a:fillRect/>
                    </a:stretch>
                  </pic:blipFill>
                  <pic:spPr>
                    <a:xfrm>
                      <a:off x="0" y="0"/>
                      <a:ext cx="5806440" cy="2754221"/>
                    </a:xfrm>
                    <a:prstGeom prst="rect"/>
                  </pic:spPr>
                </pic:pic>
              </a:graphicData>
            </a:graphic>
          </wp:inline>
        </w:drawing>
      </w:r>
    </w:p>
    <w:p>
      <w:pPr>
        <w:pStyle w:val="FigureCaptionUKACTIVE"/>
      </w:pPr>
      <w:r>
        <w:rPr>
          <w:b/>
          <w:sz w:val="18"/>
        </w:rPr>
        <w:t>Figure 15.</w:t>
      </w:r>
      <w:r>
        <w:rPr>
          <w:sz w:val="18"/>
        </w:rPr>
        <w:t xml:space="preserve"> Full and latest-five-year II Plus results at £563,000, subscription reported separately. The green 10% point is the conditional pilot; orange and red points are research comparators only.</w:t>
      </w:r>
    </w:p>
    <w:p>
      <w:pPr>
        <w:pStyle w:val="Heading1"/>
      </w:pPr>
      <w:r>
        <w:t>28. Live instrument implementation</w:t>
      </w:r>
    </w:p>
    <w:p>
      <w:r>
        <w:t xml:space="preserve">M2 ranks economic families and only then maps them to trading lines. Table 21 records the frozen preferred GBP lines and current alternates. An alternate is not automatically authorised: the A5C map requires current SIPP confirmation, and USD/EUR alternates are blocked where the rule says </w:t>
      </w:r>
      <w:r>
        <w:rPr>
          <w:rFonts w:ascii="Consolas" w:hAnsi="Consolas"/>
          <w:color w:val="1F4D78"/>
        </w:rPr>
        <w:t>NO_USD_OR_EUR_LINE</w:t>
      </w:r>
      <w:r>
        <w:t>. The table is current implementation evidence at the cutoff and is expressly prohibited from historical back-projection.</w:t>
      </w:r>
    </w:p>
    <w:p>
      <w:pPr>
        <w:keepNext/>
        <w:spacing w:before="160" w:after="80"/>
      </w:pPr>
      <w:r>
        <w:rPr>
          <w:b/>
        </w:rPr>
        <w:t>Table 21. Concise current implementation map</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Economic family</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Preferred</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ISIN</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Frozen alternate</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Trading currency</w:t>
            </w:r>
          </w:p>
        </w:tc>
        <w:tc>
          <w:tcPr>
            <w:tcW w:type="dxa" w:w="1625"/>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Cutoff signal status</w:t>
            </w:r>
          </w:p>
        </w:tc>
      </w:tr>
      <w:tr>
        <w:tc>
          <w:tcPr>
            <w:tcW w:type="dxa" w:w="1625"/>
            <w:tcMar>
              <w:top w:w="70" w:type="dxa"/>
              <w:start w:w="85" w:type="dxa"/>
              <w:bottom w:w="70" w:type="dxa"/>
              <w:end w:w="85" w:type="dxa"/>
            </w:tcMar>
            <w:vAlign w:val="center"/>
          </w:tcPr>
          <w:p>
            <w:pPr>
              <w:spacing w:before="0" w:after="0" w:line="240" w:lineRule="auto"/>
            </w:pPr>
            <w:r/>
            <w:r>
              <w:rPr>
                <w:sz w:val="17"/>
              </w:rPr>
              <w:t>Global developed world core</w:t>
            </w:r>
          </w:p>
        </w:tc>
        <w:tc>
          <w:tcPr>
            <w:tcW w:type="dxa" w:w="1625"/>
            <w:tcMar>
              <w:top w:w="70" w:type="dxa"/>
              <w:start w:w="85" w:type="dxa"/>
              <w:bottom w:w="70" w:type="dxa"/>
              <w:end w:w="85" w:type="dxa"/>
            </w:tcMar>
            <w:vAlign w:val="center"/>
          </w:tcPr>
          <w:p>
            <w:pPr>
              <w:spacing w:before="0" w:after="0" w:line="240" w:lineRule="auto"/>
            </w:pPr>
            <w:r/>
            <w:r>
              <w:rPr>
                <w:sz w:val="17"/>
              </w:rPr>
              <w:t>SWDA</w:t>
            </w:r>
          </w:p>
        </w:tc>
        <w:tc>
          <w:tcPr>
            <w:tcW w:type="dxa" w:w="1625"/>
            <w:tcMar>
              <w:top w:w="70" w:type="dxa"/>
              <w:start w:w="85" w:type="dxa"/>
              <w:bottom w:w="70" w:type="dxa"/>
              <w:end w:w="85" w:type="dxa"/>
            </w:tcMar>
            <w:vAlign w:val="center"/>
          </w:tcPr>
          <w:p>
            <w:pPr>
              <w:spacing w:before="0" w:after="0" w:line="240" w:lineRule="auto"/>
            </w:pPr>
            <w:r/>
            <w:r>
              <w:rPr>
                <w:sz w:val="17"/>
              </w:rPr>
              <w:t>IE00B4L5Y983</w:t>
            </w:r>
          </w:p>
        </w:tc>
        <w:tc>
          <w:tcPr>
            <w:tcW w:type="dxa" w:w="1625"/>
            <w:tcMar>
              <w:top w:w="70" w:type="dxa"/>
              <w:start w:w="85" w:type="dxa"/>
              <w:bottom w:w="70" w:type="dxa"/>
              <w:end w:w="85" w:type="dxa"/>
            </w:tcMar>
            <w:vAlign w:val="center"/>
          </w:tcPr>
          <w:p>
            <w:pPr>
              <w:spacing w:before="0" w:after="0" w:line="240" w:lineRule="auto"/>
            </w:pPr>
            <w:r/>
            <w:r>
              <w:rPr>
                <w:sz w:val="17"/>
              </w:rPr>
              <w:t>IWDA</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Core / not ranked</w:t>
            </w:r>
          </w:p>
        </w:tc>
      </w:tr>
      <w:tr>
        <w:tc>
          <w:tcPr>
            <w:tcW w:type="dxa" w:w="1625"/>
            <w:tcMar>
              <w:top w:w="70" w:type="dxa"/>
              <w:start w:w="85" w:type="dxa"/>
              <w:bottom w:w="70" w:type="dxa"/>
              <w:end w:w="85" w:type="dxa"/>
            </w:tcMar>
            <w:vAlign w:val="center"/>
          </w:tcPr>
          <w:p>
            <w:pPr>
              <w:spacing w:before="0" w:after="0" w:line="240" w:lineRule="auto"/>
            </w:pPr>
            <w:r/>
            <w:r>
              <w:rPr>
                <w:sz w:val="17"/>
              </w:rPr>
              <w:t>China internet</w:t>
            </w:r>
          </w:p>
        </w:tc>
        <w:tc>
          <w:tcPr>
            <w:tcW w:type="dxa" w:w="1625"/>
            <w:tcMar>
              <w:top w:w="70" w:type="dxa"/>
              <w:start w:w="85" w:type="dxa"/>
              <w:bottom w:w="70" w:type="dxa"/>
              <w:end w:w="85" w:type="dxa"/>
            </w:tcMar>
            <w:vAlign w:val="center"/>
          </w:tcPr>
          <w:p>
            <w:pPr>
              <w:spacing w:before="0" w:after="0" w:line="240" w:lineRule="auto"/>
            </w:pPr>
            <w:r/>
            <w:r>
              <w:rPr>
                <w:sz w:val="17"/>
              </w:rPr>
              <w:t>KWBP</w:t>
            </w:r>
          </w:p>
        </w:tc>
        <w:tc>
          <w:tcPr>
            <w:tcW w:type="dxa" w:w="1625"/>
            <w:tcMar>
              <w:top w:w="70" w:type="dxa"/>
              <w:start w:w="85" w:type="dxa"/>
              <w:bottom w:w="70" w:type="dxa"/>
              <w:end w:w="85" w:type="dxa"/>
            </w:tcMar>
            <w:vAlign w:val="center"/>
          </w:tcPr>
          <w:p>
            <w:pPr>
              <w:spacing w:before="0" w:after="0" w:line="240" w:lineRule="auto"/>
            </w:pPr>
            <w:r/>
            <w:r>
              <w:rPr>
                <w:sz w:val="17"/>
              </w:rPr>
              <w:t>IE00BMW13836</w:t>
            </w:r>
          </w:p>
        </w:tc>
        <w:tc>
          <w:tcPr>
            <w:tcW w:type="dxa" w:w="1625"/>
            <w:tcMar>
              <w:top w:w="70" w:type="dxa"/>
              <w:start w:w="85" w:type="dxa"/>
              <w:bottom w:w="70" w:type="dxa"/>
              <w:end w:w="85" w:type="dxa"/>
            </w:tcMar>
            <w:vAlign w:val="center"/>
          </w:tcPr>
          <w:p>
            <w:pPr>
              <w:spacing w:before="0" w:after="0" w:line="240" w:lineRule="auto"/>
            </w:pPr>
            <w:r/>
            <w:r>
              <w:rPr>
                <w:sz w:val="17"/>
              </w:rPr>
              <w:t>KWBH</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Europe aerospace &amp; defence</w:t>
            </w:r>
          </w:p>
        </w:tc>
        <w:tc>
          <w:tcPr>
            <w:tcW w:type="dxa" w:w="1625"/>
            <w:tcMar>
              <w:top w:w="70" w:type="dxa"/>
              <w:start w:w="85" w:type="dxa"/>
              <w:bottom w:w="70" w:type="dxa"/>
              <w:end w:w="85" w:type="dxa"/>
            </w:tcMar>
            <w:vAlign w:val="center"/>
          </w:tcPr>
          <w:p>
            <w:pPr>
              <w:spacing w:before="0" w:after="0" w:line="240" w:lineRule="auto"/>
            </w:pPr>
            <w:r/>
            <w:r>
              <w:rPr>
                <w:sz w:val="17"/>
              </w:rPr>
              <w:t>DFEU</w:t>
            </w:r>
          </w:p>
        </w:tc>
        <w:tc>
          <w:tcPr>
            <w:tcW w:type="dxa" w:w="1625"/>
            <w:tcMar>
              <w:top w:w="70" w:type="dxa"/>
              <w:start w:w="85" w:type="dxa"/>
              <w:bottom w:w="70" w:type="dxa"/>
              <w:end w:w="85" w:type="dxa"/>
            </w:tcMar>
            <w:vAlign w:val="center"/>
          </w:tcPr>
          <w:p>
            <w:pPr>
              <w:spacing w:before="0" w:after="0" w:line="240" w:lineRule="auto"/>
            </w:pPr>
            <w:r/>
            <w:r>
              <w:rPr>
                <w:sz w:val="17"/>
              </w:rPr>
              <w:t>IE000IAXNM41</w:t>
            </w:r>
          </w:p>
        </w:tc>
        <w:tc>
          <w:tcPr>
            <w:tcW w:type="dxa" w:w="1625"/>
            <w:tcMar>
              <w:top w:w="70" w:type="dxa"/>
              <w:start w:w="85" w:type="dxa"/>
              <w:bottom w:w="70" w:type="dxa"/>
              <w:end w:w="85" w:type="dxa"/>
            </w:tcMar>
            <w:vAlign w:val="center"/>
          </w:tcPr>
          <w:p>
            <w:pPr>
              <w:spacing w:before="0" w:after="0" w:line="240" w:lineRule="auto"/>
            </w:pPr>
            <w:r/>
            <w:r>
              <w:rPr>
                <w:sz w:val="17"/>
              </w:rPr>
              <w:t>EDEG</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Europe banks</w:t>
            </w:r>
          </w:p>
        </w:tc>
        <w:tc>
          <w:tcPr>
            <w:tcW w:type="dxa" w:w="1625"/>
            <w:tcMar>
              <w:top w:w="70" w:type="dxa"/>
              <w:start w:w="85" w:type="dxa"/>
              <w:bottom w:w="70" w:type="dxa"/>
              <w:end w:w="85" w:type="dxa"/>
            </w:tcMar>
            <w:vAlign w:val="center"/>
          </w:tcPr>
          <w:p>
            <w:pPr>
              <w:spacing w:before="0" w:after="0" w:line="240" w:lineRule="auto"/>
            </w:pPr>
            <w:r/>
            <w:r>
              <w:rPr>
                <w:sz w:val="17"/>
              </w:rPr>
              <w:t>S7XP</w:t>
            </w:r>
          </w:p>
        </w:tc>
        <w:tc>
          <w:tcPr>
            <w:tcW w:type="dxa" w:w="1625"/>
            <w:tcMar>
              <w:top w:w="70" w:type="dxa"/>
              <w:start w:w="85" w:type="dxa"/>
              <w:bottom w:w="70" w:type="dxa"/>
              <w:end w:w="85" w:type="dxa"/>
            </w:tcMar>
            <w:vAlign w:val="center"/>
          </w:tcPr>
          <w:p>
            <w:pPr>
              <w:spacing w:before="0" w:after="0" w:line="240" w:lineRule="auto"/>
            </w:pPr>
            <w:r/>
            <w:r>
              <w:rPr>
                <w:sz w:val="17"/>
              </w:rPr>
              <w:t>IE00B3Q19T94</w:t>
            </w:r>
          </w:p>
        </w:tc>
        <w:tc>
          <w:tcPr>
            <w:tcW w:type="dxa" w:w="1625"/>
            <w:tcMar>
              <w:top w:w="70" w:type="dxa"/>
              <w:start w:w="85" w:type="dxa"/>
              <w:bottom w:w="70" w:type="dxa"/>
              <w:end w:w="85" w:type="dxa"/>
            </w:tcMar>
            <w:vAlign w:val="center"/>
          </w:tcPr>
          <w:p>
            <w:pPr>
              <w:spacing w:before="0" w:after="0" w:line="240" w:lineRule="auto"/>
            </w:pPr>
            <w:r/>
            <w:r>
              <w:rPr>
                <w:sz w:val="17"/>
              </w:rPr>
              <w:t>CB5</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Europe infrastructure</w:t>
            </w:r>
          </w:p>
        </w:tc>
        <w:tc>
          <w:tcPr>
            <w:tcW w:type="dxa" w:w="1625"/>
            <w:tcMar>
              <w:top w:w="70" w:type="dxa"/>
              <w:start w:w="85" w:type="dxa"/>
              <w:bottom w:w="70" w:type="dxa"/>
              <w:end w:w="85" w:type="dxa"/>
            </w:tcMar>
            <w:vAlign w:val="center"/>
          </w:tcPr>
          <w:p>
            <w:pPr>
              <w:spacing w:before="0" w:after="0" w:line="240" w:lineRule="auto"/>
            </w:pPr>
            <w:r/>
            <w:r>
              <w:rPr>
                <w:sz w:val="17"/>
              </w:rPr>
              <w:t>BLDR</w:t>
            </w:r>
          </w:p>
        </w:tc>
        <w:tc>
          <w:tcPr>
            <w:tcW w:type="dxa" w:w="1625"/>
            <w:tcMar>
              <w:top w:w="70" w:type="dxa"/>
              <w:start w:w="85" w:type="dxa"/>
              <w:bottom w:w="70" w:type="dxa"/>
              <w:end w:w="85" w:type="dxa"/>
            </w:tcMar>
            <w:vAlign w:val="center"/>
          </w:tcPr>
          <w:p>
            <w:pPr>
              <w:spacing w:before="0" w:after="0" w:line="240" w:lineRule="auto"/>
            </w:pPr>
            <w:r/>
            <w:r>
              <w:rPr>
                <w:sz w:val="17"/>
              </w:rPr>
              <w:t>IE000PTMIE90</w:t>
            </w:r>
          </w:p>
        </w:tc>
        <w:tc>
          <w:tcPr>
            <w:tcW w:type="dxa" w:w="1625"/>
            <w:tcMar>
              <w:top w:w="70" w:type="dxa"/>
              <w:start w:w="85" w:type="dxa"/>
              <w:bottom w:w="70" w:type="dxa"/>
              <w:end w:w="85" w:type="dxa"/>
            </w:tcMar>
            <w:vAlign w:val="center"/>
          </w:tcPr>
          <w:p>
            <w:pPr>
              <w:spacing w:before="0" w:after="0" w:line="240" w:lineRule="auto"/>
            </w:pPr>
            <w:r/>
            <w:r>
              <w:rPr>
                <w:sz w:val="17"/>
              </w:rPr>
              <w:t>FTIE</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RS252 warm-up</w:t>
            </w:r>
          </w:p>
        </w:tc>
      </w:tr>
      <w:tr>
        <w:tc>
          <w:tcPr>
            <w:tcW w:type="dxa" w:w="1625"/>
            <w:tcMar>
              <w:top w:w="70" w:type="dxa"/>
              <w:start w:w="85" w:type="dxa"/>
              <w:bottom w:w="70" w:type="dxa"/>
              <w:end w:w="85" w:type="dxa"/>
            </w:tcMar>
            <w:vAlign w:val="center"/>
          </w:tcPr>
          <w:p>
            <w:pPr>
              <w:spacing w:before="0" w:after="0" w:line="240" w:lineRule="auto"/>
            </w:pPr>
            <w:r/>
            <w:r>
              <w:rPr>
                <w:sz w:val="17"/>
              </w:rPr>
              <w:t>Global aerospace &amp; defence</w:t>
            </w:r>
          </w:p>
        </w:tc>
        <w:tc>
          <w:tcPr>
            <w:tcW w:type="dxa" w:w="1625"/>
            <w:tcMar>
              <w:top w:w="70" w:type="dxa"/>
              <w:start w:w="85" w:type="dxa"/>
              <w:bottom w:w="70" w:type="dxa"/>
              <w:end w:w="85" w:type="dxa"/>
            </w:tcMar>
            <w:vAlign w:val="center"/>
          </w:tcPr>
          <w:p>
            <w:pPr>
              <w:spacing w:before="0" w:after="0" w:line="240" w:lineRule="auto"/>
            </w:pPr>
            <w:r/>
            <w:r>
              <w:rPr>
                <w:sz w:val="17"/>
              </w:rPr>
              <w:t>ICBM</w:t>
            </w:r>
          </w:p>
        </w:tc>
        <w:tc>
          <w:tcPr>
            <w:tcW w:type="dxa" w:w="1625"/>
            <w:tcMar>
              <w:top w:w="70" w:type="dxa"/>
              <w:start w:w="85" w:type="dxa"/>
              <w:bottom w:w="70" w:type="dxa"/>
              <w:end w:w="85" w:type="dxa"/>
            </w:tcMar>
            <w:vAlign w:val="center"/>
          </w:tcPr>
          <w:p>
            <w:pPr>
              <w:spacing w:before="0" w:after="0" w:line="240" w:lineRule="auto"/>
            </w:pPr>
            <w:r/>
            <w:r>
              <w:rPr>
                <w:sz w:val="17"/>
              </w:rPr>
              <w:t>IE000NVDQXE1</w:t>
            </w:r>
          </w:p>
        </w:tc>
        <w:tc>
          <w:tcPr>
            <w:tcW w:type="dxa" w:w="1625"/>
            <w:tcMar>
              <w:top w:w="70" w:type="dxa"/>
              <w:start w:w="85" w:type="dxa"/>
              <w:bottom w:w="70" w:type="dxa"/>
              <w:end w:w="85" w:type="dxa"/>
            </w:tcMar>
            <w:vAlign w:val="center"/>
          </w:tcPr>
          <w:p>
            <w:pPr>
              <w:spacing w:before="0" w:after="0" w:line="240" w:lineRule="auto"/>
            </w:pPr>
            <w:r/>
            <w:r>
              <w:rPr>
                <w:sz w:val="17"/>
              </w:rPr>
              <w:t>MISL</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agribusiness</w:t>
            </w:r>
          </w:p>
        </w:tc>
        <w:tc>
          <w:tcPr>
            <w:tcW w:type="dxa" w:w="1625"/>
            <w:tcMar>
              <w:top w:w="70" w:type="dxa"/>
              <w:start w:w="85" w:type="dxa"/>
              <w:bottom w:w="70" w:type="dxa"/>
              <w:end w:w="85" w:type="dxa"/>
            </w:tcMar>
            <w:vAlign w:val="center"/>
          </w:tcPr>
          <w:p>
            <w:pPr>
              <w:spacing w:before="0" w:after="0" w:line="240" w:lineRule="auto"/>
            </w:pPr>
            <w:r/>
            <w:r>
              <w:rPr>
                <w:sz w:val="17"/>
              </w:rPr>
              <w:t>SPAG</w:t>
            </w:r>
          </w:p>
        </w:tc>
        <w:tc>
          <w:tcPr>
            <w:tcW w:type="dxa" w:w="1625"/>
            <w:tcMar>
              <w:top w:w="70" w:type="dxa"/>
              <w:start w:w="85" w:type="dxa"/>
              <w:bottom w:w="70" w:type="dxa"/>
              <w:end w:w="85" w:type="dxa"/>
            </w:tcMar>
            <w:vAlign w:val="center"/>
          </w:tcPr>
          <w:p>
            <w:pPr>
              <w:spacing w:before="0" w:after="0" w:line="240" w:lineRule="auto"/>
            </w:pPr>
            <w:r/>
            <w:r>
              <w:rPr>
                <w:sz w:val="17"/>
              </w:rPr>
              <w:t>IE00B6R52143</w:t>
            </w:r>
          </w:p>
        </w:tc>
        <w:tc>
          <w:tcPr>
            <w:tcW w:type="dxa" w:w="1625"/>
            <w:tcMar>
              <w:top w:w="70" w:type="dxa"/>
              <w:start w:w="85" w:type="dxa"/>
              <w:bottom w:w="70" w:type="dxa"/>
              <w:end w:w="85" w:type="dxa"/>
            </w:tcMar>
            <w:vAlign w:val="center"/>
          </w:tcPr>
          <w:p>
            <w:pPr>
              <w:spacing w:before="0" w:after="0" w:line="240" w:lineRule="auto"/>
            </w:pPr>
            <w:r/>
            <w:r>
              <w:rPr>
                <w:sz w:val="17"/>
              </w:rPr>
              <w:t>ISAG</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AI</w:t>
            </w:r>
          </w:p>
        </w:tc>
        <w:tc>
          <w:tcPr>
            <w:tcW w:type="dxa" w:w="1625"/>
            <w:tcMar>
              <w:top w:w="70" w:type="dxa"/>
              <w:start w:w="85" w:type="dxa"/>
              <w:bottom w:w="70" w:type="dxa"/>
              <w:end w:w="85" w:type="dxa"/>
            </w:tcMar>
            <w:vAlign w:val="center"/>
          </w:tcPr>
          <w:p>
            <w:pPr>
              <w:spacing w:before="0" w:after="0" w:line="240" w:lineRule="auto"/>
            </w:pPr>
            <w:r/>
            <w:r>
              <w:rPr>
                <w:sz w:val="17"/>
              </w:rPr>
              <w:t>AIAA</w:t>
            </w:r>
          </w:p>
        </w:tc>
        <w:tc>
          <w:tcPr>
            <w:tcW w:type="dxa" w:w="1625"/>
            <w:tcMar>
              <w:top w:w="70" w:type="dxa"/>
              <w:start w:w="85" w:type="dxa"/>
              <w:bottom w:w="70" w:type="dxa"/>
              <w:end w:w="85" w:type="dxa"/>
            </w:tcMar>
            <w:vAlign w:val="center"/>
          </w:tcPr>
          <w:p>
            <w:pPr>
              <w:spacing w:before="0" w:after="0" w:line="240" w:lineRule="auto"/>
            </w:pPr>
            <w:r/>
            <w:r>
              <w:rPr>
                <w:sz w:val="17"/>
              </w:rPr>
              <w:t>IE000Q9W2IR3</w:t>
            </w:r>
          </w:p>
        </w:tc>
        <w:tc>
          <w:tcPr>
            <w:tcW w:type="dxa" w:w="1625"/>
            <w:tcMar>
              <w:top w:w="70" w:type="dxa"/>
              <w:start w:w="85" w:type="dxa"/>
              <w:bottom w:w="70" w:type="dxa"/>
              <w:end w:w="85" w:type="dxa"/>
            </w:tcMar>
            <w:vAlign w:val="center"/>
          </w:tcPr>
          <w:p>
            <w:pPr>
              <w:spacing w:before="0" w:after="0" w:line="240" w:lineRule="auto"/>
            </w:pPr>
            <w:r/>
            <w:r>
              <w:rPr>
                <w:sz w:val="17"/>
              </w:rPr>
              <w:t>IAIX</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battery/EV</w:t>
            </w:r>
          </w:p>
        </w:tc>
        <w:tc>
          <w:tcPr>
            <w:tcW w:type="dxa" w:w="1625"/>
            <w:tcMar>
              <w:top w:w="70" w:type="dxa"/>
              <w:start w:w="85" w:type="dxa"/>
              <w:bottom w:w="70" w:type="dxa"/>
              <w:end w:w="85" w:type="dxa"/>
            </w:tcMar>
            <w:vAlign w:val="center"/>
          </w:tcPr>
          <w:p>
            <w:pPr>
              <w:spacing w:before="0" w:after="0" w:line="240" w:lineRule="auto"/>
            </w:pPr>
            <w:r/>
            <w:r>
              <w:rPr>
                <w:sz w:val="17"/>
              </w:rPr>
              <w:t>CHRG</w:t>
            </w:r>
          </w:p>
        </w:tc>
        <w:tc>
          <w:tcPr>
            <w:tcW w:type="dxa" w:w="1625"/>
            <w:tcMar>
              <w:top w:w="70" w:type="dxa"/>
              <w:start w:w="85" w:type="dxa"/>
              <w:bottom w:w="70" w:type="dxa"/>
              <w:end w:w="85" w:type="dxa"/>
            </w:tcMar>
            <w:vAlign w:val="center"/>
          </w:tcPr>
          <w:p>
            <w:pPr>
              <w:spacing w:before="0" w:after="0" w:line="240" w:lineRule="auto"/>
            </w:pPr>
            <w:r/>
            <w:r>
              <w:rPr>
                <w:sz w:val="17"/>
              </w:rPr>
              <w:t>IE00BKLF1R75</w:t>
            </w:r>
          </w:p>
        </w:tc>
        <w:tc>
          <w:tcPr>
            <w:tcW w:type="dxa" w:w="1625"/>
            <w:tcMar>
              <w:top w:w="70" w:type="dxa"/>
              <w:start w:w="85" w:type="dxa"/>
              <w:bottom w:w="70" w:type="dxa"/>
              <w:end w:w="85" w:type="dxa"/>
            </w:tcMar>
            <w:vAlign w:val="center"/>
          </w:tcPr>
          <w:p>
            <w:pPr>
              <w:spacing w:before="0" w:after="0" w:line="240" w:lineRule="auto"/>
            </w:pPr>
            <w:r/>
            <w:r>
              <w:rPr>
                <w:sz w:val="17"/>
              </w:rPr>
              <w:t>VOLT</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biotechnology</w:t>
            </w:r>
          </w:p>
        </w:tc>
        <w:tc>
          <w:tcPr>
            <w:tcW w:type="dxa" w:w="1625"/>
            <w:tcMar>
              <w:top w:w="70" w:type="dxa"/>
              <w:start w:w="85" w:type="dxa"/>
              <w:bottom w:w="70" w:type="dxa"/>
              <w:end w:w="85" w:type="dxa"/>
            </w:tcMar>
            <w:vAlign w:val="center"/>
          </w:tcPr>
          <w:p>
            <w:pPr>
              <w:spacing w:before="0" w:after="0" w:line="240" w:lineRule="auto"/>
            </w:pPr>
            <w:r/>
            <w:r>
              <w:rPr>
                <w:sz w:val="17"/>
              </w:rPr>
              <w:t>SBIX</w:t>
            </w:r>
          </w:p>
        </w:tc>
        <w:tc>
          <w:tcPr>
            <w:tcW w:type="dxa" w:w="1625"/>
            <w:tcMar>
              <w:top w:w="70" w:type="dxa"/>
              <w:start w:w="85" w:type="dxa"/>
              <w:bottom w:w="70" w:type="dxa"/>
              <w:end w:w="85" w:type="dxa"/>
            </w:tcMar>
            <w:vAlign w:val="center"/>
          </w:tcPr>
          <w:p>
            <w:pPr>
              <w:spacing w:before="0" w:after="0" w:line="240" w:lineRule="auto"/>
            </w:pPr>
            <w:r/>
            <w:r>
              <w:rPr>
                <w:sz w:val="17"/>
              </w:rPr>
              <w:t>IE00BQ70R696</w:t>
            </w:r>
          </w:p>
        </w:tc>
        <w:tc>
          <w:tcPr>
            <w:tcW w:type="dxa" w:w="1625"/>
            <w:tcMar>
              <w:top w:w="70" w:type="dxa"/>
              <w:start w:w="85" w:type="dxa"/>
              <w:bottom w:w="70" w:type="dxa"/>
              <w:end w:w="85" w:type="dxa"/>
            </w:tcMar>
            <w:vAlign w:val="center"/>
          </w:tcPr>
          <w:p>
            <w:pPr>
              <w:spacing w:before="0" w:after="0" w:line="240" w:lineRule="auto"/>
            </w:pPr>
            <w:r/>
            <w:r>
              <w:rPr>
                <w:sz w:val="17"/>
              </w:rPr>
              <w:t>SBIO</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clean energy</w:t>
            </w:r>
          </w:p>
        </w:tc>
        <w:tc>
          <w:tcPr>
            <w:tcW w:type="dxa" w:w="1625"/>
            <w:tcMar>
              <w:top w:w="70" w:type="dxa"/>
              <w:start w:w="85" w:type="dxa"/>
              <w:bottom w:w="70" w:type="dxa"/>
              <w:end w:w="85" w:type="dxa"/>
            </w:tcMar>
            <w:vAlign w:val="center"/>
          </w:tcPr>
          <w:p>
            <w:pPr>
              <w:spacing w:before="0" w:after="0" w:line="240" w:lineRule="auto"/>
            </w:pPr>
            <w:r/>
            <w:r>
              <w:rPr>
                <w:sz w:val="17"/>
              </w:rPr>
              <w:t>INRA</w:t>
            </w:r>
          </w:p>
        </w:tc>
        <w:tc>
          <w:tcPr>
            <w:tcW w:type="dxa" w:w="1625"/>
            <w:tcMar>
              <w:top w:w="70" w:type="dxa"/>
              <w:start w:w="85" w:type="dxa"/>
              <w:bottom w:w="70" w:type="dxa"/>
              <w:end w:w="85" w:type="dxa"/>
            </w:tcMar>
            <w:vAlign w:val="center"/>
          </w:tcPr>
          <w:p>
            <w:pPr>
              <w:spacing w:before="0" w:after="0" w:line="240" w:lineRule="auto"/>
            </w:pPr>
            <w:r/>
            <w:r>
              <w:rPr>
                <w:sz w:val="17"/>
              </w:rPr>
              <w:t>IE000U58J0M1</w:t>
            </w:r>
          </w:p>
        </w:tc>
        <w:tc>
          <w:tcPr>
            <w:tcW w:type="dxa" w:w="1625"/>
            <w:tcMar>
              <w:top w:w="70" w:type="dxa"/>
              <w:start w:w="85" w:type="dxa"/>
              <w:bottom w:w="70" w:type="dxa"/>
              <w:end w:w="85" w:type="dxa"/>
            </w:tcMar>
            <w:vAlign w:val="center"/>
          </w:tcPr>
          <w:p>
            <w:pPr>
              <w:spacing w:before="0" w:after="0" w:line="240" w:lineRule="auto"/>
            </w:pPr>
            <w:r/>
            <w:r>
              <w:rPr>
                <w:sz w:val="17"/>
              </w:rPr>
              <w:t>GCEX</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cybersecurity</w:t>
            </w:r>
          </w:p>
        </w:tc>
        <w:tc>
          <w:tcPr>
            <w:tcW w:type="dxa" w:w="1625"/>
            <w:tcMar>
              <w:top w:w="70" w:type="dxa"/>
              <w:start w:w="85" w:type="dxa"/>
              <w:bottom w:w="70" w:type="dxa"/>
              <w:end w:w="85" w:type="dxa"/>
            </w:tcMar>
            <w:vAlign w:val="center"/>
          </w:tcPr>
          <w:p>
            <w:pPr>
              <w:spacing w:before="0" w:after="0" w:line="240" w:lineRule="auto"/>
            </w:pPr>
            <w:r/>
            <w:r>
              <w:rPr>
                <w:sz w:val="17"/>
              </w:rPr>
              <w:t>CYSE</w:t>
            </w:r>
          </w:p>
        </w:tc>
        <w:tc>
          <w:tcPr>
            <w:tcW w:type="dxa" w:w="1625"/>
            <w:tcMar>
              <w:top w:w="70" w:type="dxa"/>
              <w:start w:w="85" w:type="dxa"/>
              <w:bottom w:w="70" w:type="dxa"/>
              <w:end w:w="85" w:type="dxa"/>
            </w:tcMar>
            <w:vAlign w:val="center"/>
          </w:tcPr>
          <w:p>
            <w:pPr>
              <w:spacing w:before="0" w:after="0" w:line="240" w:lineRule="auto"/>
            </w:pPr>
            <w:r/>
            <w:r>
              <w:rPr>
                <w:sz w:val="17"/>
              </w:rPr>
              <w:t>IE00BLPK3577</w:t>
            </w:r>
          </w:p>
        </w:tc>
        <w:tc>
          <w:tcPr>
            <w:tcW w:type="dxa" w:w="1625"/>
            <w:tcMar>
              <w:top w:w="70" w:type="dxa"/>
              <w:start w:w="85" w:type="dxa"/>
              <w:bottom w:w="70" w:type="dxa"/>
              <w:end w:w="85" w:type="dxa"/>
            </w:tcMar>
            <w:vAlign w:val="center"/>
          </w:tcPr>
          <w:p>
            <w:pPr>
              <w:spacing w:before="0" w:after="0" w:line="240" w:lineRule="auto"/>
            </w:pPr>
            <w:r/>
            <w:r>
              <w:rPr>
                <w:sz w:val="17"/>
              </w:rPr>
              <w:t>WCBR</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genomics</w:t>
            </w:r>
          </w:p>
        </w:tc>
        <w:tc>
          <w:tcPr>
            <w:tcW w:type="dxa" w:w="1625"/>
            <w:tcMar>
              <w:top w:w="70" w:type="dxa"/>
              <w:start w:w="85" w:type="dxa"/>
              <w:bottom w:w="70" w:type="dxa"/>
              <w:end w:w="85" w:type="dxa"/>
            </w:tcMar>
            <w:vAlign w:val="center"/>
          </w:tcPr>
          <w:p>
            <w:pPr>
              <w:spacing w:before="0" w:after="0" w:line="240" w:lineRule="auto"/>
            </w:pPr>
            <w:r/>
            <w:r>
              <w:rPr>
                <w:sz w:val="17"/>
              </w:rPr>
              <w:t>ARCG</w:t>
            </w:r>
          </w:p>
        </w:tc>
        <w:tc>
          <w:tcPr>
            <w:tcW w:type="dxa" w:w="1625"/>
            <w:tcMar>
              <w:top w:w="70" w:type="dxa"/>
              <w:start w:w="85" w:type="dxa"/>
              <w:bottom w:w="70" w:type="dxa"/>
              <w:end w:w="85" w:type="dxa"/>
            </w:tcMar>
            <w:vAlign w:val="center"/>
          </w:tcPr>
          <w:p>
            <w:pPr>
              <w:spacing w:before="0" w:after="0" w:line="240" w:lineRule="auto"/>
            </w:pPr>
            <w:r/>
            <w:r>
              <w:rPr>
                <w:sz w:val="17"/>
              </w:rPr>
              <w:t>IE000O5M6XO1</w:t>
            </w:r>
          </w:p>
        </w:tc>
        <w:tc>
          <w:tcPr>
            <w:tcW w:type="dxa" w:w="1625"/>
            <w:tcMar>
              <w:top w:w="70" w:type="dxa"/>
              <w:start w:w="85" w:type="dxa"/>
              <w:bottom w:w="70" w:type="dxa"/>
              <w:end w:w="85" w:type="dxa"/>
            </w:tcMar>
            <w:vAlign w:val="center"/>
          </w:tcPr>
          <w:p>
            <w:pPr>
              <w:spacing w:before="0" w:after="0" w:line="240" w:lineRule="auto"/>
            </w:pPr>
            <w:r/>
            <w:r>
              <w:rPr>
                <w:sz w:val="17"/>
              </w:rPr>
              <w:t>ARKG</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gold miners</w:t>
            </w:r>
          </w:p>
        </w:tc>
        <w:tc>
          <w:tcPr>
            <w:tcW w:type="dxa" w:w="1625"/>
            <w:tcMar>
              <w:top w:w="70" w:type="dxa"/>
              <w:start w:w="85" w:type="dxa"/>
              <w:bottom w:w="70" w:type="dxa"/>
              <w:end w:w="85" w:type="dxa"/>
            </w:tcMar>
            <w:vAlign w:val="center"/>
          </w:tcPr>
          <w:p>
            <w:pPr>
              <w:spacing w:before="0" w:after="0" w:line="240" w:lineRule="auto"/>
            </w:pPr>
            <w:r/>
            <w:r>
              <w:rPr>
                <w:sz w:val="17"/>
              </w:rPr>
              <w:t>SPGP</w:t>
            </w:r>
          </w:p>
        </w:tc>
        <w:tc>
          <w:tcPr>
            <w:tcW w:type="dxa" w:w="1625"/>
            <w:tcMar>
              <w:top w:w="70" w:type="dxa"/>
              <w:start w:w="85" w:type="dxa"/>
              <w:bottom w:w="70" w:type="dxa"/>
              <w:end w:w="85" w:type="dxa"/>
            </w:tcMar>
            <w:vAlign w:val="center"/>
          </w:tcPr>
          <w:p>
            <w:pPr>
              <w:spacing w:before="0" w:after="0" w:line="240" w:lineRule="auto"/>
            </w:pPr>
            <w:r/>
            <w:r>
              <w:rPr>
                <w:sz w:val="17"/>
              </w:rPr>
              <w:t>IE00B6R52036</w:t>
            </w:r>
          </w:p>
        </w:tc>
        <w:tc>
          <w:tcPr>
            <w:tcW w:type="dxa" w:w="1625"/>
            <w:tcMar>
              <w:top w:w="70" w:type="dxa"/>
              <w:start w:w="85" w:type="dxa"/>
              <w:bottom w:w="70" w:type="dxa"/>
              <w:end w:w="85" w:type="dxa"/>
            </w:tcMar>
            <w:vAlign w:val="center"/>
          </w:tcPr>
          <w:p>
            <w:pPr>
              <w:spacing w:before="0" w:after="0" w:line="240" w:lineRule="auto"/>
            </w:pPr>
            <w:r/>
            <w:r>
              <w:rPr>
                <w:sz w:val="17"/>
              </w:rPr>
              <w:t>IAUP</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infrastructure</w:t>
            </w:r>
          </w:p>
        </w:tc>
        <w:tc>
          <w:tcPr>
            <w:tcW w:type="dxa" w:w="1625"/>
            <w:tcMar>
              <w:top w:w="70" w:type="dxa"/>
              <w:start w:w="85" w:type="dxa"/>
              <w:bottom w:w="70" w:type="dxa"/>
              <w:end w:w="85" w:type="dxa"/>
            </w:tcMar>
            <w:vAlign w:val="center"/>
          </w:tcPr>
          <w:p>
            <w:pPr>
              <w:spacing w:before="0" w:after="0" w:line="240" w:lineRule="auto"/>
            </w:pPr>
            <w:r/>
            <w:r>
              <w:rPr>
                <w:sz w:val="17"/>
              </w:rPr>
              <w:t>INFR</w:t>
            </w:r>
          </w:p>
        </w:tc>
        <w:tc>
          <w:tcPr>
            <w:tcW w:type="dxa" w:w="1625"/>
            <w:tcMar>
              <w:top w:w="70" w:type="dxa"/>
              <w:start w:w="85" w:type="dxa"/>
              <w:bottom w:w="70" w:type="dxa"/>
              <w:end w:w="85" w:type="dxa"/>
            </w:tcMar>
            <w:vAlign w:val="center"/>
          </w:tcPr>
          <w:p>
            <w:pPr>
              <w:spacing w:before="0" w:after="0" w:line="240" w:lineRule="auto"/>
            </w:pPr>
            <w:r/>
            <w:r>
              <w:rPr>
                <w:sz w:val="17"/>
              </w:rPr>
              <w:t>IE00B1FZS467</w:t>
            </w:r>
          </w:p>
        </w:tc>
        <w:tc>
          <w:tcPr>
            <w:tcW w:type="dxa" w:w="1625"/>
            <w:tcMar>
              <w:top w:w="70" w:type="dxa"/>
              <w:start w:w="85" w:type="dxa"/>
              <w:bottom w:w="70" w:type="dxa"/>
              <w:end w:w="85" w:type="dxa"/>
            </w:tcMar>
            <w:vAlign w:val="center"/>
          </w:tcPr>
          <w:p>
            <w:pPr>
              <w:spacing w:before="0" w:after="0" w:line="240" w:lineRule="auto"/>
            </w:pPr>
            <w:r/>
            <w:r>
              <w:rPr>
                <w:sz w:val="17"/>
              </w:rPr>
              <w:t>IDIN</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oil &amp; gas</w:t>
            </w:r>
          </w:p>
        </w:tc>
        <w:tc>
          <w:tcPr>
            <w:tcW w:type="dxa" w:w="1625"/>
            <w:tcMar>
              <w:top w:w="70" w:type="dxa"/>
              <w:start w:w="85" w:type="dxa"/>
              <w:bottom w:w="70" w:type="dxa"/>
              <w:end w:w="85" w:type="dxa"/>
            </w:tcMar>
            <w:vAlign w:val="center"/>
          </w:tcPr>
          <w:p>
            <w:pPr>
              <w:spacing w:before="0" w:after="0" w:line="240" w:lineRule="auto"/>
            </w:pPr>
            <w:r/>
            <w:r>
              <w:rPr>
                <w:sz w:val="17"/>
              </w:rPr>
              <w:t>SPOG</w:t>
            </w:r>
          </w:p>
        </w:tc>
        <w:tc>
          <w:tcPr>
            <w:tcW w:type="dxa" w:w="1625"/>
            <w:tcMar>
              <w:top w:w="70" w:type="dxa"/>
              <w:start w:w="85" w:type="dxa"/>
              <w:bottom w:w="70" w:type="dxa"/>
              <w:end w:w="85" w:type="dxa"/>
            </w:tcMar>
            <w:vAlign w:val="center"/>
          </w:tcPr>
          <w:p>
            <w:pPr>
              <w:spacing w:before="0" w:after="0" w:line="240" w:lineRule="auto"/>
            </w:pPr>
            <w:r/>
            <w:r>
              <w:rPr>
                <w:sz w:val="17"/>
              </w:rPr>
              <w:t>IE00B6R51Z18</w:t>
            </w:r>
          </w:p>
        </w:tc>
        <w:tc>
          <w:tcPr>
            <w:tcW w:type="dxa" w:w="1625"/>
            <w:tcMar>
              <w:top w:w="70" w:type="dxa"/>
              <w:start w:w="85" w:type="dxa"/>
              <w:bottom w:w="70" w:type="dxa"/>
              <w:end w:w="85" w:type="dxa"/>
            </w:tcMar>
            <w:vAlign w:val="center"/>
          </w:tcPr>
          <w:p>
            <w:pPr>
              <w:spacing w:before="0" w:after="0" w:line="240" w:lineRule="auto"/>
            </w:pPr>
            <w:r/>
            <w:r>
              <w:rPr>
                <w:sz w:val="17"/>
              </w:rPr>
              <w:t>IOGP</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quantum computing</w:t>
            </w:r>
          </w:p>
        </w:tc>
        <w:tc>
          <w:tcPr>
            <w:tcW w:type="dxa" w:w="1625"/>
            <w:tcMar>
              <w:top w:w="70" w:type="dxa"/>
              <w:start w:w="85" w:type="dxa"/>
              <w:bottom w:w="70" w:type="dxa"/>
              <w:end w:w="85" w:type="dxa"/>
            </w:tcMar>
            <w:vAlign w:val="center"/>
          </w:tcPr>
          <w:p>
            <w:pPr>
              <w:spacing w:before="0" w:after="0" w:line="240" w:lineRule="auto"/>
            </w:pPr>
            <w:r/>
            <w:r>
              <w:rPr>
                <w:sz w:val="17"/>
              </w:rPr>
              <w:t>QANT</w:t>
            </w:r>
          </w:p>
        </w:tc>
        <w:tc>
          <w:tcPr>
            <w:tcW w:type="dxa" w:w="1625"/>
            <w:tcMar>
              <w:top w:w="70" w:type="dxa"/>
              <w:start w:w="85" w:type="dxa"/>
              <w:bottom w:w="70" w:type="dxa"/>
              <w:end w:w="85" w:type="dxa"/>
            </w:tcMar>
            <w:vAlign w:val="center"/>
          </w:tcPr>
          <w:p>
            <w:pPr>
              <w:spacing w:before="0" w:after="0" w:line="240" w:lineRule="auto"/>
            </w:pPr>
            <w:r/>
            <w:r>
              <w:rPr>
                <w:sz w:val="17"/>
              </w:rPr>
              <w:t>IE000C6ITGC8</w:t>
            </w:r>
          </w:p>
        </w:tc>
        <w:tc>
          <w:tcPr>
            <w:tcW w:type="dxa" w:w="1625"/>
            <w:tcMar>
              <w:top w:w="70" w:type="dxa"/>
              <w:start w:w="85" w:type="dxa"/>
              <w:bottom w:w="70" w:type="dxa"/>
              <w:end w:w="85" w:type="dxa"/>
            </w:tcMar>
            <w:vAlign w:val="center"/>
          </w:tcPr>
          <w:p>
            <w:pPr>
              <w:spacing w:before="0" w:after="0" w:line="240" w:lineRule="auto"/>
            </w:pPr>
            <w:r/>
            <w:r>
              <w:rPr>
                <w:sz w:val="17"/>
              </w:rPr>
              <w:t>QNTG</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retail</w:t>
            </w:r>
          </w:p>
        </w:tc>
        <w:tc>
          <w:tcPr>
            <w:tcW w:type="dxa" w:w="1625"/>
            <w:tcMar>
              <w:top w:w="70" w:type="dxa"/>
              <w:start w:w="85" w:type="dxa"/>
              <w:bottom w:w="70" w:type="dxa"/>
              <w:end w:w="85" w:type="dxa"/>
            </w:tcMar>
            <w:vAlign w:val="center"/>
          </w:tcPr>
          <w:p>
            <w:pPr>
              <w:spacing w:before="0" w:after="0" w:line="240" w:lineRule="auto"/>
            </w:pPr>
            <w:r/>
            <w:r>
              <w:rPr>
                <w:sz w:val="17"/>
              </w:rPr>
              <w:t>EBIG</w:t>
            </w:r>
          </w:p>
        </w:tc>
        <w:tc>
          <w:tcPr>
            <w:tcW w:type="dxa" w:w="1625"/>
            <w:tcMar>
              <w:top w:w="70" w:type="dxa"/>
              <w:start w:w="85" w:type="dxa"/>
              <w:bottom w:w="70" w:type="dxa"/>
              <w:end w:w="85" w:type="dxa"/>
            </w:tcMar>
            <w:vAlign w:val="center"/>
          </w:tcPr>
          <w:p>
            <w:pPr>
              <w:spacing w:before="0" w:after="0" w:line="240" w:lineRule="auto"/>
            </w:pPr>
            <w:r/>
            <w:r>
              <w:rPr>
                <w:sz w:val="17"/>
              </w:rPr>
              <w:t>IE00BMH5XY61</w:t>
            </w:r>
          </w:p>
        </w:tc>
        <w:tc>
          <w:tcPr>
            <w:tcW w:type="dxa" w:w="1625"/>
            <w:tcMar>
              <w:top w:w="70" w:type="dxa"/>
              <w:start w:w="85" w:type="dxa"/>
              <w:bottom w:w="70" w:type="dxa"/>
              <w:end w:w="85" w:type="dxa"/>
            </w:tcMar>
            <w:vAlign w:val="center"/>
          </w:tcPr>
          <w:p>
            <w:pPr>
              <w:spacing w:before="0" w:after="0" w:line="240" w:lineRule="auto"/>
            </w:pPr>
            <w:r/>
            <w:r>
              <w:rPr>
                <w:sz w:val="17"/>
              </w:rPr>
              <w:t>EBIZ</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robotics &amp; automation</w:t>
            </w:r>
          </w:p>
        </w:tc>
        <w:tc>
          <w:tcPr>
            <w:tcW w:type="dxa" w:w="1625"/>
            <w:tcMar>
              <w:top w:w="70" w:type="dxa"/>
              <w:start w:w="85" w:type="dxa"/>
              <w:bottom w:w="70" w:type="dxa"/>
              <w:end w:w="85" w:type="dxa"/>
            </w:tcMar>
            <w:vAlign w:val="center"/>
          </w:tcPr>
          <w:p>
            <w:pPr>
              <w:spacing w:before="0" w:after="0" w:line="240" w:lineRule="auto"/>
            </w:pPr>
            <w:r/>
            <w:r>
              <w:rPr>
                <w:sz w:val="17"/>
              </w:rPr>
              <w:t>RBTX</w:t>
            </w:r>
          </w:p>
        </w:tc>
        <w:tc>
          <w:tcPr>
            <w:tcW w:type="dxa" w:w="1625"/>
            <w:tcMar>
              <w:top w:w="70" w:type="dxa"/>
              <w:start w:w="85" w:type="dxa"/>
              <w:bottom w:w="70" w:type="dxa"/>
              <w:end w:w="85" w:type="dxa"/>
            </w:tcMar>
            <w:vAlign w:val="center"/>
          </w:tcPr>
          <w:p>
            <w:pPr>
              <w:spacing w:before="0" w:after="0" w:line="240" w:lineRule="auto"/>
            </w:pPr>
            <w:r/>
            <w:r>
              <w:rPr>
                <w:sz w:val="17"/>
              </w:rPr>
              <w:t>IE00BYZK4552</w:t>
            </w:r>
          </w:p>
        </w:tc>
        <w:tc>
          <w:tcPr>
            <w:tcW w:type="dxa" w:w="1625"/>
            <w:tcMar>
              <w:top w:w="70" w:type="dxa"/>
              <w:start w:w="85" w:type="dxa"/>
              <w:bottom w:w="70" w:type="dxa"/>
              <w:end w:w="85" w:type="dxa"/>
            </w:tcMar>
            <w:vAlign w:val="center"/>
          </w:tcPr>
          <w:p>
            <w:pPr>
              <w:spacing w:before="0" w:after="0" w:line="240" w:lineRule="auto"/>
            </w:pPr>
            <w:r/>
            <w:r>
              <w:rPr>
                <w:sz w:val="17"/>
              </w:rPr>
              <w:t>RBOT</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semiconductors</w:t>
            </w:r>
          </w:p>
        </w:tc>
        <w:tc>
          <w:tcPr>
            <w:tcW w:type="dxa" w:w="1625"/>
            <w:tcMar>
              <w:top w:w="70" w:type="dxa"/>
              <w:start w:w="85" w:type="dxa"/>
              <w:bottom w:w="70" w:type="dxa"/>
              <w:end w:w="85" w:type="dxa"/>
            </w:tcMar>
            <w:vAlign w:val="center"/>
          </w:tcPr>
          <w:p>
            <w:pPr>
              <w:spacing w:before="0" w:after="0" w:line="240" w:lineRule="auto"/>
            </w:pPr>
            <w:r/>
            <w:r>
              <w:rPr>
                <w:sz w:val="17"/>
              </w:rPr>
              <w:t>SMGB</w:t>
            </w:r>
          </w:p>
        </w:tc>
        <w:tc>
          <w:tcPr>
            <w:tcW w:type="dxa" w:w="1625"/>
            <w:tcMar>
              <w:top w:w="70" w:type="dxa"/>
              <w:start w:w="85" w:type="dxa"/>
              <w:bottom w:w="70" w:type="dxa"/>
              <w:end w:w="85" w:type="dxa"/>
            </w:tcMar>
            <w:vAlign w:val="center"/>
          </w:tcPr>
          <w:p>
            <w:pPr>
              <w:spacing w:before="0" w:after="0" w:line="240" w:lineRule="auto"/>
            </w:pPr>
            <w:r/>
            <w:r>
              <w:rPr>
                <w:sz w:val="17"/>
              </w:rPr>
              <w:t>IE00BMC38736</w:t>
            </w:r>
          </w:p>
        </w:tc>
        <w:tc>
          <w:tcPr>
            <w:tcW w:type="dxa" w:w="1625"/>
            <w:tcMar>
              <w:top w:w="70" w:type="dxa"/>
              <w:start w:w="85" w:type="dxa"/>
              <w:bottom w:w="70" w:type="dxa"/>
              <w:end w:w="85" w:type="dxa"/>
            </w:tcMar>
            <w:vAlign w:val="center"/>
          </w:tcPr>
          <w:p>
            <w:pPr>
              <w:spacing w:before="0" w:after="0" w:line="240" w:lineRule="auto"/>
            </w:pPr>
            <w:r/>
            <w:r>
              <w:rPr>
                <w:sz w:val="17"/>
              </w:rPr>
              <w:t>SMH</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silver miners</w:t>
            </w:r>
          </w:p>
        </w:tc>
        <w:tc>
          <w:tcPr>
            <w:tcW w:type="dxa" w:w="1625"/>
            <w:tcMar>
              <w:top w:w="70" w:type="dxa"/>
              <w:start w:w="85" w:type="dxa"/>
              <w:bottom w:w="70" w:type="dxa"/>
              <w:end w:w="85" w:type="dxa"/>
            </w:tcMar>
            <w:vAlign w:val="center"/>
          </w:tcPr>
          <w:p>
            <w:pPr>
              <w:spacing w:before="0" w:after="0" w:line="240" w:lineRule="auto"/>
            </w:pPr>
            <w:r/>
            <w:r>
              <w:rPr>
                <w:sz w:val="17"/>
              </w:rPr>
              <w:t>SILG</w:t>
            </w:r>
          </w:p>
        </w:tc>
        <w:tc>
          <w:tcPr>
            <w:tcW w:type="dxa" w:w="1625"/>
            <w:tcMar>
              <w:top w:w="70" w:type="dxa"/>
              <w:start w:w="85" w:type="dxa"/>
              <w:bottom w:w="70" w:type="dxa"/>
              <w:end w:w="85" w:type="dxa"/>
            </w:tcMar>
            <w:vAlign w:val="center"/>
          </w:tcPr>
          <w:p>
            <w:pPr>
              <w:spacing w:before="0" w:after="0" w:line="240" w:lineRule="auto"/>
            </w:pPr>
            <w:r/>
            <w:r>
              <w:rPr>
                <w:sz w:val="17"/>
              </w:rPr>
              <w:t>IE000UL6CLP7</w:t>
            </w:r>
          </w:p>
        </w:tc>
        <w:tc>
          <w:tcPr>
            <w:tcW w:type="dxa" w:w="1625"/>
            <w:tcMar>
              <w:top w:w="70" w:type="dxa"/>
              <w:start w:w="85" w:type="dxa"/>
              <w:bottom w:w="70" w:type="dxa"/>
              <w:end w:w="85" w:type="dxa"/>
            </w:tcMar>
            <w:vAlign w:val="center"/>
          </w:tcPr>
          <w:p>
            <w:pPr>
              <w:spacing w:before="0" w:after="0" w:line="240" w:lineRule="auto"/>
            </w:pPr>
            <w:r/>
            <w:r>
              <w:rPr>
                <w:sz w:val="17"/>
              </w:rPr>
              <w:t>SILV</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software</w:t>
            </w:r>
          </w:p>
        </w:tc>
        <w:tc>
          <w:tcPr>
            <w:tcW w:type="dxa" w:w="1625"/>
            <w:tcMar>
              <w:top w:w="70" w:type="dxa"/>
              <w:start w:w="85" w:type="dxa"/>
              <w:bottom w:w="70" w:type="dxa"/>
              <w:end w:w="85" w:type="dxa"/>
            </w:tcMar>
            <w:vAlign w:val="center"/>
          </w:tcPr>
          <w:p>
            <w:pPr>
              <w:spacing w:before="0" w:after="0" w:line="240" w:lineRule="auto"/>
            </w:pPr>
            <w:r/>
            <w:r>
              <w:rPr>
                <w:sz w:val="17"/>
              </w:rPr>
              <w:t>KLWD</w:t>
            </w:r>
          </w:p>
        </w:tc>
        <w:tc>
          <w:tcPr>
            <w:tcW w:type="dxa" w:w="1625"/>
            <w:tcMar>
              <w:top w:w="70" w:type="dxa"/>
              <w:start w:w="85" w:type="dxa"/>
              <w:bottom w:w="70" w:type="dxa"/>
              <w:end w:w="85" w:type="dxa"/>
            </w:tcMar>
            <w:vAlign w:val="center"/>
          </w:tcPr>
          <w:p>
            <w:pPr>
              <w:spacing w:before="0" w:after="0" w:line="240" w:lineRule="auto"/>
            </w:pPr>
            <w:r/>
            <w:r>
              <w:rPr>
                <w:sz w:val="17"/>
              </w:rPr>
              <w:t>IE00BJGWQN72</w:t>
            </w:r>
          </w:p>
        </w:tc>
        <w:tc>
          <w:tcPr>
            <w:tcW w:type="dxa" w:w="1625"/>
            <w:tcMar>
              <w:top w:w="70" w:type="dxa"/>
              <w:start w:w="85" w:type="dxa"/>
              <w:bottom w:w="70" w:type="dxa"/>
              <w:end w:w="85" w:type="dxa"/>
            </w:tcMar>
            <w:vAlign w:val="center"/>
          </w:tcPr>
          <w:p>
            <w:pPr>
              <w:spacing w:before="0" w:after="0" w:line="240" w:lineRule="auto"/>
            </w:pPr>
            <w:r/>
            <w:r>
              <w:rPr>
                <w:sz w:val="17"/>
              </w:rPr>
              <w:t>WCLD</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solar</w:t>
            </w:r>
          </w:p>
        </w:tc>
        <w:tc>
          <w:tcPr>
            <w:tcW w:type="dxa" w:w="1625"/>
            <w:tcMar>
              <w:top w:w="70" w:type="dxa"/>
              <w:start w:w="85" w:type="dxa"/>
              <w:bottom w:w="70" w:type="dxa"/>
              <w:end w:w="85" w:type="dxa"/>
            </w:tcMar>
            <w:vAlign w:val="center"/>
          </w:tcPr>
          <w:p>
            <w:pPr>
              <w:spacing w:before="0" w:after="0" w:line="240" w:lineRule="auto"/>
            </w:pPr>
            <w:r/>
            <w:r>
              <w:rPr>
                <w:sz w:val="17"/>
              </w:rPr>
              <w:t>RAYS</w:t>
            </w:r>
          </w:p>
        </w:tc>
        <w:tc>
          <w:tcPr>
            <w:tcW w:type="dxa" w:w="1625"/>
            <w:tcMar>
              <w:top w:w="70" w:type="dxa"/>
              <w:start w:w="85" w:type="dxa"/>
              <w:bottom w:w="70" w:type="dxa"/>
              <w:end w:w="85" w:type="dxa"/>
            </w:tcMar>
            <w:vAlign w:val="center"/>
          </w:tcPr>
          <w:p>
            <w:pPr>
              <w:spacing w:before="0" w:after="0" w:line="240" w:lineRule="auto"/>
            </w:pPr>
            <w:r/>
            <w:r>
              <w:rPr>
                <w:sz w:val="17"/>
              </w:rPr>
              <w:t>IE00BM8QRZ79</w:t>
            </w:r>
          </w:p>
        </w:tc>
        <w:tc>
          <w:tcPr>
            <w:tcW w:type="dxa" w:w="1625"/>
            <w:tcMar>
              <w:top w:w="70" w:type="dxa"/>
              <w:start w:w="85" w:type="dxa"/>
              <w:bottom w:w="70" w:type="dxa"/>
              <w:end w:w="85" w:type="dxa"/>
            </w:tcMar>
            <w:vAlign w:val="center"/>
          </w:tcPr>
          <w:p>
            <w:pPr>
              <w:spacing w:before="0" w:after="0" w:line="240" w:lineRule="auto"/>
            </w:pPr>
            <w:r/>
            <w:r>
              <w:rPr>
                <w:sz w:val="17"/>
              </w:rPr>
              <w:t>ISUN</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transportation</w:t>
            </w:r>
          </w:p>
        </w:tc>
        <w:tc>
          <w:tcPr>
            <w:tcW w:type="dxa" w:w="1625"/>
            <w:tcMar>
              <w:top w:w="70" w:type="dxa"/>
              <w:start w:w="85" w:type="dxa"/>
              <w:bottom w:w="70" w:type="dxa"/>
              <w:end w:w="85" w:type="dxa"/>
            </w:tcMar>
            <w:vAlign w:val="center"/>
          </w:tcPr>
          <w:p>
            <w:pPr>
              <w:spacing w:before="0" w:after="0" w:line="240" w:lineRule="auto"/>
            </w:pPr>
            <w:r/>
            <w:r>
              <w:rPr>
                <w:sz w:val="17"/>
              </w:rPr>
              <w:t>ECOG</w:t>
            </w:r>
          </w:p>
        </w:tc>
        <w:tc>
          <w:tcPr>
            <w:tcW w:type="dxa" w:w="1625"/>
            <w:tcMar>
              <w:top w:w="70" w:type="dxa"/>
              <w:start w:w="85" w:type="dxa"/>
              <w:bottom w:w="70" w:type="dxa"/>
              <w:end w:w="85" w:type="dxa"/>
            </w:tcMar>
            <w:vAlign w:val="center"/>
          </w:tcPr>
          <w:p>
            <w:pPr>
              <w:spacing w:before="0" w:after="0" w:line="240" w:lineRule="auto"/>
            </w:pPr>
            <w:r/>
            <w:r>
              <w:rPr>
                <w:sz w:val="17"/>
              </w:rPr>
              <w:t>IE00BF0M6N54</w:t>
            </w:r>
          </w:p>
        </w:tc>
        <w:tc>
          <w:tcPr>
            <w:tcW w:type="dxa" w:w="1625"/>
            <w:tcMar>
              <w:top w:w="70" w:type="dxa"/>
              <w:start w:w="85" w:type="dxa"/>
              <w:bottom w:w="70" w:type="dxa"/>
              <w:end w:w="85" w:type="dxa"/>
            </w:tcMar>
            <w:vAlign w:val="center"/>
          </w:tcPr>
          <w:p>
            <w:pPr>
              <w:spacing w:before="0" w:after="0" w:line="240" w:lineRule="auto"/>
            </w:pPr>
            <w:r/>
            <w:r>
              <w:rPr>
                <w:sz w:val="17"/>
              </w:rPr>
              <w:t>ECOM</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uranium &amp; nuclear</w:t>
            </w:r>
          </w:p>
        </w:tc>
        <w:tc>
          <w:tcPr>
            <w:tcW w:type="dxa" w:w="1625"/>
            <w:tcMar>
              <w:top w:w="70" w:type="dxa"/>
              <w:start w:w="85" w:type="dxa"/>
              <w:bottom w:w="70" w:type="dxa"/>
              <w:end w:w="85" w:type="dxa"/>
            </w:tcMar>
            <w:vAlign w:val="center"/>
          </w:tcPr>
          <w:p>
            <w:pPr>
              <w:spacing w:before="0" w:after="0" w:line="240" w:lineRule="auto"/>
            </w:pPr>
            <w:r/>
            <w:r>
              <w:rPr>
                <w:sz w:val="17"/>
              </w:rPr>
              <w:t>NUCG</w:t>
            </w:r>
          </w:p>
        </w:tc>
        <w:tc>
          <w:tcPr>
            <w:tcW w:type="dxa" w:w="1625"/>
            <w:tcMar>
              <w:top w:w="70" w:type="dxa"/>
              <w:start w:w="85" w:type="dxa"/>
              <w:bottom w:w="70" w:type="dxa"/>
              <w:end w:w="85" w:type="dxa"/>
            </w:tcMar>
            <w:vAlign w:val="center"/>
          </w:tcPr>
          <w:p>
            <w:pPr>
              <w:spacing w:before="0" w:after="0" w:line="240" w:lineRule="auto"/>
            </w:pPr>
            <w:r/>
            <w:r>
              <w:rPr>
                <w:sz w:val="17"/>
              </w:rPr>
              <w:t>IE000M7V94E1</w:t>
            </w:r>
          </w:p>
        </w:tc>
        <w:tc>
          <w:tcPr>
            <w:tcW w:type="dxa" w:w="1625"/>
            <w:tcMar>
              <w:top w:w="70" w:type="dxa"/>
              <w:start w:w="85" w:type="dxa"/>
              <w:bottom w:w="70" w:type="dxa"/>
              <w:end w:w="85" w:type="dxa"/>
            </w:tcMar>
            <w:vAlign w:val="center"/>
          </w:tcPr>
          <w:p>
            <w:pPr>
              <w:spacing w:before="0" w:after="0" w:line="240" w:lineRule="auto"/>
            </w:pPr>
            <w:r/>
            <w:r>
              <w:rPr>
                <w:sz w:val="17"/>
              </w:rPr>
              <w:t>NUCL</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Global water</w:t>
            </w:r>
          </w:p>
        </w:tc>
        <w:tc>
          <w:tcPr>
            <w:tcW w:type="dxa" w:w="1625"/>
            <w:tcMar>
              <w:top w:w="70" w:type="dxa"/>
              <w:start w:w="85" w:type="dxa"/>
              <w:bottom w:w="70" w:type="dxa"/>
              <w:end w:w="85" w:type="dxa"/>
            </w:tcMar>
            <w:vAlign w:val="center"/>
          </w:tcPr>
          <w:p>
            <w:pPr>
              <w:spacing w:before="0" w:after="0" w:line="240" w:lineRule="auto"/>
            </w:pPr>
            <w:r/>
            <w:r>
              <w:rPr>
                <w:sz w:val="17"/>
              </w:rPr>
              <w:t>IH2O</w:t>
            </w:r>
          </w:p>
        </w:tc>
        <w:tc>
          <w:tcPr>
            <w:tcW w:type="dxa" w:w="1625"/>
            <w:tcMar>
              <w:top w:w="70" w:type="dxa"/>
              <w:start w:w="85" w:type="dxa"/>
              <w:bottom w:w="70" w:type="dxa"/>
              <w:end w:w="85" w:type="dxa"/>
            </w:tcMar>
            <w:vAlign w:val="center"/>
          </w:tcPr>
          <w:p>
            <w:pPr>
              <w:spacing w:before="0" w:after="0" w:line="240" w:lineRule="auto"/>
            </w:pPr>
            <w:r/>
            <w:r>
              <w:rPr>
                <w:sz w:val="17"/>
              </w:rPr>
              <w:t>IE00B1TXK627</w:t>
            </w:r>
          </w:p>
        </w:tc>
        <w:tc>
          <w:tcPr>
            <w:tcW w:type="dxa" w:w="1625"/>
            <w:tcMar>
              <w:top w:w="70" w:type="dxa"/>
              <w:start w:w="85" w:type="dxa"/>
              <w:bottom w:w="70" w:type="dxa"/>
              <w:end w:w="85" w:type="dxa"/>
            </w:tcMar>
            <w:vAlign w:val="center"/>
          </w:tcPr>
          <w:p>
            <w:pPr>
              <w:spacing w:before="0" w:after="0" w:line="240" w:lineRule="auto"/>
            </w:pPr>
            <w:r/>
            <w:r>
              <w:rPr>
                <w:sz w:val="17"/>
              </w:rPr>
              <w:t>DH2O</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r>
        <w:tc>
          <w:tcPr>
            <w:tcW w:type="dxa" w:w="1625"/>
            <w:tcMar>
              <w:top w:w="70" w:type="dxa"/>
              <w:start w:w="85" w:type="dxa"/>
              <w:bottom w:w="70" w:type="dxa"/>
              <w:end w:w="85" w:type="dxa"/>
            </w:tcMar>
            <w:vAlign w:val="center"/>
          </w:tcPr>
          <w:p>
            <w:pPr>
              <w:spacing w:before="0" w:after="0" w:line="240" w:lineRule="auto"/>
            </w:pPr>
            <w:r/>
            <w:r>
              <w:rPr>
                <w:sz w:val="17"/>
              </w:rPr>
              <w:t>US aerospace &amp; defence</w:t>
            </w:r>
          </w:p>
        </w:tc>
        <w:tc>
          <w:tcPr>
            <w:tcW w:type="dxa" w:w="1625"/>
            <w:tcMar>
              <w:top w:w="70" w:type="dxa"/>
              <w:start w:w="85" w:type="dxa"/>
              <w:bottom w:w="70" w:type="dxa"/>
              <w:end w:w="85" w:type="dxa"/>
            </w:tcMar>
            <w:vAlign w:val="center"/>
          </w:tcPr>
          <w:p>
            <w:pPr>
              <w:spacing w:before="0" w:after="0" w:line="240" w:lineRule="auto"/>
            </w:pPr>
            <w:r/>
            <w:r>
              <w:rPr>
                <w:sz w:val="17"/>
              </w:rPr>
              <w:t>SEAL</w:t>
            </w:r>
          </w:p>
        </w:tc>
        <w:tc>
          <w:tcPr>
            <w:tcW w:type="dxa" w:w="1625"/>
            <w:tcMar>
              <w:top w:w="70" w:type="dxa"/>
              <w:start w:w="85" w:type="dxa"/>
              <w:bottom w:w="70" w:type="dxa"/>
              <w:end w:w="85" w:type="dxa"/>
            </w:tcMar>
            <w:vAlign w:val="center"/>
          </w:tcPr>
          <w:p>
            <w:pPr>
              <w:spacing w:before="0" w:after="0" w:line="240" w:lineRule="auto"/>
            </w:pPr>
            <w:r/>
            <w:r>
              <w:rPr>
                <w:sz w:val="17"/>
              </w:rPr>
              <w:t>IE000KDY10O3</w:t>
            </w:r>
          </w:p>
        </w:tc>
        <w:tc>
          <w:tcPr>
            <w:tcW w:type="dxa" w:w="1625"/>
            <w:tcMar>
              <w:top w:w="70" w:type="dxa"/>
              <w:start w:w="85" w:type="dxa"/>
              <w:bottom w:w="70" w:type="dxa"/>
              <w:end w:w="85" w:type="dxa"/>
            </w:tcMar>
            <w:vAlign w:val="center"/>
          </w:tcPr>
          <w:p>
            <w:pPr>
              <w:spacing w:before="0" w:after="0" w:line="240" w:lineRule="auto"/>
            </w:pPr>
            <w:r/>
            <w:r>
              <w:rPr>
                <w:sz w:val="17"/>
              </w:rPr>
              <w:t>GIJO</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All-horizon warm-up</w:t>
            </w:r>
          </w:p>
        </w:tc>
      </w:tr>
      <w:tr>
        <w:tc>
          <w:tcPr>
            <w:tcW w:type="dxa" w:w="1625"/>
            <w:tcMar>
              <w:top w:w="70" w:type="dxa"/>
              <w:start w:w="85" w:type="dxa"/>
              <w:bottom w:w="70" w:type="dxa"/>
              <w:end w:w="85" w:type="dxa"/>
            </w:tcMar>
            <w:vAlign w:val="center"/>
          </w:tcPr>
          <w:p>
            <w:pPr>
              <w:spacing w:before="0" w:after="0" w:line="240" w:lineRule="auto"/>
            </w:pPr>
            <w:r/>
            <w:r>
              <w:rPr>
                <w:sz w:val="17"/>
              </w:rPr>
              <w:t>US banks</w:t>
            </w:r>
          </w:p>
        </w:tc>
        <w:tc>
          <w:tcPr>
            <w:tcW w:type="dxa" w:w="1625"/>
            <w:tcMar>
              <w:top w:w="70" w:type="dxa"/>
              <w:start w:w="85" w:type="dxa"/>
              <w:bottom w:w="70" w:type="dxa"/>
              <w:end w:w="85" w:type="dxa"/>
            </w:tcMar>
            <w:vAlign w:val="center"/>
          </w:tcPr>
          <w:p>
            <w:pPr>
              <w:spacing w:before="0" w:after="0" w:line="240" w:lineRule="auto"/>
            </w:pPr>
            <w:r/>
            <w:r>
              <w:rPr>
                <w:sz w:val="17"/>
              </w:rPr>
              <w:t>XUFB</w:t>
            </w:r>
          </w:p>
        </w:tc>
        <w:tc>
          <w:tcPr>
            <w:tcW w:type="dxa" w:w="1625"/>
            <w:tcMar>
              <w:top w:w="70" w:type="dxa"/>
              <w:start w:w="85" w:type="dxa"/>
              <w:bottom w:w="70" w:type="dxa"/>
              <w:end w:w="85" w:type="dxa"/>
            </w:tcMar>
            <w:vAlign w:val="center"/>
          </w:tcPr>
          <w:p>
            <w:pPr>
              <w:spacing w:before="0" w:after="0" w:line="240" w:lineRule="auto"/>
            </w:pPr>
            <w:r/>
            <w:r>
              <w:rPr>
                <w:sz w:val="17"/>
              </w:rPr>
              <w:t>IE00BDVPTJ63</w:t>
            </w:r>
          </w:p>
        </w:tc>
        <w:tc>
          <w:tcPr>
            <w:tcW w:type="dxa" w:w="1625"/>
            <w:tcMar>
              <w:top w:w="70" w:type="dxa"/>
              <w:start w:w="85" w:type="dxa"/>
              <w:bottom w:w="70" w:type="dxa"/>
              <w:end w:w="85" w:type="dxa"/>
            </w:tcMar>
            <w:vAlign w:val="center"/>
          </w:tcPr>
          <w:p>
            <w:pPr>
              <w:spacing w:before="0" w:after="0" w:line="240" w:lineRule="auto"/>
            </w:pPr>
            <w:r/>
            <w:r>
              <w:rPr>
                <w:sz w:val="17"/>
              </w:rPr>
              <w:t>BNKS</w:t>
            </w:r>
          </w:p>
        </w:tc>
        <w:tc>
          <w:tcPr>
            <w:tcW w:type="dxa" w:w="1625"/>
            <w:tcMar>
              <w:top w:w="70" w:type="dxa"/>
              <w:start w:w="85" w:type="dxa"/>
              <w:bottom w:w="70" w:type="dxa"/>
              <w:end w:w="85" w:type="dxa"/>
            </w:tcMar>
            <w:vAlign w:val="center"/>
          </w:tcPr>
          <w:p>
            <w:pPr>
              <w:spacing w:before="0" w:after="0" w:line="240" w:lineRule="auto"/>
            </w:pPr>
            <w:r/>
            <w:r>
              <w:rPr>
                <w:sz w:val="17"/>
              </w:rPr>
              <w:t>GBP</w:t>
            </w:r>
          </w:p>
        </w:tc>
        <w:tc>
          <w:tcPr>
            <w:tcW w:type="dxa" w:w="1625"/>
            <w:tcMar>
              <w:top w:w="70" w:type="dxa"/>
              <w:start w:w="85" w:type="dxa"/>
              <w:bottom w:w="70" w:type="dxa"/>
              <w:end w:w="85" w:type="dxa"/>
            </w:tcMar>
            <w:vAlign w:val="center"/>
          </w:tcPr>
          <w:p>
            <w:pPr>
              <w:spacing w:before="0" w:after="0" w:line="240" w:lineRule="auto"/>
            </w:pPr>
            <w:r/>
            <w:r>
              <w:rPr>
                <w:sz w:val="17"/>
              </w:rPr>
              <w:t>Ready</w:t>
            </w:r>
          </w:p>
        </w:tc>
      </w:tr>
    </w:tbl>
    <w:p>
      <w:pPr>
        <w:pStyle w:val="SourceCitation"/>
      </w:pPr>
      <w:r>
        <w:rPr>
          <w:sz w:val="16"/>
        </w:rPr>
        <w:t xml:space="preserve">Current-only map at 2026-08-21. Internal source [LIVE-MAP]: A5C </w:t>
      </w:r>
      <w:r>
        <w:rPr>
          <w:rFonts w:ascii="Consolas" w:hAnsi="Consolas"/>
          <w:color w:val="1F4D78"/>
          <w:sz w:val="16"/>
        </w:rPr>
        <w:t>UKACTIVE_A5C_SIPP_LIVE_INSTRUMENT_MAP_V2.csv</w:t>
      </w:r>
      <w:r>
        <w:rPr>
          <w:sz w:val="16"/>
        </w:rPr>
        <w:t xml:space="preserve">, results commit </w:t>
      </w:r>
      <w:r>
        <w:rPr>
          <w:rFonts w:ascii="Consolas" w:hAnsi="Consolas"/>
          <w:color w:val="1F4D78"/>
          <w:sz w:val="16"/>
        </w:rPr>
        <w:t>beb8d49828b9819aa167d2e07ffdc2b92581b36b</w:t>
      </w:r>
      <w:r>
        <w:rPr>
          <w:sz w:val="16"/>
        </w:rPr>
        <w:t>, all 31 role rows; the supplement includes fund names, alternate ISINs, hedging status and permission flags.</w:t>
      </w:r>
    </w:p>
    <w:p>
      <w:r>
        <w:t>Preferred GBP/GBX execution avoids a broker FX conversion fee, but most equity lines are unhedged. Their underlying companies, indices and fund NAVs retain currency exposure. Same-ISIN USD alternates such as IWDA, MISL, ISAG and VOLT are recorded for identity and control but are not permissible automatic substitutes under the frozen GBP-only operating rule. A same-currency alternate may be considered only where the map explicitly permits it and current SIPP availability has been confirmed.</w:t>
      </w:r>
    </w:p>
    <w:p>
      <w:r>
        <w:t>If a selected preferred line and its permitted frozen alternate are unavailable or suspended, the family remains selected scientifically but its capital slot goes to CSH2 operationally. The next-ranked family is not promoted. That rule preserves the ranking decision and makes implementation failure visible instead of disguising it as a new model choice.</w:t>
      </w:r>
    </w:p>
    <w:p>
      <w:pPr>
        <w:pStyle w:val="Heading1"/>
      </w:pPr>
      <w:r>
        <w:t>29. Defensive implementation</w:t>
      </w:r>
    </w:p>
    <w:p>
      <w:r>
        <w:t>The 25% defensive allocation has three distinct implementation roles.</w:t>
      </w:r>
    </w:p>
    <w:p>
      <w:r>
        <w:rPr>
          <w:b/>
        </w:rPr>
        <w:t>RLON</w:t>
      </w:r>
      <w:r>
        <w:t xml:space="preserve"> is the strategic defensive holding label. The final A5C repository did not establish its exact current share class, ISIN and dealing terms. The canonical row therefore says </w:t>
      </w:r>
      <w:r>
        <w:rPr>
          <w:rFonts w:ascii="Consolas" w:hAnsi="Consolas"/>
          <w:color w:val="1F4D78"/>
        </w:rPr>
        <w:t>AWAITING_EXACT_CURRENT_HOLDING_SHARE_CLASS</w:t>
      </w:r>
      <w:r>
        <w:t xml:space="preserve"> and the project remains blocked on a dated holdings export. This paper does not infer an identity from the user label.</w:t>
      </w:r>
    </w:p>
    <w:p>
      <w:r>
        <w:rPr>
          <w:b/>
        </w:rPr>
        <w:t>CSH2</w:t>
      </w:r>
      <w:r>
        <w:t>, Amundi Smart Overnight Return GBP Hedged (</w:t>
      </w:r>
      <w:r>
        <w:rPr>
          <w:rFonts w:ascii="Consolas" w:hAnsi="Consolas"/>
          <w:color w:val="1F4D78"/>
        </w:rPr>
        <w:t>LU1230136894</w:t>
      </w:r>
      <w:r>
        <w:t>), is the frozen tactical liquidity instrument. It receives unavailable or suspended M2 slots and can hold affected sleeve capital while a data, execution or cost breach is resolved. Current SIPP permission still requires confirmation.</w:t>
      </w:r>
    </w:p>
    <w:p>
      <w:r>
        <w:rPr>
          <w:b/>
        </w:rPr>
        <w:t>Broker cash</w:t>
      </w:r>
      <w:r>
        <w:t xml:space="preserve"> is reserved for settlement, charges and small residual balances. It is not the strategic 25% defensive asset and is not the historical research cash series.</w:t>
      </w:r>
    </w:p>
    <w:p>
      <w:r>
        <w:t>RLON and CSH2 are not assumed to earn 4% permanently. Their returns depend on short-term interest rates, fees, tracking and instrument structure. Current positive cash yields can reduce the opportunity cost of operational waiting, but yields will fall if policy and money-market rates decline. Historical strategy tests used the accepted time-varying SONIA-based proxy rather than the current observed yield of either product.</w:t>
      </w:r>
    </w:p>
    <w:p>
      <w:pPr>
        <w:pStyle w:val="Heading1"/>
      </w:pPr>
      <w:r>
        <w:t>30. How the strategy should be used</w:t>
      </w:r>
    </w:p>
    <w:p>
      <w:r>
        <w:t>The intended use is a disciplined monthly process, not continuous discretionary trading. Before any first run, the account must be operationally ready: a dated exact holdings export, verified RLON identity, current Interactive Investor plan, and current SIPP confirmation for CSH2 and selected ETF lines are required. After readiness and explicit user approval, the monthly sequence is:</w:t>
      </w:r>
    </w:p>
    <w:p>
      <w:pPr>
        <w:pStyle w:val="ListNumber"/>
      </w:pPr>
      <w:r>
        <w:t>validate the frozen code and configuration hashes, source prices, total-return fields, GBP cash data, XLON calendar, universe and append-only ledger;</w:t>
      </w:r>
    </w:p>
    <w:p>
      <w:pPr>
        <w:pStyle w:val="ListNumber"/>
      </w:pPr>
      <w:r>
        <w:t>determine point-in-time eligible families without forcing warm-up members into the signal;</w:t>
      </w:r>
    </w:p>
    <w:p>
      <w:pPr>
        <w:pStyle w:val="ListNumber"/>
      </w:pPr>
      <w:r>
        <w:t>calculate 21-, 42-, 63-, 126- and 252-session benchmark-relative returns through the final valid month-end close;</w:t>
      </w:r>
    </w:p>
    <w:p>
      <w:pPr>
        <w:pStyle w:val="ListNumber"/>
      </w:pPr>
      <w:r>
        <w:t>convert each horizon to the eligible cross-sectional percentile and compute M2 with frozen weights;</w:t>
      </w:r>
    </w:p>
    <w:p>
      <w:pPr>
        <w:pStyle w:val="ListNumber"/>
      </w:pPr>
      <w:r>
        <w:t>rank economic families with average-tie and family-ID rules;</w:t>
      </w:r>
    </w:p>
    <w:p>
      <w:pPr>
        <w:pStyle w:val="ListNumber"/>
      </w:pPr>
      <w:r>
        <w:t>select TOP7 and assign equal M2-sleeve weights;</w:t>
      </w:r>
    </w:p>
    <w:p>
      <w:pPr>
        <w:pStyle w:val="ListNumber"/>
      </w:pPr>
      <w:r>
        <w:t>map each selected family to its preferred confirmed GBP/GBX instrument or permitted frozen alternate;</w:t>
      </w:r>
    </w:p>
    <w:p>
      <w:pPr>
        <w:pStyle w:val="ListNumber"/>
      </w:pPr>
      <w:r>
        <w:t>calculate whole-SIPP targets at 65% SWDA, 10% M2 and 25% defensive;</w:t>
      </w:r>
    </w:p>
    <w:p>
      <w:pPr>
        <w:pStyle w:val="ListNumber"/>
      </w:pPr>
      <w:r>
        <w:t>compare targets with actual holdings and recognise any existing thematic exposure;</w:t>
      </w:r>
    </w:p>
    <w:p>
      <w:pPr>
        <w:pStyle w:val="ListNumber"/>
      </w:pPr>
      <w:r>
        <w:t>ensure aggregate active/thematic exposure will remain at or below 25%;</w:t>
      </w:r>
    </w:p>
    <w:p>
      <w:pPr>
        <w:pStyle w:val="ListNumber"/>
      </w:pPr>
      <w:r>
        <w:t>resolve the first valid following XLON execution session within the three-session window;</w:t>
      </w:r>
    </w:p>
    <w:p>
      <w:pPr>
        <w:pStyle w:val="ListNumber"/>
      </w:pPr>
      <w:r>
        <w:t>prepare a review-only trade list using market-price execution and 20 bps expected one-way friction;</w:t>
      </w:r>
    </w:p>
    <w:p>
      <w:pPr>
        <w:pStyle w:val="ListNumber"/>
      </w:pPr>
      <w:r>
        <w:t>allocate any unavailable or suspended slot to CSH2;</w:t>
      </w:r>
    </w:p>
    <w:p>
      <w:pPr>
        <w:pStyle w:val="ListNumber"/>
      </w:pPr>
      <w:r>
        <w:t>obtain explicit approval, execute manually, and record fills, dealing fees, spread/shortfall and deviations; and</w:t>
      </w:r>
    </w:p>
    <w:p>
      <w:pPr>
        <w:pStyle w:val="ListNumber"/>
      </w:pPr>
      <w:r>
        <w:t>make no discretionary intra-month change.</w:t>
      </w:r>
    </w:p>
    <w:p>
      <w:pPr>
        <w:pStyle w:val="SourceCitation"/>
      </w:pPr>
      <w:r>
        <w:rPr>
          <w:sz w:val="16"/>
        </w:rPr>
        <w:t xml:space="preserve">Internal sources [PILOT-ALLOCATION] and [PILOT-CAP]: A5C frozen spec, freeze commit </w:t>
      </w:r>
      <w:r>
        <w:rPr>
          <w:rFonts w:ascii="Consolas" w:hAnsi="Consolas"/>
          <w:color w:val="1F4D78"/>
          <w:sz w:val="16"/>
        </w:rPr>
        <w:t>a8008f7</w:t>
      </w:r>
      <w:r>
        <w:rPr>
          <w:sz w:val="16"/>
        </w:rPr>
        <w:t xml:space="preserve">; A5C </w:t>
      </w:r>
      <w:r>
        <w:rPr>
          <w:rFonts w:ascii="Consolas" w:hAnsi="Consolas"/>
          <w:color w:val="1F4D78"/>
          <w:sz w:val="16"/>
        </w:rPr>
        <w:t>UKACTIVE_A5C_SIPP_MONTHLY_RUNBOOK.md</w:t>
      </w:r>
      <w:r>
        <w:rPr>
          <w:sz w:val="16"/>
        </w:rPr>
        <w:t xml:space="preserve">, results commit </w:t>
      </w:r>
      <w:r>
        <w:rPr>
          <w:rFonts w:ascii="Consolas" w:hAnsi="Consolas"/>
          <w:color w:val="1F4D78"/>
          <w:sz w:val="16"/>
        </w:rPr>
        <w:t>beb8d49</w:t>
      </w:r>
      <w:r>
        <w:rPr>
          <w:sz w:val="16"/>
        </w:rPr>
        <w:t>.</w:t>
      </w:r>
    </w:p>
    <w:p>
      <w:r>
        <w:t>At a 10% M2 sleeve, each of seven equal families is approximately 1.43% of the whole SIPP. This limits any one theme's target impact but does not eliminate overlap with SWDA or the defensive book. Existing thematic funds must be replaced by, or absorbed within, the M2 budget; the sleeve is not automatically added on top of them. The 25% aggregate active/thematic cap is a governance ceiling, not a target.</w:t>
      </w:r>
    </w:p>
    <w:p>
      <w:r>
        <w:t>The operating assumption is deliberately conservative: use market-price execution in planning, not midpoint fills. Actual implementation shortfall may be better or worse and must be measured. No code in A5C can transmit orders. The supplement provides a complete checklist, ledger fields and exception path.</w:t>
      </w:r>
    </w:p>
    <w:p>
      <w:pPr>
        <w:pStyle w:val="Heading1"/>
      </w:pPr>
      <w:r>
        <w:t>31. Performance expectations and relative underperformance</w:t>
      </w:r>
    </w:p>
    <w:p>
      <w:r>
        <w:t>M2 should not be expected to beat SWDA every calendar year. The historical process accepted routine underperformance while seeking participation in episodic, persistent leadership. In seven of the ten full or partial calendar rows, M2 did not beat SWDA. At 10% whole-SIPP weight, the corresponding drag was smaller, but it remained negative in 2017, 2018, 2019, 2021, 2022, 2023 and 2024.</w:t>
      </w:r>
    </w:p>
    <w:p>
      <w:r>
        <w:t xml:space="preserve">Relative-regret diagnostics quantify the tolerance demanded by such a process. Standalone M2's maximum relative drawdown versus SWDA was −26.78%, and the longest relative-underperformance span was 1,595 calendar days. Against the 75/25 control, the 10% pilot's maximum relative drawdown was −3.10% with the same 1,595-day duration. The 15% and 25% comparators reached −4.54% and −7.37%, with longest spans of 1,595 and 1,594 days. (Internal source: A5C </w:t>
      </w:r>
      <w:r>
        <w:rPr>
          <w:rFonts w:ascii="Consolas" w:hAnsi="Consolas"/>
          <w:color w:val="1F4D78"/>
        </w:rPr>
        <w:t>UKACTIVE_A5C_SIPP_RELATIVE_REGRET.csv</w:t>
      </w:r>
      <w:r>
        <w:t xml:space="preserve">, results commit </w:t>
      </w:r>
      <w:r>
        <w:rPr>
          <w:rFonts w:ascii="Consolas" w:hAnsi="Consolas"/>
          <w:color w:val="1F4D78"/>
        </w:rPr>
        <w:t>beb8d49</w:t>
      </w:r>
      <w:r>
        <w:t xml:space="preserve">, </w:t>
      </w:r>
      <w:r>
        <w:rPr>
          <w:rFonts w:ascii="Consolas" w:hAnsi="Consolas"/>
          <w:color w:val="1F4D78"/>
        </w:rPr>
        <w:t>MAXIMUM_RELATIVE_DRAWDOWN</w:t>
      </w:r>
      <w:r>
        <w:t xml:space="preserve"> and </w:t>
      </w:r>
      <w:r>
        <w:rPr>
          <w:rFonts w:ascii="Consolas" w:hAnsi="Consolas"/>
          <w:color w:val="1F4D78"/>
        </w:rPr>
        <w:t>LONGEST_RELATIVE_UNDERPERFORMANCE_DAYS</w:t>
      </w:r>
      <w:r>
        <w:t xml:space="preserve"> rows.)</w:t>
      </w:r>
    </w:p>
    <w:p>
      <w:pPr>
        <w:keepNext/>
        <w:jc w:val="center"/>
      </w:pPr>
      <w:r>
        <w:drawing>
          <wp:inline xmlns:a="http://schemas.openxmlformats.org/drawingml/2006/main" xmlns:pic="http://schemas.openxmlformats.org/drawingml/2006/picture">
            <wp:extent cx="5806440" cy="3079672"/>
            <wp:docPr id="16" name="Picture 16"/>
            <wp:cNvGraphicFramePr>
              <a:graphicFrameLocks noChangeAspect="1"/>
            </wp:cNvGraphicFramePr>
            <a:graphic>
              <a:graphicData uri="http://schemas.openxmlformats.org/drawingml/2006/picture">
                <pic:pic>
                  <pic:nvPicPr>
                    <pic:cNvPr id="0" name="FIGURE_16_RELATIVE_REGRET.png"/>
                    <pic:cNvPicPr/>
                  </pic:nvPicPr>
                  <pic:blipFill>
                    <a:blip r:embed="rId26"/>
                    <a:stretch>
                      <a:fillRect/>
                    </a:stretch>
                  </pic:blipFill>
                  <pic:spPr>
                    <a:xfrm>
                      <a:off x="0" y="0"/>
                      <a:ext cx="5806440" cy="3079672"/>
                    </a:xfrm>
                    <a:prstGeom prst="rect"/>
                  </pic:spPr>
                </pic:pic>
              </a:graphicData>
            </a:graphic>
          </wp:inline>
        </w:drawing>
      </w:r>
    </w:p>
    <w:p>
      <w:pPr>
        <w:pStyle w:val="FigureCaptionUKACTIVE"/>
      </w:pPr>
      <w:r>
        <w:rPr>
          <w:b/>
          <w:sz w:val="18"/>
        </w:rPr>
        <w:t>Figure 16.</w:t>
      </w:r>
      <w:r>
        <w:rPr>
          <w:sz w:val="18"/>
        </w:rPr>
        <w:t xml:space="preserve"> Rolling 12-month compounded relative returns for standalone M2 versus SWDA and 10%/15%/25% wrappers versus the 75/25 control. Wrapper lines retain a fixed 25% defensive allocation and use II Plus £563,000 subscription-separated results.</w:t>
      </w:r>
    </w:p>
    <w:p>
      <w:r>
        <w:t>At 10%, a −10% standalone relative period contributes roughly −1% before interaction and cost to whole-SIPP relative performance; the separately simulated wrapper, rather than linear attribution, remains authoritative. At 15% and 25%, both upside participation and regret scale. A small or temporary benchmark lag can be economically tolerable if the sleeve retains its bounded role and the operating contract remains intact. It cannot be reclassified as a defect merely because SWDA wins a year.</w:t>
      </w:r>
    </w:p>
    <w:p>
      <w:r>
        <w:t>No performance stop was estimated from the historical sample. Creating one now would reuse the same exposed path, risk cutting off the right tail, and contradict the failed deterioration/exit tests. Performance is monitored as evidence, not as an automatic allocation switch.</w:t>
      </w:r>
    </w:p>
    <w:p>
      <w:pPr>
        <w:pStyle w:val="Heading1"/>
      </w:pPr>
      <w:r>
        <w:t>32. Suspension and governance</w:t>
      </w:r>
    </w:p>
    <w:p>
      <w:r>
        <w:t>Suspension is triggered by process integrity, not ordinary returns:</w:t>
      </w:r>
    </w:p>
    <w:p>
      <w:pPr>
        <w:pStyle w:val="ListBullet"/>
      </w:pPr>
      <w:r>
        <w:rPr>
          <w:b/>
        </w:rPr>
        <w:t>Data-validation failure:</w:t>
      </w:r>
      <w:r>
        <w:t xml:space="preserve"> if price, total-return, cash, universe, calendar or hash validation fails, create no decision, do not backfill and retain affected capital in CSH2.</w:t>
      </w:r>
    </w:p>
    <w:p>
      <w:pPr>
        <w:pStyle w:val="ListBullet"/>
      </w:pPr>
      <w:r>
        <w:rPr>
          <w:b/>
        </w:rPr>
        <w:t>Rank reproducibility failure:</w:t>
      </w:r>
      <w:r>
        <w:t xml:space="preserve"> if a second frozen run cannot reproduce the same eligible set, scores and order, suspend M2 and hold the sleeve in CSH2.</w:t>
      </w:r>
    </w:p>
    <w:p>
      <w:pPr>
        <w:pStyle w:val="ListBullet"/>
      </w:pPr>
      <w:r>
        <w:rPr>
          <w:b/>
        </w:rPr>
        <w:t>Instrument unavailability:</w:t>
      </w:r>
      <w:r>
        <w:t xml:space="preserve"> if neither the preferred line nor a permitted frozen GBP/GBX alternate is available, place only that slot in CSH2.</w:t>
      </w:r>
    </w:p>
    <w:p>
      <w:pPr>
        <w:pStyle w:val="ListBullet"/>
      </w:pPr>
      <w:r>
        <w:rPr>
          <w:b/>
        </w:rPr>
        <w:t>Execution-window failure:</w:t>
      </w:r>
      <w:r>
        <w:t xml:space="preserve"> if execution cannot occur within three valid XLON sessions, do not chase the market; use CSH2.</w:t>
      </w:r>
    </w:p>
    <w:p>
      <w:pPr>
        <w:pStyle w:val="ListBullet"/>
      </w:pPr>
      <w:r>
        <w:rPr>
          <w:b/>
        </w:rPr>
        <w:t>Cost breach:</w:t>
      </w:r>
      <w:r>
        <w:t xml:space="preserve"> if quoted or actual one-way friction exceeds 40 bps, suspend that instrument change and review implementation.</w:t>
      </w:r>
    </w:p>
    <w:p>
      <w:pPr>
        <w:pStyle w:val="ListBullet"/>
      </w:pPr>
      <w:r>
        <w:rPr>
          <w:b/>
        </w:rPr>
        <w:t>Historical defect:</w:t>
      </w:r>
      <w:r>
        <w:t xml:space="preserve"> if a material causal, return, mapping or cost defect is discovered in a canonical input or frozen implementation, stop prospective use and reopen scientific review under a new immutable lineage.</w:t>
      </w:r>
    </w:p>
    <w:p>
      <w:pPr>
        <w:pStyle w:val="ListBullet"/>
      </w:pPr>
      <w:r>
        <w:rPr>
          <w:b/>
        </w:rPr>
        <w:t>No performance-only stop:</w:t>
      </w:r>
      <w:r>
        <w:t xml:space="preserve"> short-term or calendar-year underperformance alone is not a model defect.</w:t>
      </w:r>
    </w:p>
    <w:p>
      <w:r>
        <w:t>The cost threshold is an operational suspension rule, not permission to redefine the historical cost assumption. A suspended slot remains visible in the ledger, including reason, dates and eventual resolution. Governance forbids discretionary substitution, intra-month exits, leverage, shorting, performance-chasing and silent alteration of the family taxonomy.</w:t>
      </w:r>
    </w:p>
    <w:p>
      <w:r>
        <w:t>Research should reopen if the frozen implementation cannot be reproduced; if a material historical defect changes the evidence grade or selected specification; if structural changes make a substantial part of the universe unimplementable; if actual friction persistently violates the operating envelope; or if accumulated prospective evidence shows the ranking no longer behaves differently from its controls. Reopening means a new preregistered research stage, not an ad hoc live override.</w:t>
      </w:r>
    </w:p>
    <w:p>
      <w:pPr>
        <w:pStyle w:val="Heading1"/>
      </w:pPr>
      <w:r>
        <w:t>33. Prospective evidence plan</w:t>
      </w:r>
    </w:p>
    <w:p>
      <w:r>
        <w:t xml:space="preserve">At freeze, the prospective ledger contained its header and zero data rows. The earliest expected post-freeze signal was the first valid month-end after the freeze, identified by the A5C runbook as 2026-08-28; no observation before freeze may be relabelled prospective. The historical conclusion is fixed at the 2026-08-21 cutoff. (Internal source [A5C-LEDGER]: A5C prospective ledger at freeze commit </w:t>
      </w:r>
      <w:r>
        <w:rPr>
          <w:rFonts w:ascii="Consolas" w:hAnsi="Consolas"/>
          <w:color w:val="1F4D78"/>
        </w:rPr>
        <w:t>a8008f7</w:t>
      </w:r>
      <w:r>
        <w:t xml:space="preserve">; runbook at results commit </w:t>
      </w:r>
      <w:r>
        <w:rPr>
          <w:rFonts w:ascii="Consolas" w:hAnsi="Consolas"/>
          <w:color w:val="1F4D78"/>
        </w:rPr>
        <w:t>beb8d49</w:t>
      </w:r>
      <w:r>
        <w:t>.)</w:t>
      </w:r>
    </w:p>
    <w:p>
      <w:r>
        <w:t>Each prospective month should record the data hash, calendar hash, eligible denominator, five component ranks, composite score, TOP7, preferred/alternate mapping, target and actual weights, execution session, intended and realised prices, dealing fees, implementation shortfall, CSH2 substitutions, regime telemetry, approval and exception status. Parallel controls should include the contemporaneous equal-weight opportunity pool, SWDA, matched-count random selection or an immutable random-control protocol, and the 75/25 whole-SIPP control. Leadership episodes should be reviewed prospectively by participation, duration, rank stability and realised contribution without creating new exits.</w:t>
      </w:r>
    </w:p>
    <w:p>
      <w:r>
        <w:t>Evidence for considering 15% or 25% should not be reduced to elapsed time or positive P&amp;L. There is no fixed requirement to wait exactly 24–36 months, and there is no automatic escalation after a profitable year. A sizing review should require operational stability; sufficiently varied prospective market and leadership episodes; costs within the frozen envelope; persistent ranking advantage versus contemporaneous controls; contributor support not confined to one accidental winner; and a whole-SIPP risk budget that remains acceptable. Because these criteria require judgement, any increase also requires explicit user approval and a documented governance decision.</w:t>
      </w:r>
    </w:p>
    <w:p>
      <w:r>
        <w:t>Abandonment should be considered if a historical defect invalidates the causal chain, repeated prospective rank failures resemble random controls, implementation costs consume the expected margin, instrument availability makes the family process unrepresentative, or the right-tail mechanism fails across enough independent leadership opportunities to make the original interpretation untenable. A few losing months or one lagging year are insufficient on their own.</w:t>
      </w:r>
    </w:p>
    <w:p>
      <w:r>
        <w:t xml:space="preserve">Prospective evidence is required to advance beyond </w:t>
      </w:r>
      <w:r>
        <w:rPr>
          <w:rFonts w:ascii="Consolas" w:hAnsi="Consolas"/>
          <w:color w:val="1F4D78"/>
        </w:rPr>
        <w:t>E2_DEVELOPMENTAL</w:t>
      </w:r>
      <w:r>
        <w:t xml:space="preserve">. A5C passed 26 of 26 correctness checks, but correctness means the code and artefacts satisfy their frozen contracts; it does not mean the expected return is confirmed. At the final decision, readiness remained </w:t>
      </w:r>
      <w:r>
        <w:rPr>
          <w:rFonts w:ascii="Consolas" w:hAnsi="Consolas"/>
          <w:color w:val="1F4D78"/>
        </w:rPr>
        <w:t>AWAITING_CURRENT_HOLDINGS_INPUT</w:t>
      </w:r>
      <w:r>
        <w:t xml:space="preserve"> and </w:t>
      </w:r>
      <w:r>
        <w:rPr>
          <w:rFonts w:ascii="Consolas" w:hAnsi="Consolas"/>
          <w:color w:val="1F4D78"/>
        </w:rPr>
        <w:t>pilot_operationally_ready=false</w:t>
      </w:r>
      <w:r>
        <w:t xml:space="preserve">. (Internal sources [A5C-CHECKS] and [A5C-READINESS]: A5C correctness CSV and decision JSON, results commit </w:t>
      </w:r>
      <w:r>
        <w:rPr>
          <w:rFonts w:ascii="Consolas" w:hAnsi="Consolas"/>
          <w:color w:val="1F4D78"/>
        </w:rPr>
        <w:t>beb8d49</w:t>
      </w:r>
      <w:r>
        <w:t>.)</w:t>
      </w:r>
    </w:p>
    <w:p>
      <w:pPr>
        <w:pStyle w:val="Heading1"/>
      </w:pPr>
      <w:r>
        <w:t>34. Limitations</w:t>
      </w:r>
    </w:p>
    <w:p>
      <w:r>
        <w:t>Limitations are part of the result, not a closing disclaimer. Table 22 states the likely direction where it can be reasoned; “ambiguous” is used when a one-sided claim would be speculative.</w:t>
      </w:r>
    </w:p>
    <w:p>
      <w:pPr>
        <w:keepNext/>
        <w:spacing w:before="160" w:after="80"/>
      </w:pPr>
      <w:r>
        <w:rPr>
          <w:b/>
        </w:rPr>
        <w:t>Table 22. Risks, limitations and mitigations</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Limitation</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Classification</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Consequence</w:t>
            </w:r>
          </w:p>
        </w:tc>
        <w:tc>
          <w:tcPr>
            <w:tcW w:type="dxa" w:w="2438"/>
            <w:tcMar>
              <w:top w:w="70" w:type="dxa"/>
              <w:start w:w="85" w:type="dxa"/>
              <w:bottom w:w="70" w:type="dxa"/>
              <w:end w:w="85" w:type="dxa"/>
            </w:tcMar>
            <w:vAlign w:val="center"/>
            <w:shd w:fill="F4F6F9"/>
          </w:tcPr>
          <w:p>
            <w:pPr>
              <w:spacing w:before="0" w:after="0" w:line="240" w:lineRule="auto"/>
            </w:pPr>
            <w:r>
              <w:rPr>
                <w:b/>
                <w:color w:val="1F4D78"/>
              </w:rPr>
            </w:r>
            <w:r>
              <w:rPr>
                <w:b/>
                <w:color w:val="1F4D78"/>
                <w:sz w:val="17"/>
              </w:rPr>
              <w:t>Mitigation / residual</w:t>
            </w:r>
          </w:p>
        </w:tc>
      </w:tr>
      <w:tr>
        <w:tc>
          <w:tcPr>
            <w:tcW w:type="dxa" w:w="2438"/>
            <w:tcMar>
              <w:top w:w="70" w:type="dxa"/>
              <w:start w:w="85" w:type="dxa"/>
              <w:bottom w:w="70" w:type="dxa"/>
              <w:end w:w="85" w:type="dxa"/>
            </w:tcMar>
            <w:vAlign w:val="center"/>
          </w:tcPr>
          <w:p>
            <w:pPr>
              <w:spacing w:before="0" w:after="0" w:line="240" w:lineRule="auto"/>
            </w:pPr>
            <w:r/>
            <w:r>
              <w:rPr>
                <w:sz w:val="17"/>
              </w:rPr>
              <w:t>Executable history begins 2017</w:t>
            </w:r>
          </w:p>
        </w:tc>
        <w:tc>
          <w:tcPr>
            <w:tcW w:type="dxa" w:w="2438"/>
            <w:tcMar>
              <w:top w:w="70" w:type="dxa"/>
              <w:start w:w="85" w:type="dxa"/>
              <w:bottom w:w="70" w:type="dxa"/>
              <w:end w:w="85" w:type="dxa"/>
            </w:tcMar>
            <w:vAlign w:val="center"/>
          </w:tcPr>
          <w:p>
            <w:pPr>
              <w:spacing w:before="0" w:after="0" w:line="240" w:lineRule="auto"/>
            </w:pPr>
            <w:r/>
            <w:r>
              <w:rPr>
                <w:sz w:val="17"/>
              </w:rPr>
              <w:t>Generalisability; likely upward uncertainty</w:t>
            </w:r>
          </w:p>
        </w:tc>
        <w:tc>
          <w:tcPr>
            <w:tcW w:type="dxa" w:w="2438"/>
            <w:tcMar>
              <w:top w:w="70" w:type="dxa"/>
              <w:start w:w="85" w:type="dxa"/>
              <w:bottom w:w="70" w:type="dxa"/>
              <w:end w:w="85" w:type="dxa"/>
            </w:tcMar>
            <w:vAlign w:val="center"/>
          </w:tcPr>
          <w:p>
            <w:pPr>
              <w:spacing w:before="0" w:after="0" w:line="240" w:lineRule="auto"/>
            </w:pPr>
            <w:r/>
            <w:r>
              <w:rPr>
                <w:sz w:val="17"/>
              </w:rPr>
              <w:t>Few independent market regimes</w:t>
            </w:r>
          </w:p>
        </w:tc>
        <w:tc>
          <w:tcPr>
            <w:tcW w:type="dxa" w:w="2438"/>
            <w:tcMar>
              <w:top w:w="70" w:type="dxa"/>
              <w:start w:w="85" w:type="dxa"/>
              <w:bottom w:w="70" w:type="dxa"/>
              <w:end w:w="85" w:type="dxa"/>
            </w:tcMar>
            <w:vAlign w:val="center"/>
          </w:tcPr>
          <w:p>
            <w:pPr>
              <w:spacing w:before="0" w:after="0" w:line="240" w:lineRule="auto"/>
            </w:pPr>
            <w:r/>
            <w:r>
              <w:rPr>
                <w:sz w:val="17"/>
              </w:rPr>
              <w:t>Freeze and prospective controls; cannot create history</w:t>
            </w:r>
          </w:p>
        </w:tc>
      </w:tr>
      <w:tr>
        <w:tc>
          <w:tcPr>
            <w:tcW w:type="dxa" w:w="2438"/>
            <w:tcMar>
              <w:top w:w="70" w:type="dxa"/>
              <w:start w:w="85" w:type="dxa"/>
              <w:bottom w:w="70" w:type="dxa"/>
              <w:end w:w="85" w:type="dxa"/>
            </w:tcMar>
            <w:vAlign w:val="center"/>
          </w:tcPr>
          <w:p>
            <w:pPr>
              <w:spacing w:before="0" w:after="0" w:line="240" w:lineRule="auto"/>
            </w:pPr>
            <w:r/>
            <w:r>
              <w:rPr>
                <w:sz w:val="17"/>
              </w:rPr>
              <w:t>No 2000–2003 implementation test</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Unknown behaviour in technology unwind</w:t>
            </w:r>
          </w:p>
        </w:tc>
        <w:tc>
          <w:tcPr>
            <w:tcW w:type="dxa" w:w="2438"/>
            <w:tcMar>
              <w:top w:w="70" w:type="dxa"/>
              <w:start w:w="85" w:type="dxa"/>
              <w:bottom w:w="70" w:type="dxa"/>
              <w:end w:w="85" w:type="dxa"/>
            </w:tcMar>
            <w:vAlign w:val="center"/>
          </w:tcPr>
          <w:p>
            <w:pPr>
              <w:spacing w:before="0" w:after="0" w:line="240" w:lineRule="auto"/>
            </w:pPr>
            <w:r/>
            <w:r>
              <w:rPr>
                <w:sz w:val="17"/>
              </w:rPr>
              <w:t>None within ETF launch history</w:t>
            </w:r>
          </w:p>
        </w:tc>
      </w:tr>
      <w:tr>
        <w:tc>
          <w:tcPr>
            <w:tcW w:type="dxa" w:w="2438"/>
            <w:tcMar>
              <w:top w:w="70" w:type="dxa"/>
              <w:start w:w="85" w:type="dxa"/>
              <w:bottom w:w="70" w:type="dxa"/>
              <w:end w:w="85" w:type="dxa"/>
            </w:tcMar>
            <w:vAlign w:val="center"/>
          </w:tcPr>
          <w:p>
            <w:pPr>
              <w:spacing w:before="0" w:after="0" w:line="240" w:lineRule="auto"/>
            </w:pPr>
            <w:r/>
            <w:r>
              <w:rPr>
                <w:sz w:val="17"/>
              </w:rPr>
              <w:t>No 2007–2009 implementation test</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Unknown crisis implementation</w:t>
            </w:r>
          </w:p>
        </w:tc>
        <w:tc>
          <w:tcPr>
            <w:tcW w:type="dxa" w:w="2438"/>
            <w:tcMar>
              <w:top w:w="70" w:type="dxa"/>
              <w:start w:w="85" w:type="dxa"/>
              <w:bottom w:w="70" w:type="dxa"/>
              <w:end w:w="85" w:type="dxa"/>
            </w:tcMar>
            <w:vAlign w:val="center"/>
          </w:tcPr>
          <w:p>
            <w:pPr>
              <w:spacing w:before="0" w:after="0" w:line="240" w:lineRule="auto"/>
            </w:pPr>
            <w:r/>
            <w:r>
              <w:rPr>
                <w:sz w:val="17"/>
              </w:rPr>
              <w:t>Global context is not M2 evidence</w:t>
            </w:r>
          </w:p>
        </w:tc>
      </w:tr>
      <w:tr>
        <w:tc>
          <w:tcPr>
            <w:tcW w:type="dxa" w:w="2438"/>
            <w:tcMar>
              <w:top w:w="70" w:type="dxa"/>
              <w:start w:w="85" w:type="dxa"/>
              <w:bottom w:w="70" w:type="dxa"/>
              <w:end w:w="85" w:type="dxa"/>
            </w:tcMar>
            <w:vAlign w:val="center"/>
          </w:tcPr>
          <w:p>
            <w:pPr>
              <w:spacing w:before="0" w:after="0" w:line="240" w:lineRule="auto"/>
            </w:pPr>
            <w:r/>
            <w:r>
              <w:rPr>
                <w:sz w:val="17"/>
              </w:rPr>
              <w:t>No untouched historical holdout</w:t>
            </w:r>
          </w:p>
        </w:tc>
        <w:tc>
          <w:tcPr>
            <w:tcW w:type="dxa" w:w="2438"/>
            <w:tcMar>
              <w:top w:w="70" w:type="dxa"/>
              <w:start w:w="85" w:type="dxa"/>
              <w:bottom w:w="70" w:type="dxa"/>
              <w:end w:w="85" w:type="dxa"/>
            </w:tcMar>
            <w:vAlign w:val="center"/>
          </w:tcPr>
          <w:p>
            <w:pPr>
              <w:spacing w:before="0" w:after="0" w:line="240" w:lineRule="auto"/>
            </w:pPr>
            <w:r/>
            <w:r>
              <w:rPr>
                <w:sz w:val="17"/>
              </w:rPr>
              <w:t>Probably upward bias</w:t>
            </w:r>
          </w:p>
        </w:tc>
        <w:tc>
          <w:tcPr>
            <w:tcW w:type="dxa" w:w="2438"/>
            <w:tcMar>
              <w:top w:w="70" w:type="dxa"/>
              <w:start w:w="85" w:type="dxa"/>
              <w:bottom w:w="70" w:type="dxa"/>
              <w:end w:w="85" w:type="dxa"/>
            </w:tcMar>
            <w:vAlign w:val="center"/>
          </w:tcPr>
          <w:p>
            <w:pPr>
              <w:spacing w:before="0" w:after="0" w:line="240" w:lineRule="auto"/>
            </w:pPr>
            <w:r/>
            <w:r>
              <w:rPr>
                <w:sz w:val="17"/>
              </w:rPr>
              <w:t>Selection and evaluation share data</w:t>
            </w:r>
          </w:p>
        </w:tc>
        <w:tc>
          <w:tcPr>
            <w:tcW w:type="dxa" w:w="2438"/>
            <w:tcMar>
              <w:top w:w="70" w:type="dxa"/>
              <w:start w:w="85" w:type="dxa"/>
              <w:bottom w:w="70" w:type="dxa"/>
              <w:end w:w="85" w:type="dxa"/>
            </w:tcMar>
            <w:vAlign w:val="center"/>
          </w:tcPr>
          <w:p>
            <w:pPr>
              <w:spacing w:before="0" w:after="0" w:line="240" w:lineRule="auto"/>
            </w:pPr>
            <w:r/>
            <w:r>
              <w:rPr>
                <w:sz w:val="17"/>
              </w:rPr>
              <w:t>Closed development; prospective ledger</w:t>
            </w:r>
          </w:p>
        </w:tc>
      </w:tr>
      <w:tr>
        <w:tc>
          <w:tcPr>
            <w:tcW w:type="dxa" w:w="2438"/>
            <w:tcMar>
              <w:top w:w="70" w:type="dxa"/>
              <w:start w:w="85" w:type="dxa"/>
              <w:bottom w:w="70" w:type="dxa"/>
              <w:end w:w="85" w:type="dxa"/>
            </w:tcMar>
            <w:vAlign w:val="center"/>
          </w:tcPr>
          <w:p>
            <w:pPr>
              <w:spacing w:before="0" w:after="0" w:line="240" w:lineRule="auto"/>
            </w:pPr>
            <w:r/>
            <w:r>
              <w:rPr>
                <w:sz w:val="17"/>
              </w:rPr>
              <w:t>Current availability not historically proven</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Backtest may not match then-tradable retail menu</w:t>
            </w:r>
          </w:p>
        </w:tc>
        <w:tc>
          <w:tcPr>
            <w:tcW w:type="dxa" w:w="2438"/>
            <w:tcMar>
              <w:top w:w="70" w:type="dxa"/>
              <w:start w:w="85" w:type="dxa"/>
              <w:bottom w:w="70" w:type="dxa"/>
              <w:end w:w="85" w:type="dxa"/>
            </w:tcMar>
            <w:vAlign w:val="center"/>
          </w:tcPr>
          <w:p>
            <w:pPr>
              <w:spacing w:before="0" w:after="0" w:line="240" w:lineRule="auto"/>
            </w:pPr>
            <w:r/>
            <w:r>
              <w:rPr>
                <w:sz w:val="17"/>
              </w:rPr>
              <w:t>No back-projection; family/instrument separation</w:t>
            </w:r>
          </w:p>
        </w:tc>
      </w:tr>
      <w:tr>
        <w:tc>
          <w:tcPr>
            <w:tcW w:type="dxa" w:w="2438"/>
            <w:tcMar>
              <w:top w:w="70" w:type="dxa"/>
              <w:start w:w="85" w:type="dxa"/>
              <w:bottom w:w="70" w:type="dxa"/>
              <w:end w:w="85" w:type="dxa"/>
            </w:tcMar>
            <w:vAlign w:val="center"/>
          </w:tcPr>
          <w:p>
            <w:pPr>
              <w:spacing w:before="0" w:after="0" w:line="240" w:lineRule="auto"/>
            </w:pPr>
            <w:r/>
            <w:r>
              <w:rPr>
                <w:sz w:val="17"/>
              </w:rPr>
              <w:t>ETF launches and closures</w:t>
            </w:r>
          </w:p>
        </w:tc>
        <w:tc>
          <w:tcPr>
            <w:tcW w:type="dxa" w:w="2438"/>
            <w:tcMar>
              <w:top w:w="70" w:type="dxa"/>
              <w:start w:w="85" w:type="dxa"/>
              <w:bottom w:w="70" w:type="dxa"/>
              <w:end w:w="85" w:type="dxa"/>
            </w:tcMar>
            <w:vAlign w:val="center"/>
          </w:tcPr>
          <w:p>
            <w:pPr>
              <w:spacing w:before="0" w:after="0" w:line="240" w:lineRule="auto"/>
            </w:pPr>
            <w:r/>
            <w:r>
              <w:rPr>
                <w:sz w:val="17"/>
              </w:rPr>
              <w:t>Probably upward if ignored; handled direction ambiguous</w:t>
            </w:r>
          </w:p>
        </w:tc>
        <w:tc>
          <w:tcPr>
            <w:tcW w:type="dxa" w:w="2438"/>
            <w:tcMar>
              <w:top w:w="70" w:type="dxa"/>
              <w:start w:w="85" w:type="dxa"/>
              <w:bottom w:w="70" w:type="dxa"/>
              <w:end w:w="85" w:type="dxa"/>
            </w:tcMar>
            <w:vAlign w:val="center"/>
          </w:tcPr>
          <w:p>
            <w:pPr>
              <w:spacing w:before="0" w:after="0" w:line="240" w:lineRule="auto"/>
            </w:pPr>
            <w:r/>
            <w:r>
              <w:rPr>
                <w:sz w:val="17"/>
              </w:rPr>
              <w:t>Survivorship and missing exposures</w:t>
            </w:r>
          </w:p>
        </w:tc>
        <w:tc>
          <w:tcPr>
            <w:tcW w:type="dxa" w:w="2438"/>
            <w:tcMar>
              <w:top w:w="70" w:type="dxa"/>
              <w:start w:w="85" w:type="dxa"/>
              <w:bottom w:w="70" w:type="dxa"/>
              <w:end w:w="85" w:type="dxa"/>
            </w:tcMar>
            <w:vAlign w:val="center"/>
          </w:tcPr>
          <w:p>
            <w:pPr>
              <w:spacing w:before="0" w:after="0" w:line="240" w:lineRule="auto"/>
            </w:pPr>
            <w:r/>
            <w:r>
              <w:rPr>
                <w:sz w:val="17"/>
              </w:rPr>
              <w:t>Launch-aware eligibility; no proxy; residual source risk</w:t>
            </w:r>
          </w:p>
        </w:tc>
      </w:tr>
      <w:tr>
        <w:tc>
          <w:tcPr>
            <w:tcW w:type="dxa" w:w="2438"/>
            <w:tcMar>
              <w:top w:w="70" w:type="dxa"/>
              <w:start w:w="85" w:type="dxa"/>
              <w:bottom w:w="70" w:type="dxa"/>
              <w:end w:w="85" w:type="dxa"/>
            </w:tcMar>
            <w:vAlign w:val="center"/>
          </w:tcPr>
          <w:p>
            <w:pPr>
              <w:spacing w:before="0" w:after="0" w:line="240" w:lineRule="auto"/>
            </w:pPr>
            <w:r/>
            <w:r>
              <w:rPr>
                <w:sz w:val="17"/>
              </w:rPr>
              <w:t>Point-in-time reconstruction assumptions</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Endpoint and availability errors can alter ranks</w:t>
            </w:r>
          </w:p>
        </w:tc>
        <w:tc>
          <w:tcPr>
            <w:tcW w:type="dxa" w:w="2438"/>
            <w:tcMar>
              <w:top w:w="70" w:type="dxa"/>
              <w:start w:w="85" w:type="dxa"/>
              <w:bottom w:w="70" w:type="dxa"/>
              <w:end w:w="85" w:type="dxa"/>
            </w:tcMar>
            <w:vAlign w:val="center"/>
          </w:tcPr>
          <w:p>
            <w:pPr>
              <w:spacing w:before="0" w:after="0" w:line="240" w:lineRule="auto"/>
            </w:pPr>
            <w:r/>
            <w:r>
              <w:rPr>
                <w:sz w:val="17"/>
              </w:rPr>
              <w:t>True XLON sessions; prior-only tolerance; audits</w:t>
            </w:r>
          </w:p>
        </w:tc>
      </w:tr>
      <w:tr>
        <w:tc>
          <w:tcPr>
            <w:tcW w:type="dxa" w:w="2438"/>
            <w:tcMar>
              <w:top w:w="70" w:type="dxa"/>
              <w:start w:w="85" w:type="dxa"/>
              <w:bottom w:w="70" w:type="dxa"/>
              <w:end w:w="85" w:type="dxa"/>
            </w:tcMar>
            <w:vAlign w:val="center"/>
          </w:tcPr>
          <w:p>
            <w:pPr>
              <w:spacing w:before="0" w:after="0" w:line="240" w:lineRule="auto"/>
            </w:pPr>
            <w:r/>
            <w:r>
              <w:rPr>
                <w:sz w:val="17"/>
              </w:rPr>
              <w:t>Family-taxonomy risk</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Merging or splitting changes cross-section</w:t>
            </w:r>
          </w:p>
        </w:tc>
        <w:tc>
          <w:tcPr>
            <w:tcW w:type="dxa" w:w="2438"/>
            <w:tcMar>
              <w:top w:w="70" w:type="dxa"/>
              <w:start w:w="85" w:type="dxa"/>
              <w:bottom w:w="70" w:type="dxa"/>
              <w:end w:w="85" w:type="dxa"/>
            </w:tcMar>
            <w:vAlign w:val="center"/>
          </w:tcPr>
          <w:p>
            <w:pPr>
              <w:spacing w:before="0" w:after="0" w:line="240" w:lineRule="auto"/>
            </w:pPr>
            <w:r/>
            <w:r>
              <w:rPr>
                <w:sz w:val="17"/>
              </w:rPr>
              <w:t>Frozen semantic map and duplicate suppression</w:t>
            </w:r>
          </w:p>
        </w:tc>
      </w:tr>
      <w:tr>
        <w:tc>
          <w:tcPr>
            <w:tcW w:type="dxa" w:w="2438"/>
            <w:tcMar>
              <w:top w:w="70" w:type="dxa"/>
              <w:start w:w="85" w:type="dxa"/>
              <w:bottom w:w="70" w:type="dxa"/>
              <w:end w:w="85" w:type="dxa"/>
            </w:tcMar>
            <w:vAlign w:val="center"/>
          </w:tcPr>
          <w:p>
            <w:pPr>
              <w:spacing w:before="0" w:after="0" w:line="240" w:lineRule="auto"/>
            </w:pPr>
            <w:r/>
            <w:r>
              <w:rPr>
                <w:sz w:val="17"/>
              </w:rPr>
              <w:t>Benchmark choice</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SWDA and equal pool answer different questions</w:t>
            </w:r>
          </w:p>
        </w:tc>
        <w:tc>
          <w:tcPr>
            <w:tcW w:type="dxa" w:w="2438"/>
            <w:tcMar>
              <w:top w:w="70" w:type="dxa"/>
              <w:start w:w="85" w:type="dxa"/>
              <w:bottom w:w="70" w:type="dxa"/>
              <w:end w:w="85" w:type="dxa"/>
            </w:tcMar>
            <w:vAlign w:val="center"/>
          </w:tcPr>
          <w:p>
            <w:pPr>
              <w:spacing w:before="0" w:after="0" w:line="240" w:lineRule="auto"/>
            </w:pPr>
            <w:r/>
            <w:r>
              <w:rPr>
                <w:sz w:val="17"/>
              </w:rPr>
              <w:t>Report both; define exact excess estimand</w:t>
            </w:r>
          </w:p>
        </w:tc>
      </w:tr>
      <w:tr>
        <w:tc>
          <w:tcPr>
            <w:tcW w:type="dxa" w:w="2438"/>
            <w:tcMar>
              <w:top w:w="70" w:type="dxa"/>
              <w:start w:w="85" w:type="dxa"/>
              <w:bottom w:w="70" w:type="dxa"/>
              <w:end w:w="85" w:type="dxa"/>
            </w:tcMar>
            <w:vAlign w:val="center"/>
          </w:tcPr>
          <w:p>
            <w:pPr>
              <w:spacing w:before="0" w:after="0" w:line="240" w:lineRule="auto"/>
            </w:pPr>
            <w:r/>
            <w:r>
              <w:rPr>
                <w:sz w:val="17"/>
              </w:rPr>
              <w:t>Right-tail dependence</w:t>
            </w:r>
          </w:p>
        </w:tc>
        <w:tc>
          <w:tcPr>
            <w:tcW w:type="dxa" w:w="2438"/>
            <w:tcMar>
              <w:top w:w="70" w:type="dxa"/>
              <w:start w:w="85" w:type="dxa"/>
              <w:bottom w:w="70" w:type="dxa"/>
              <w:end w:w="85" w:type="dxa"/>
            </w:tcMar>
            <w:vAlign w:val="center"/>
          </w:tcPr>
          <w:p>
            <w:pPr>
              <w:spacing w:before="0" w:after="0" w:line="240" w:lineRule="auto"/>
            </w:pPr>
            <w:r/>
            <w:r>
              <w:rPr>
                <w:sz w:val="17"/>
              </w:rPr>
              <w:t>Probably upward uncertainty, not necessarily bias</w:t>
            </w:r>
          </w:p>
        </w:tc>
        <w:tc>
          <w:tcPr>
            <w:tcW w:type="dxa" w:w="2438"/>
            <w:tcMar>
              <w:top w:w="70" w:type="dxa"/>
              <w:start w:w="85" w:type="dxa"/>
              <w:bottom w:w="70" w:type="dxa"/>
              <w:end w:w="85" w:type="dxa"/>
            </w:tcMar>
            <w:vAlign w:val="center"/>
          </w:tcPr>
          <w:p>
            <w:pPr>
              <w:spacing w:before="0" w:after="0" w:line="240" w:lineRule="auto"/>
            </w:pPr>
            <w:r/>
            <w:r>
              <w:rPr>
                <w:sz w:val="17"/>
              </w:rPr>
              <w:t>Expected edge poorly estimated</w:t>
            </w:r>
          </w:p>
        </w:tc>
        <w:tc>
          <w:tcPr>
            <w:tcW w:type="dxa" w:w="2438"/>
            <w:tcMar>
              <w:top w:w="70" w:type="dxa"/>
              <w:start w:w="85" w:type="dxa"/>
              <w:bottom w:w="70" w:type="dxa"/>
              <w:end w:w="85" w:type="dxa"/>
            </w:tcMar>
            <w:vAlign w:val="center"/>
          </w:tcPr>
          <w:p>
            <w:pPr>
              <w:spacing w:before="0" w:after="0" w:line="240" w:lineRule="auto"/>
            </w:pPr>
            <w:r/>
            <w:r>
              <w:rPr>
                <w:sz w:val="17"/>
              </w:rPr>
              <w:t>Family/spell deletions; limited sleeve</w:t>
            </w:r>
          </w:p>
        </w:tc>
      </w:tr>
      <w:tr>
        <w:tc>
          <w:tcPr>
            <w:tcW w:type="dxa" w:w="2438"/>
            <w:tcMar>
              <w:top w:w="70" w:type="dxa"/>
              <w:start w:w="85" w:type="dxa"/>
              <w:bottom w:w="70" w:type="dxa"/>
              <w:end w:w="85" w:type="dxa"/>
            </w:tcMar>
            <w:vAlign w:val="center"/>
          </w:tcPr>
          <w:p>
            <w:pPr>
              <w:spacing w:before="0" w:after="0" w:line="240" w:lineRule="auto"/>
            </w:pPr>
            <w:r/>
            <w:r>
              <w:rPr>
                <w:sz w:val="17"/>
              </w:rPr>
              <w:t>2020 and 2025 influence</w:t>
            </w:r>
          </w:p>
        </w:tc>
        <w:tc>
          <w:tcPr>
            <w:tcW w:type="dxa" w:w="2438"/>
            <w:tcMar>
              <w:top w:w="70" w:type="dxa"/>
              <w:start w:w="85" w:type="dxa"/>
              <w:bottom w:w="70" w:type="dxa"/>
              <w:end w:w="85" w:type="dxa"/>
            </w:tcMar>
            <w:vAlign w:val="center"/>
          </w:tcPr>
          <w:p>
            <w:pPr>
              <w:spacing w:before="0" w:after="0" w:line="240" w:lineRule="auto"/>
            </w:pPr>
            <w:r/>
            <w:r>
              <w:rPr>
                <w:sz w:val="17"/>
              </w:rPr>
              <w:t>Probably upward uncertainty</w:t>
            </w:r>
          </w:p>
        </w:tc>
        <w:tc>
          <w:tcPr>
            <w:tcW w:type="dxa" w:w="2438"/>
            <w:tcMar>
              <w:top w:w="70" w:type="dxa"/>
              <w:start w:w="85" w:type="dxa"/>
              <w:bottom w:w="70" w:type="dxa"/>
              <w:end w:w="85" w:type="dxa"/>
            </w:tcMar>
            <w:vAlign w:val="center"/>
          </w:tcPr>
          <w:p>
            <w:pPr>
              <w:spacing w:before="0" w:after="0" w:line="240" w:lineRule="auto"/>
            </w:pPr>
            <w:r/>
            <w:r>
              <w:rPr>
                <w:sz w:val="17"/>
              </w:rPr>
              <w:t>Full CAGR sensitive to two years</w:t>
            </w:r>
          </w:p>
        </w:tc>
        <w:tc>
          <w:tcPr>
            <w:tcW w:type="dxa" w:w="2438"/>
            <w:tcMar>
              <w:top w:w="70" w:type="dxa"/>
              <w:start w:w="85" w:type="dxa"/>
              <w:bottom w:w="70" w:type="dxa"/>
              <w:end w:w="85" w:type="dxa"/>
            </w:tcMar>
            <w:vAlign w:val="center"/>
          </w:tcPr>
          <w:p>
            <w:pPr>
              <w:spacing w:before="0" w:after="0" w:line="240" w:lineRule="auto"/>
            </w:pPr>
            <w:r/>
            <w:r>
              <w:rPr>
                <w:sz w:val="17"/>
              </w:rPr>
              <w:t>Exclusion tests disclosed</w:t>
            </w:r>
          </w:p>
        </w:tc>
      </w:tr>
      <w:tr>
        <w:tc>
          <w:tcPr>
            <w:tcW w:type="dxa" w:w="2438"/>
            <w:tcMar>
              <w:top w:w="70" w:type="dxa"/>
              <w:start w:w="85" w:type="dxa"/>
              <w:bottom w:w="70" w:type="dxa"/>
              <w:end w:w="85" w:type="dxa"/>
            </w:tcMar>
            <w:vAlign w:val="center"/>
          </w:tcPr>
          <w:p>
            <w:pPr>
              <w:spacing w:before="0" w:after="0" w:line="240" w:lineRule="auto"/>
            </w:pPr>
            <w:r/>
            <w:r>
              <w:rPr>
                <w:sz w:val="17"/>
              </w:rPr>
              <w:t>Transaction-cost uncertainty</w:t>
            </w:r>
          </w:p>
        </w:tc>
        <w:tc>
          <w:tcPr>
            <w:tcW w:type="dxa" w:w="2438"/>
            <w:tcMar>
              <w:top w:w="70" w:type="dxa"/>
              <w:start w:w="85" w:type="dxa"/>
              <w:bottom w:w="70" w:type="dxa"/>
              <w:end w:w="85" w:type="dxa"/>
            </w:tcMar>
            <w:vAlign w:val="center"/>
          </w:tcPr>
          <w:p>
            <w:pPr>
              <w:spacing w:before="0" w:after="0" w:line="240" w:lineRule="auto"/>
            </w:pPr>
            <w:r/>
            <w:r>
              <w:rPr>
                <w:sz w:val="17"/>
              </w:rPr>
              <w:t>Probably upward if actual costs exceed model</w:t>
            </w:r>
          </w:p>
        </w:tc>
        <w:tc>
          <w:tcPr>
            <w:tcW w:type="dxa" w:w="2438"/>
            <w:tcMar>
              <w:top w:w="70" w:type="dxa"/>
              <w:start w:w="85" w:type="dxa"/>
              <w:bottom w:w="70" w:type="dxa"/>
              <w:end w:w="85" w:type="dxa"/>
            </w:tcMar>
            <w:vAlign w:val="center"/>
          </w:tcPr>
          <w:p>
            <w:pPr>
              <w:spacing w:before="0" w:after="0" w:line="240" w:lineRule="auto"/>
            </w:pPr>
            <w:r/>
            <w:r>
              <w:rPr>
                <w:sz w:val="17"/>
              </w:rPr>
              <w:t>1.34 pp baseline drag; small doubled-cost margin</w:t>
            </w:r>
          </w:p>
        </w:tc>
        <w:tc>
          <w:tcPr>
            <w:tcW w:type="dxa" w:w="2438"/>
            <w:tcMar>
              <w:top w:w="70" w:type="dxa"/>
              <w:start w:w="85" w:type="dxa"/>
              <w:bottom w:w="70" w:type="dxa"/>
              <w:end w:w="85" w:type="dxa"/>
            </w:tcMar>
            <w:vAlign w:val="center"/>
          </w:tcPr>
          <w:p>
            <w:pPr>
              <w:spacing w:before="0" w:after="0" w:line="240" w:lineRule="auto"/>
            </w:pPr>
            <w:r/>
            <w:r>
              <w:rPr>
                <w:sz w:val="17"/>
              </w:rPr>
              <w:t>20/40 bps cases; record actual fills</w:t>
            </w:r>
          </w:p>
        </w:tc>
      </w:tr>
      <w:tr>
        <w:tc>
          <w:tcPr>
            <w:tcW w:type="dxa" w:w="2438"/>
            <w:tcMar>
              <w:top w:w="70" w:type="dxa"/>
              <w:start w:w="85" w:type="dxa"/>
              <w:bottom w:w="70" w:type="dxa"/>
              <w:end w:w="85" w:type="dxa"/>
            </w:tcMar>
            <w:vAlign w:val="center"/>
          </w:tcPr>
          <w:p>
            <w:pPr>
              <w:spacing w:before="0" w:after="0" w:line="240" w:lineRule="auto"/>
            </w:pPr>
            <w:r/>
            <w:r>
              <w:rPr>
                <w:sz w:val="17"/>
              </w:rPr>
              <w:t>Unarchived manual spread review</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No formal spread distribution</w:t>
            </w:r>
          </w:p>
        </w:tc>
        <w:tc>
          <w:tcPr>
            <w:tcW w:type="dxa" w:w="2438"/>
            <w:tcMar>
              <w:top w:w="70" w:type="dxa"/>
              <w:start w:w="85" w:type="dxa"/>
              <w:bottom w:w="70" w:type="dxa"/>
              <w:end w:w="85" w:type="dxa"/>
            </w:tcMar>
            <w:vAlign w:val="center"/>
          </w:tcPr>
          <w:p>
            <w:pPr>
              <w:spacing w:before="0" w:after="0" w:line="240" w:lineRule="auto"/>
            </w:pPr>
            <w:r/>
            <w:r>
              <w:rPr>
                <w:sz w:val="17"/>
              </w:rPr>
              <w:t>No invented statistics; prospective structure</w:t>
            </w:r>
          </w:p>
        </w:tc>
      </w:tr>
      <w:tr>
        <w:tc>
          <w:tcPr>
            <w:tcW w:type="dxa" w:w="2438"/>
            <w:tcMar>
              <w:top w:w="70" w:type="dxa"/>
              <w:start w:w="85" w:type="dxa"/>
              <w:bottom w:w="70" w:type="dxa"/>
              <w:end w:w="85" w:type="dxa"/>
            </w:tcMar>
            <w:vAlign w:val="center"/>
          </w:tcPr>
          <w:p>
            <w:pPr>
              <w:spacing w:before="0" w:after="0" w:line="240" w:lineRule="auto"/>
            </w:pPr>
            <w:r/>
            <w:r>
              <w:rPr>
                <w:sz w:val="17"/>
              </w:rPr>
              <w:t>Tracking and fund differences</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Preferred line may not match family history exactly</w:t>
            </w:r>
          </w:p>
        </w:tc>
        <w:tc>
          <w:tcPr>
            <w:tcW w:type="dxa" w:w="2438"/>
            <w:tcMar>
              <w:top w:w="70" w:type="dxa"/>
              <w:start w:w="85" w:type="dxa"/>
              <w:bottom w:w="70" w:type="dxa"/>
              <w:end w:w="85" w:type="dxa"/>
            </w:tcMar>
            <w:vAlign w:val="center"/>
          </w:tcPr>
          <w:p>
            <w:pPr>
              <w:spacing w:before="0" w:after="0" w:line="240" w:lineRule="auto"/>
            </w:pPr>
            <w:r/>
            <w:r>
              <w:rPr>
                <w:sz w:val="17"/>
              </w:rPr>
              <w:t>Economic mapping and live shortfall ledger</w:t>
            </w:r>
          </w:p>
        </w:tc>
      </w:tr>
      <w:tr>
        <w:tc>
          <w:tcPr>
            <w:tcW w:type="dxa" w:w="2438"/>
            <w:tcMar>
              <w:top w:w="70" w:type="dxa"/>
              <w:start w:w="85" w:type="dxa"/>
              <w:bottom w:w="70" w:type="dxa"/>
              <w:end w:w="85" w:type="dxa"/>
            </w:tcMar>
            <w:vAlign w:val="center"/>
          </w:tcPr>
          <w:p>
            <w:pPr>
              <w:spacing w:before="0" w:after="0" w:line="240" w:lineRule="auto"/>
            </w:pPr>
            <w:r/>
            <w:r>
              <w:rPr>
                <w:sz w:val="17"/>
              </w:rPr>
              <w:t>Cash-yield regime dependence</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Defensive returns fall with rates</w:t>
            </w:r>
          </w:p>
        </w:tc>
        <w:tc>
          <w:tcPr>
            <w:tcW w:type="dxa" w:w="2438"/>
            <w:tcMar>
              <w:top w:w="70" w:type="dxa"/>
              <w:start w:w="85" w:type="dxa"/>
              <w:bottom w:w="70" w:type="dxa"/>
              <w:end w:w="85" w:type="dxa"/>
            </w:tcMar>
            <w:vAlign w:val="center"/>
          </w:tcPr>
          <w:p>
            <w:pPr>
              <w:spacing w:before="0" w:after="0" w:line="240" w:lineRule="auto"/>
            </w:pPr>
            <w:r/>
            <w:r>
              <w:rPr>
                <w:sz w:val="17"/>
              </w:rPr>
              <w:t>Time-varying historical proxy; no permanent 4%</w:t>
            </w:r>
          </w:p>
        </w:tc>
      </w:tr>
      <w:tr>
        <w:tc>
          <w:tcPr>
            <w:tcW w:type="dxa" w:w="2438"/>
            <w:tcMar>
              <w:top w:w="70" w:type="dxa"/>
              <w:start w:w="85" w:type="dxa"/>
              <w:bottom w:w="70" w:type="dxa"/>
              <w:end w:w="85" w:type="dxa"/>
            </w:tcMar>
            <w:vAlign w:val="center"/>
          </w:tcPr>
          <w:p>
            <w:pPr>
              <w:spacing w:before="0" w:after="0" w:line="240" w:lineRule="auto"/>
            </w:pPr>
            <w:r/>
            <w:r>
              <w:rPr>
                <w:sz w:val="17"/>
              </w:rPr>
              <w:t>Unhedged currency exposure</w:t>
            </w:r>
          </w:p>
        </w:tc>
        <w:tc>
          <w:tcPr>
            <w:tcW w:type="dxa" w:w="2438"/>
            <w:tcMar>
              <w:top w:w="70" w:type="dxa"/>
              <w:start w:w="85" w:type="dxa"/>
              <w:bottom w:w="70" w:type="dxa"/>
              <w:end w:w="85" w:type="dxa"/>
            </w:tcMar>
            <w:vAlign w:val="center"/>
          </w:tcPr>
          <w:p>
            <w:pPr>
              <w:spacing w:before="0" w:after="0" w:line="240" w:lineRule="auto"/>
            </w:pPr>
            <w:r/>
            <w:r>
              <w:rPr>
                <w:sz w:val="17"/>
              </w:rPr>
              <w:t>Ambiguous</w:t>
            </w:r>
          </w:p>
        </w:tc>
        <w:tc>
          <w:tcPr>
            <w:tcW w:type="dxa" w:w="2438"/>
            <w:tcMar>
              <w:top w:w="70" w:type="dxa"/>
              <w:start w:w="85" w:type="dxa"/>
              <w:bottom w:w="70" w:type="dxa"/>
              <w:end w:w="85" w:type="dxa"/>
            </w:tcMar>
            <w:vAlign w:val="center"/>
          </w:tcPr>
          <w:p>
            <w:pPr>
              <w:spacing w:before="0" w:after="0" w:line="240" w:lineRule="auto"/>
            </w:pPr>
            <w:r/>
            <w:r>
              <w:rPr>
                <w:sz w:val="17"/>
              </w:rPr>
              <w:t>GBP return differs from local underlying return</w:t>
            </w:r>
          </w:p>
        </w:tc>
        <w:tc>
          <w:tcPr>
            <w:tcW w:type="dxa" w:w="2438"/>
            <w:tcMar>
              <w:top w:w="70" w:type="dxa"/>
              <w:start w:w="85" w:type="dxa"/>
              <w:bottom w:w="70" w:type="dxa"/>
              <w:end w:w="85" w:type="dxa"/>
            </w:tcMar>
            <w:vAlign w:val="center"/>
          </w:tcPr>
          <w:p>
            <w:pPr>
              <w:spacing w:before="0" w:after="0" w:line="240" w:lineRule="auto"/>
            </w:pPr>
            <w:r/>
            <w:r>
              <w:rPr>
                <w:sz w:val="17"/>
              </w:rPr>
              <w:t>Explicitly acknowledged; no false hedging claim</w:t>
            </w:r>
          </w:p>
        </w:tc>
      </w:tr>
      <w:tr>
        <w:tc>
          <w:tcPr>
            <w:tcW w:type="dxa" w:w="2438"/>
            <w:tcMar>
              <w:top w:w="70" w:type="dxa"/>
              <w:start w:w="85" w:type="dxa"/>
              <w:bottom w:w="70" w:type="dxa"/>
              <w:end w:w="85" w:type="dxa"/>
            </w:tcMar>
            <w:vAlign w:val="center"/>
          </w:tcPr>
          <w:p>
            <w:pPr>
              <w:spacing w:before="0" w:after="0" w:line="240" w:lineRule="auto"/>
            </w:pPr>
            <w:r/>
            <w:r>
              <w:rPr>
                <w:sz w:val="17"/>
              </w:rPr>
              <w:t>Small number of independent regimes</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Regime means are unstable</w:t>
            </w:r>
          </w:p>
        </w:tc>
        <w:tc>
          <w:tcPr>
            <w:tcW w:type="dxa" w:w="2438"/>
            <w:tcMar>
              <w:top w:w="70" w:type="dxa"/>
              <w:start w:w="85" w:type="dxa"/>
              <w:bottom w:w="70" w:type="dxa"/>
              <w:end w:w="85" w:type="dxa"/>
            </w:tcMar>
            <w:vAlign w:val="center"/>
          </w:tcPr>
          <w:p>
            <w:pPr>
              <w:spacing w:before="0" w:after="0" w:line="240" w:lineRule="auto"/>
            </w:pPr>
            <w:r/>
            <w:r>
              <w:rPr>
                <w:sz w:val="17"/>
              </w:rPr>
              <w:t>Only R2 considered descriptively sufficient</w:t>
            </w:r>
          </w:p>
        </w:tc>
      </w:tr>
      <w:tr>
        <w:tc>
          <w:tcPr>
            <w:tcW w:type="dxa" w:w="2438"/>
            <w:tcMar>
              <w:top w:w="70" w:type="dxa"/>
              <w:start w:w="85" w:type="dxa"/>
              <w:bottom w:w="70" w:type="dxa"/>
              <w:end w:w="85" w:type="dxa"/>
            </w:tcMar>
            <w:vAlign w:val="center"/>
          </w:tcPr>
          <w:p>
            <w:pPr>
              <w:spacing w:before="0" w:after="0" w:line="240" w:lineRule="auto"/>
            </w:pPr>
            <w:r/>
            <w:r>
              <w:rPr>
                <w:sz w:val="17"/>
              </w:rPr>
              <w:t>Retirement horizon and sequence risk</w:t>
            </w:r>
          </w:p>
        </w:tc>
        <w:tc>
          <w:tcPr>
            <w:tcW w:type="dxa" w:w="2438"/>
            <w:tcMar>
              <w:top w:w="70" w:type="dxa"/>
              <w:start w:w="85" w:type="dxa"/>
              <w:bottom w:w="70" w:type="dxa"/>
              <w:end w:w="85" w:type="dxa"/>
            </w:tcMar>
            <w:vAlign w:val="center"/>
          </w:tcPr>
          <w:p>
            <w:pPr>
              <w:spacing w:before="0" w:after="0" w:line="240" w:lineRule="auto"/>
            </w:pPr>
            <w:r/>
            <w:r>
              <w:rPr>
                <w:sz w:val="17"/>
              </w:rPr>
              <w:t>Generalisability</w:t>
            </w:r>
          </w:p>
        </w:tc>
        <w:tc>
          <w:tcPr>
            <w:tcW w:type="dxa" w:w="2438"/>
            <w:tcMar>
              <w:top w:w="70" w:type="dxa"/>
              <w:start w:w="85" w:type="dxa"/>
              <w:bottom w:w="70" w:type="dxa"/>
              <w:end w:w="85" w:type="dxa"/>
            </w:tcMar>
            <w:vAlign w:val="center"/>
          </w:tcPr>
          <w:p>
            <w:pPr>
              <w:spacing w:before="0" w:after="0" w:line="240" w:lineRule="auto"/>
            </w:pPr>
            <w:r/>
            <w:r>
              <w:rPr>
                <w:sz w:val="17"/>
              </w:rPr>
              <w:t>Historical CAGR does not determine pension suitability</w:t>
            </w:r>
          </w:p>
        </w:tc>
        <w:tc>
          <w:tcPr>
            <w:tcW w:type="dxa" w:w="2438"/>
            <w:tcMar>
              <w:top w:w="70" w:type="dxa"/>
              <w:start w:w="85" w:type="dxa"/>
              <w:bottom w:w="70" w:type="dxa"/>
              <w:end w:w="85" w:type="dxa"/>
            </w:tcMar>
            <w:vAlign w:val="center"/>
          </w:tcPr>
          <w:p>
            <w:pPr>
              <w:spacing w:before="0" w:after="0" w:line="240" w:lineRule="auto"/>
            </w:pPr>
            <w:r/>
            <w:r>
              <w:rPr>
                <w:sz w:val="17"/>
              </w:rPr>
              <w:t>10% cap, 25% defence, user-specific approval</w:t>
            </w:r>
          </w:p>
        </w:tc>
      </w:tr>
      <w:tr>
        <w:tc>
          <w:tcPr>
            <w:tcW w:type="dxa" w:w="2438"/>
            <w:tcMar>
              <w:top w:w="70" w:type="dxa"/>
              <w:start w:w="85" w:type="dxa"/>
              <w:bottom w:w="70" w:type="dxa"/>
              <w:end w:w="85" w:type="dxa"/>
            </w:tcMar>
            <w:vAlign w:val="center"/>
          </w:tcPr>
          <w:p>
            <w:pPr>
              <w:spacing w:before="0" w:after="0" w:line="240" w:lineRule="auto"/>
            </w:pPr>
            <w:r/>
            <w:r>
              <w:rPr>
                <w:sz w:val="17"/>
              </w:rPr>
              <w:t>Implementation deviations</w:t>
            </w:r>
          </w:p>
        </w:tc>
        <w:tc>
          <w:tcPr>
            <w:tcW w:type="dxa" w:w="2438"/>
            <w:tcMar>
              <w:top w:w="70" w:type="dxa"/>
              <w:start w:w="85" w:type="dxa"/>
              <w:bottom w:w="70" w:type="dxa"/>
              <w:end w:w="85" w:type="dxa"/>
            </w:tcMar>
            <w:vAlign w:val="center"/>
          </w:tcPr>
          <w:p>
            <w:pPr>
              <w:spacing w:before="0" w:after="0" w:line="240" w:lineRule="auto"/>
            </w:pPr>
            <w:r/>
            <w:r>
              <w:rPr>
                <w:sz w:val="17"/>
              </w:rPr>
              <w:t>Probably downward if uncontrolled</w:t>
            </w:r>
          </w:p>
        </w:tc>
        <w:tc>
          <w:tcPr>
            <w:tcW w:type="dxa" w:w="2438"/>
            <w:tcMar>
              <w:top w:w="70" w:type="dxa"/>
              <w:start w:w="85" w:type="dxa"/>
              <w:bottom w:w="70" w:type="dxa"/>
              <w:end w:w="85" w:type="dxa"/>
            </w:tcMar>
            <w:vAlign w:val="center"/>
          </w:tcPr>
          <w:p>
            <w:pPr>
              <w:spacing w:before="0" w:after="0" w:line="240" w:lineRule="auto"/>
            </w:pPr>
            <w:r/>
            <w:r>
              <w:rPr>
                <w:sz w:val="17"/>
              </w:rPr>
              <w:t>Missed sessions or substitutes break evidence link</w:t>
            </w:r>
          </w:p>
        </w:tc>
        <w:tc>
          <w:tcPr>
            <w:tcW w:type="dxa" w:w="2438"/>
            <w:tcMar>
              <w:top w:w="70" w:type="dxa"/>
              <w:start w:w="85" w:type="dxa"/>
              <w:bottom w:w="70" w:type="dxa"/>
              <w:end w:w="85" w:type="dxa"/>
            </w:tcMar>
            <w:vAlign w:val="center"/>
          </w:tcPr>
          <w:p>
            <w:pPr>
              <w:spacing w:before="0" w:after="0" w:line="240" w:lineRule="auto"/>
            </w:pPr>
            <w:r/>
            <w:r>
              <w:rPr>
                <w:sz w:val="17"/>
              </w:rPr>
              <w:t>Suspension rules and immutable ledger</w:t>
            </w:r>
          </w:p>
        </w:tc>
      </w:tr>
      <w:tr>
        <w:tc>
          <w:tcPr>
            <w:tcW w:type="dxa" w:w="2438"/>
            <w:tcMar>
              <w:top w:w="70" w:type="dxa"/>
              <w:start w:w="85" w:type="dxa"/>
              <w:bottom w:w="70" w:type="dxa"/>
              <w:end w:w="85" w:type="dxa"/>
            </w:tcMar>
            <w:vAlign w:val="center"/>
          </w:tcPr>
          <w:p>
            <w:pPr>
              <w:spacing w:before="0" w:after="0" w:line="240" w:lineRule="auto"/>
            </w:pPr>
            <w:r/>
            <w:r>
              <w:rPr>
                <w:sz w:val="17"/>
              </w:rPr>
              <w:t>Crowding or structural change</w:t>
            </w:r>
          </w:p>
        </w:tc>
        <w:tc>
          <w:tcPr>
            <w:tcW w:type="dxa" w:w="2438"/>
            <w:tcMar>
              <w:top w:w="70" w:type="dxa"/>
              <w:start w:w="85" w:type="dxa"/>
              <w:bottom w:w="70" w:type="dxa"/>
              <w:end w:w="85" w:type="dxa"/>
            </w:tcMar>
            <w:vAlign w:val="center"/>
          </w:tcPr>
          <w:p>
            <w:pPr>
              <w:spacing w:before="0" w:after="0" w:line="240" w:lineRule="auto"/>
            </w:pPr>
            <w:r/>
            <w:r>
              <w:rPr>
                <w:sz w:val="17"/>
              </w:rPr>
              <w:t>Ambiguous, likely reduces persistence</w:t>
            </w:r>
          </w:p>
        </w:tc>
        <w:tc>
          <w:tcPr>
            <w:tcW w:type="dxa" w:w="2438"/>
            <w:tcMar>
              <w:top w:w="70" w:type="dxa"/>
              <w:start w:w="85" w:type="dxa"/>
              <w:bottom w:w="70" w:type="dxa"/>
              <w:end w:w="85" w:type="dxa"/>
            </w:tcMar>
            <w:vAlign w:val="center"/>
          </w:tcPr>
          <w:p>
            <w:pPr>
              <w:spacing w:before="0" w:after="0" w:line="240" w:lineRule="auto"/>
            </w:pPr>
            <w:r/>
            <w:r>
              <w:rPr>
                <w:sz w:val="17"/>
              </w:rPr>
              <w:t>Historical rank relation may decay</w:t>
            </w:r>
          </w:p>
        </w:tc>
        <w:tc>
          <w:tcPr>
            <w:tcW w:type="dxa" w:w="2438"/>
            <w:tcMar>
              <w:top w:w="70" w:type="dxa"/>
              <w:start w:w="85" w:type="dxa"/>
              <w:bottom w:w="70" w:type="dxa"/>
              <w:end w:w="85" w:type="dxa"/>
            </w:tcMar>
            <w:vAlign w:val="center"/>
          </w:tcPr>
          <w:p>
            <w:pPr>
              <w:spacing w:before="0" w:after="0" w:line="240" w:lineRule="auto"/>
            </w:pPr>
            <w:r/>
            <w:r>
              <w:rPr>
                <w:sz w:val="17"/>
              </w:rPr>
              <w:t>Prospective random controls; no automatic escalation</w:t>
            </w:r>
          </w:p>
        </w:tc>
      </w:tr>
      <w:tr>
        <w:tc>
          <w:tcPr>
            <w:tcW w:type="dxa" w:w="2438"/>
            <w:tcMar>
              <w:top w:w="70" w:type="dxa"/>
              <w:start w:w="85" w:type="dxa"/>
              <w:bottom w:w="70" w:type="dxa"/>
              <w:end w:w="85" w:type="dxa"/>
            </w:tcMar>
            <w:vAlign w:val="center"/>
          </w:tcPr>
          <w:p>
            <w:pPr>
              <w:spacing w:before="0" w:after="0" w:line="240" w:lineRule="auto"/>
            </w:pPr>
            <w:r/>
            <w:r>
              <w:rPr>
                <w:sz w:val="17"/>
              </w:rPr>
              <w:t>Malformed longer-core-only CSV</w:t>
            </w:r>
          </w:p>
        </w:tc>
        <w:tc>
          <w:tcPr>
            <w:tcW w:type="dxa" w:w="2438"/>
            <w:tcMar>
              <w:top w:w="70" w:type="dxa"/>
              <w:start w:w="85" w:type="dxa"/>
              <w:bottom w:w="70" w:type="dxa"/>
              <w:end w:w="85" w:type="dxa"/>
            </w:tcMar>
            <w:vAlign w:val="center"/>
          </w:tcPr>
          <w:p>
            <w:pPr>
              <w:spacing w:before="0" w:after="0" w:line="240" w:lineRule="auto"/>
            </w:pPr>
            <w:r/>
            <w:r>
              <w:rPr>
                <w:sz w:val="17"/>
              </w:rPr>
              <w:t>Source conflict</w:t>
            </w:r>
          </w:p>
        </w:tc>
        <w:tc>
          <w:tcPr>
            <w:tcW w:type="dxa" w:w="2438"/>
            <w:tcMar>
              <w:top w:w="70" w:type="dxa"/>
              <w:start w:w="85" w:type="dxa"/>
              <w:bottom w:w="70" w:type="dxa"/>
              <w:end w:w="85" w:type="dxa"/>
            </w:tcMar>
            <w:vAlign w:val="center"/>
          </w:tcPr>
          <w:p>
            <w:pPr>
              <w:spacing w:before="0" w:after="0" w:line="240" w:lineRule="auto"/>
            </w:pPr>
            <w:r/>
            <w:r>
              <w:rPr>
                <w:sz w:val="17"/>
              </w:rPr>
              <w:t>Cannot report 2010–2026 core statistics</w:t>
            </w:r>
          </w:p>
        </w:tc>
        <w:tc>
          <w:tcPr>
            <w:tcW w:type="dxa" w:w="2438"/>
            <w:tcMar>
              <w:top w:w="70" w:type="dxa"/>
              <w:start w:w="85" w:type="dxa"/>
              <w:bottom w:w="70" w:type="dxa"/>
              <w:end w:w="85" w:type="dxa"/>
            </w:tcMar>
            <w:vAlign w:val="center"/>
          </w:tcPr>
          <w:p>
            <w:pPr>
              <w:spacing w:before="0" w:after="0" w:line="240" w:lineRule="auto"/>
            </w:pPr>
            <w:r/>
            <w:r>
              <w:rPr>
                <w:sz w:val="17"/>
              </w:rPr>
              <w:t xml:space="preserve">Quarantined as </w:t>
            </w:r>
            <w:r>
              <w:rPr>
                <w:rFonts w:ascii="Consolas" w:hAnsi="Consolas"/>
                <w:color w:val="1F4D78"/>
                <w:sz w:val="17"/>
              </w:rPr>
              <w:t>UNRESOLVED_SOURCE_CONFLICT</w:t>
            </w:r>
          </w:p>
        </w:tc>
      </w:tr>
    </w:tbl>
    <w:p>
      <w:r>
        <w:t>The lack of early-crisis ETF history is particularly important. Broad asset-pricing literature or a 2010 SWDA history cannot substitute for an executable 2000–2003 or 2007–2009 M2 universe. Likewise, point-in-time reconstruction reduces survivorship risk but cannot prove every current preferred line would have been available to the same broker account. The research evidence concerns economic-family histories under the frozen causal assumptions.</w:t>
      </w:r>
    </w:p>
    <w:p>
      <w:r>
        <w:t>Transaction-cost uncertainty is asymmetric in practical relevance. If actual cost is lower, the baseline is conservative; if small thematic funds have wider spreads, delay or market impact, the already modest incremental margin can vanish. Preferred GBP trading removes a broker conversion event but not currency-driven NAV risk. Fund closures, index changes, tracking differences and tax/regulatory change may also alter implementation.</w:t>
      </w:r>
    </w:p>
    <w:p>
      <w:r>
        <w:t>The right tail is both mechanism and limitation. A strategy designed to capture persistent leaders should earn disproportionate P&amp;L from a minority of holdings. Yet with only several large trends, it is difficult to separate a repeatable payoff shape from historical luck. The limited pilot accepts that ambiguity rather than resolving it rhetorically.</w:t>
      </w:r>
    </w:p>
    <w:p>
      <w:pPr>
        <w:pStyle w:val="Heading1"/>
      </w:pPr>
      <w:r>
        <w:t>35. Conclusion</w:t>
      </w:r>
    </w:p>
    <w:p>
      <w:r>
        <w:t>UKACTIVE found meaningful causal historical ranking information in a benchmark-relative, multi-horizon ordering of industry and thematic ETF exposure families. The frozen M2 signal beat matched random choice and rank shuffling, participated in several distinct leadership trends, and produced higher common-window net CAGR than SWDA and the contemporaneous equal-weight opportunity pool. On 2017-03-01–2026-08-21, standalone M2 compounded at 13.14%, versus 11.60% for SWDA and 11.53% for the pool, with a −23.53% MDD.</w:t>
      </w:r>
    </w:p>
    <w:p>
      <w:r>
        <w:t>The programme also rejected a substantial set of plausible additions. A3 did not establish a broad false-discovery-adjusted signal. Concentrated TOP3–TOP4 portfolios were inferior; TOP10 diluted the effect. Daily trading was overwhelmed by cost; weekly was cost-fragile. Rank-concentrated weights did not improve the result. CASH1's favourable recent behaviour failed on full history and matched exposure. Global confirmation, combined cash defence, binary global/cash timing, early entry, fast exit, deterioration, momentum-age and dynamic regime policies did not pass their gates. Regime variables remain telemetry only.</w:t>
      </w:r>
    </w:p>
    <w:p>
      <w:r>
        <w:t>M2 was frozen because the intermediate-weighted signal, TOP6–TOP9 breadth region, representative TOP7 choice, monthly cadence and equal weighting formed the simplest completed configuration that retained economic value under the baseline implementation. Randomisation supported historical ordering, no single family alone reversed the result, and further optimisation would have increased exposed-history risk. The most credible interpretation is not a smooth premium but a right-tail trend-capture process: it often lags, then can benefit substantially from a small number of long-lived leaders.</w:t>
      </w:r>
    </w:p>
    <w:p>
      <w:r>
        <w:t>That same interpretation explains the 10% initial limit. The portfolio-level advantage is episodic, cost-sensitive and materially influenced by 2020, 2025 and a few holding spells. Statistical intervals include zero; M2 has a higher Ulcer Index, more volatility and a longer underwater period than SWDA; no untouched holdout or independent E3 confirmation exists. A 65% SWDA / 10% M2 / 25% defensive wrapper permits bounded participation while preserving a global core and strategic defence. The 75/25 control remains the capital-continuity fallback and does not claim timing edge.</w:t>
      </w:r>
    </w:p>
    <w:p>
      <w:r>
        <w:t>Increasing the sleeve would require diverse prospective ranking support, stable operations, realised costs within the frozen envelope and explicit governance approval—not merely profit or elapsed time. Abandoning it would require evidence of a material historical defect, persistent prospective failure versus controls, structural unimplementability or cost that consumes the expected margin—not ordinary short-term underperformance. Unknowns remain: future right-tail frequency, actual retail execution, crisis behaviour outside the ETF era, product availability and the effect of structural change.</w:t>
      </w:r>
    </w:p>
    <w:p>
      <w:r>
        <w:t>The final interpretation is therefore:</w:t>
      </w:r>
    </w:p>
    <w:p>
      <w:pPr>
        <w:spacing w:before="100" w:after="160"/>
        <w:ind w:left="340" w:right="198"/>
        <w:pBdr>
          <w:left w:val="single" w:sz="18" w:space="8" w:color="2E74B5"/>
        </w:pBdr>
      </w:pPr>
      <w:r>
        <w:t>The frozen M2 model contains meaningful causal historical ranking information and has captured several major ETF-family trends, but its portfolio-level advantage is episodic, cost-sensitive and materially dependent on a small right tail. It is therefore frozen for controlled, limited, prospective use rather than classified as independently confirmed alpha.</w:t>
      </w:r>
    </w:p>
    <w:p>
      <w:pPr>
        <w:pStyle w:val="Heading2"/>
      </w:pPr>
      <w:r>
        <w:t>Scientific classification</w:t>
      </w:r>
    </w:p>
    <w:p>
      <w:r>
        <w:rPr>
          <w:rFonts w:ascii="Consolas" w:hAnsi="Consolas"/>
          <w:color w:val="1F4D78"/>
        </w:rPr>
        <w:t>E2_DEVELOPMENTAL</w:t>
      </w:r>
    </w:p>
    <w:p>
      <w:pPr>
        <w:pStyle w:val="Heading2"/>
      </w:pPr>
      <w:r>
        <w:t>Model status</w:t>
      </w:r>
    </w:p>
    <w:p>
      <w:r>
        <w:rPr>
          <w:rFonts w:ascii="Consolas" w:hAnsi="Consolas"/>
          <w:color w:val="1F4D78"/>
        </w:rPr>
        <w:t>FROZEN</w:t>
      </w:r>
    </w:p>
    <w:p>
      <w:pPr>
        <w:pStyle w:val="Heading2"/>
      </w:pPr>
      <w:r>
        <w:t>Historical model development</w:t>
      </w:r>
    </w:p>
    <w:p>
      <w:r>
        <w:rPr>
          <w:rFonts w:ascii="Consolas" w:hAnsi="Consolas"/>
          <w:color w:val="1F4D78"/>
        </w:rPr>
        <w:t>CLOSED</w:t>
      </w:r>
      <w:r>
        <w:t xml:space="preserve"> / </w:t>
      </w:r>
      <w:r>
        <w:rPr>
          <w:rFonts w:ascii="Consolas" w:hAnsi="Consolas"/>
          <w:color w:val="1F4D78"/>
        </w:rPr>
        <w:t>M2_HISTORICAL_MODEL_DEVELOPMENT_CLOSED</w:t>
      </w:r>
    </w:p>
    <w:p>
      <w:pPr>
        <w:pStyle w:val="Heading2"/>
      </w:pPr>
      <w:r>
        <w:t>Live implementation status</w:t>
      </w:r>
    </w:p>
    <w:p>
      <w:r>
        <w:rPr>
          <w:rFonts w:ascii="Consolas" w:hAnsi="Consolas"/>
          <w:color w:val="1F4D78"/>
        </w:rPr>
        <w:t>AWAITING_CURRENT_HOLDINGS_INPUT</w:t>
      </w:r>
      <w:r>
        <w:t xml:space="preserve">; </w:t>
      </w:r>
      <w:r>
        <w:rPr>
          <w:rFonts w:ascii="Consolas" w:hAnsi="Consolas"/>
          <w:color w:val="1F4D78"/>
        </w:rPr>
        <w:t>pilot_operationally_ready=false</w:t>
      </w:r>
    </w:p>
    <w:p>
      <w:pPr>
        <w:pStyle w:val="Heading2"/>
      </w:pPr>
      <w:r>
        <w:t>Permitted use</w:t>
      </w:r>
    </w:p>
    <w:p>
      <w:r>
        <w:t>Controlled 10% pilot after operational readiness and explicit user approval.</w:t>
      </w:r>
    </w:p>
    <w:p>
      <w:pPr>
        <w:pStyle w:val="Heading2"/>
      </w:pPr>
      <w:r>
        <w:t>Prohibited interpretation</w:t>
      </w:r>
    </w:p>
    <w:p>
      <w:r>
        <w:t>This paper does not establish independently confirmed alpha, guaranteed drawdown protection, a permanent 4% cash return, superiority in every market regime, or suitability for an unrestricted whole-SIPP allocation.</w:t>
      </w:r>
    </w:p>
    <w:sectPr w:rsidR="00FC693F" w:rsidRPr="0006063C" w:rsidSect="00034616">
      <w:pgSz w:w="11906" w:h="16838"/>
      <w:pgMar w:top="992" w:right="1077" w:bottom="935"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r>
      <w:rPr>
        <w:rFonts w:ascii="Calibri" w:hAnsi="Calibri"/>
        <w:color w:val="5B6573"/>
        <w:sz w:val="16"/>
      </w:rPr>
      <w:t xml:space="preserve">E2_DEVELOPMENTAL  •  HISTORICAL CUTOFF 2026-08-21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PROJECT EDGE / UKACTIVE   •   POINT-IN-TIME ETF ROTATION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itation">
    <w:name w:val="Source Citation"/>
    <w:pPr>
      <w:spacing w:before="80" w:after="100" w:line="240" w:lineRule="auto"/>
    </w:pPr>
    <w:rPr>
      <w:rFonts w:ascii="Calibri" w:hAnsi="Calibri"/>
      <w:i/>
      <w:color w:val="5B6573"/>
      <w:sz w:val="16"/>
    </w:rPr>
  </w:style>
  <w:style w:type="paragraph" w:customStyle="1" w:styleId="FigureCaptionUKACTIVE">
    <w:name w:val="Figure Caption UKACTIVE"/>
    <w:pPr>
      <w:keepNext w:val="0"/>
      <w:spacing w:before="60" w:after="180"/>
      <w:jc w:val="left"/>
    </w:pPr>
    <w:rPr>
      <w:rFonts w:ascii="Calibri" w:hAnsi="Calibri"/>
      <w:color w:val="5B6573"/>
      <w:sz w:val="18"/>
    </w:rPr>
  </w:style>
  <w:style w:type="paragraph" w:customStyle="1" w:styleId="CodeBlockUKACTIVE">
    <w:name w:val="Code Block UKACTIVE"/>
    <w:pPr>
      <w:spacing w:after="40" w:line="240" w:lineRule="auto"/>
      <w:ind w:left="283" w:right="28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Freeze of a Point-in-Time Multi-Horizon ETF Rotation Strategy for a UK SIPP</dc:title>
  <dc:subject>Project EDGE / UKACTIVE — E2 developmental scientific paper</dc:subject>
  <dc:creator/>
  <cp:keywords>ETF rotation; industry momentum; point-in-time data; UK SIPP</cp:keywords>
  <dc:description>Historical cutoff 2026-08-21. Frozen model. Non-deployment document.</dc:description>
  <cp:lastModifiedBy/>
  <cp:revision>1</cp:revision>
  <dcterms:created xsi:type="dcterms:W3CDTF">2026-08-27T00:00:00Z</dcterms:created>
  <dcterms:modified xsi:type="dcterms:W3CDTF">2026-08-27T00:00:00Z</dcterms:modified>
  <cp:category/>
  <cp:lastPrinted>2026-08-27T00:00:00Z</cp:lastPrinted>
</cp:coreProperties>
</file>