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YAML –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YAML del servicio está compuesto por: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generales del archivo YAML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apiVesrion: versión del api de estructura de archivo que estaremos utilizando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el tipo de fichero que estamos creando, en este caso será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sobre el servicio a crear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pondremos en forma de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la información correspondiente al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del archivo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declararemos propiedades como el mapeo de puertos y el selector.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servicios, es muy importante el uso de la propiedad selector: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168767" cy="5170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767" cy="51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 debido a que es la única forma que un servicio tiene para conocer a que POD 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vincularse.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35095" cy="195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095" cy="19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otra parte, el mapeo de puertos se realiza para exponer la aplicación contenerizada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atributo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define el puerto abierto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acceder a la aplicación. Comunicación interna.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determina el puerto por el cual es posible acceder al contenedor.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nodePort: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 externo de kubernetes para acceder a la aplicación.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46A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KCfRXgRs3EqFraJD+TMNN8JsKw==">AMUW2mWAo/qJIXH8M9uqLxd4wOgjoWyCaOhhl7GwtZz6QQubIeRvQpmy7Jy/I/OEbMbNJTbwOxiOwkQqI70jjREQZpJaBR2C1aoh0HGGyf5uY7UJAjdj0JF5qt0fnqs6fPfAT1HJxbNs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2023-03-09T02:23:00Z</dcterms:created>
  <dc:creator>Samu</dc:creator>
</cp:coreProperties>
</file>