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pPr w:leftFromText="141" w:rightFromText="141" w:vertAnchor="page" w:horzAnchor="margin" w:tblpY="721"/>
        <w:tblW w:w="11005" w:type="dxa"/>
        <w:tblInd w:w="0" w:type="dxa"/>
        <w:tblLayout w:type="fixed"/>
        <w:tblCellMar>
          <w:top w:w="0" w:type="dxa"/>
          <w:left w:w="70" w:type="dxa"/>
          <w:bottom w:w="0" w:type="dxa"/>
          <w:right w:w="70" w:type="dxa"/>
        </w:tblCellMar>
      </w:tblPr>
      <w:tblGrid>
        <w:gridCol w:w="4257"/>
        <w:gridCol w:w="6748"/>
      </w:tblGrid>
      <w:tr w14:paraId="587FEC61">
        <w:tblPrEx>
          <w:tblCellMar>
            <w:top w:w="0" w:type="dxa"/>
            <w:left w:w="70" w:type="dxa"/>
            <w:bottom w:w="0" w:type="dxa"/>
            <w:right w:w="70" w:type="dxa"/>
          </w:tblCellMar>
        </w:tblPrEx>
        <w:trPr>
          <w:trHeight w:val="3351" w:hRule="atLeast"/>
        </w:trPr>
        <w:tc>
          <w:tcPr>
            <w:tcW w:w="4257" w:type="dxa"/>
            <w:vAlign w:val="center"/>
          </w:tcPr>
          <w:p w14:paraId="71602C07">
            <w:pPr>
              <w:spacing w:line="259" w:lineRule="auto"/>
              <w:jc w:val="center"/>
              <w:rPr>
                <w:rFonts w:cs="Tahoma"/>
                <w:b/>
                <w:szCs w:val="24"/>
                <w:lang w:eastAsia="en-US"/>
              </w:rPr>
            </w:pPr>
            <w:r>
              <w:rPr>
                <w:rFonts w:cs="Tahoma"/>
                <w:szCs w:val="24"/>
              </w:rPr>
              <w:drawing>
                <wp:anchor distT="0" distB="0" distL="114300" distR="114300" simplePos="0" relativeHeight="251659264" behindDoc="0" locked="0" layoutInCell="1" allowOverlap="1">
                  <wp:simplePos x="0" y="0"/>
                  <wp:positionH relativeFrom="margin">
                    <wp:posOffset>279400</wp:posOffset>
                  </wp:positionH>
                  <wp:positionV relativeFrom="paragraph">
                    <wp:posOffset>-1410970</wp:posOffset>
                  </wp:positionV>
                  <wp:extent cx="2129790" cy="1000125"/>
                  <wp:effectExtent l="0" t="0" r="0"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129790" cy="1000125"/>
                          </a:xfrm>
                          <a:prstGeom prst="rect">
                            <a:avLst/>
                          </a:prstGeom>
                          <a:noFill/>
                        </pic:spPr>
                      </pic:pic>
                    </a:graphicData>
                  </a:graphic>
                </wp:anchor>
              </w:drawing>
            </w:r>
            <w:r>
              <w:rPr>
                <w:rFonts w:cs="Tahoma"/>
                <w:b/>
                <w:szCs w:val="24"/>
                <w:lang w:eastAsia="en-US"/>
              </w:rPr>
              <w:t xml:space="preserve"> </w:t>
            </w:r>
            <w:r>
              <w:rPr>
                <w:rFonts w:cs="Tahoma"/>
                <w:b/>
                <w:szCs w:val="24"/>
              </w:rPr>
              <w:drawing>
                <wp:inline distT="0" distB="0" distL="0" distR="0">
                  <wp:extent cx="1485265" cy="856615"/>
                  <wp:effectExtent l="0" t="0" r="635" b="635"/>
                  <wp:docPr id="4" name="Image 1" descr="ans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 descr="ansd.jpg"/>
                          <pic:cNvPicPr>
                            <a:picLocks noChangeAspect="1"/>
                          </pic:cNvPicPr>
                        </pic:nvPicPr>
                        <pic:blipFill>
                          <a:blip r:embed="rId13"/>
                          <a:stretch>
                            <a:fillRect/>
                          </a:stretch>
                        </pic:blipFill>
                        <pic:spPr>
                          <a:xfrm>
                            <a:off x="0" y="0"/>
                            <a:ext cx="1519927" cy="877159"/>
                          </a:xfrm>
                          <a:prstGeom prst="rect">
                            <a:avLst/>
                          </a:prstGeom>
                        </pic:spPr>
                      </pic:pic>
                    </a:graphicData>
                  </a:graphic>
                </wp:inline>
              </w:drawing>
            </w:r>
          </w:p>
        </w:tc>
        <w:tc>
          <w:tcPr>
            <w:tcW w:w="6748" w:type="dxa"/>
          </w:tcPr>
          <w:p w14:paraId="1185EB9A">
            <w:pPr>
              <w:pStyle w:val="15"/>
              <w:spacing w:line="259" w:lineRule="auto"/>
              <w:jc w:val="left"/>
              <w:rPr>
                <w:rFonts w:ascii="Tahoma" w:hAnsi="Tahoma" w:cs="Tahoma"/>
                <w:szCs w:val="24"/>
                <w:lang w:eastAsia="en-US"/>
              </w:rPr>
            </w:pPr>
            <w:r>
              <w:rPr>
                <w:rFonts w:ascii="Tahoma" w:hAnsi="Tahoma" w:cs="Tahoma"/>
                <w:szCs w:val="24"/>
                <w:lang w:eastAsia="en-US"/>
              </w:rPr>
              <w:t xml:space="preserve">              </w:t>
            </w:r>
          </w:p>
          <w:p w14:paraId="59AC2B84">
            <w:pPr>
              <w:pStyle w:val="15"/>
              <w:spacing w:line="259" w:lineRule="auto"/>
              <w:rPr>
                <w:rFonts w:ascii="Tahoma" w:hAnsi="Tahoma" w:cs="Tahoma"/>
                <w:b/>
                <w:szCs w:val="24"/>
                <w:lang w:eastAsia="en-US"/>
              </w:rPr>
            </w:pPr>
          </w:p>
          <w:p w14:paraId="3D0E461D">
            <w:pPr>
              <w:pStyle w:val="15"/>
              <w:spacing w:line="259" w:lineRule="auto"/>
              <w:rPr>
                <w:rFonts w:ascii="Tahoma" w:hAnsi="Tahoma" w:cs="Tahoma"/>
                <w:b/>
                <w:szCs w:val="24"/>
                <w:lang w:eastAsia="en-US"/>
              </w:rPr>
            </w:pPr>
          </w:p>
          <w:p w14:paraId="67A4943C">
            <w:pPr>
              <w:pStyle w:val="15"/>
              <w:spacing w:line="259" w:lineRule="auto"/>
              <w:jc w:val="left"/>
              <w:rPr>
                <w:rFonts w:ascii="Tahoma" w:hAnsi="Tahoma" w:cs="Tahoma"/>
                <w:b/>
                <w:szCs w:val="24"/>
                <w:lang w:eastAsia="en-US"/>
              </w:rPr>
            </w:pPr>
          </w:p>
          <w:p w14:paraId="2FD7A980">
            <w:pPr>
              <w:pStyle w:val="15"/>
              <w:spacing w:line="259" w:lineRule="auto"/>
              <w:jc w:val="left"/>
              <w:rPr>
                <w:rFonts w:ascii="Tahoma" w:hAnsi="Tahoma" w:cs="Tahoma"/>
                <w:b/>
                <w:szCs w:val="24"/>
                <w:lang w:eastAsia="en-US"/>
              </w:rPr>
            </w:pPr>
          </w:p>
          <w:p w14:paraId="7F8E55F5">
            <w:pPr>
              <w:pStyle w:val="15"/>
              <w:spacing w:line="259" w:lineRule="auto"/>
              <w:jc w:val="left"/>
              <w:rPr>
                <w:rFonts w:ascii="Tahoma" w:hAnsi="Tahoma" w:cs="Tahoma"/>
                <w:szCs w:val="24"/>
                <w:lang w:eastAsia="en-US"/>
              </w:rPr>
            </w:pPr>
            <w:r>
              <w:rPr>
                <w:rFonts w:ascii="Tahoma" w:hAnsi="Tahoma" w:cs="Tahoma"/>
                <w:szCs w:val="24"/>
                <w:lang w:eastAsia="en-US"/>
              </w:rPr>
              <w:t xml:space="preserve">             </w:t>
            </w:r>
          </w:p>
          <w:p w14:paraId="12849CA1">
            <w:pPr>
              <w:spacing w:line="259" w:lineRule="auto"/>
              <w:rPr>
                <w:rFonts w:cs="Tahoma"/>
                <w:szCs w:val="24"/>
                <w:lang w:eastAsia="en-US"/>
              </w:rPr>
            </w:pPr>
          </w:p>
          <w:p w14:paraId="04799373">
            <w:pPr>
              <w:spacing w:line="259" w:lineRule="auto"/>
              <w:rPr>
                <w:rFonts w:cs="Tahoma"/>
                <w:szCs w:val="24"/>
                <w:lang w:eastAsia="en-US"/>
              </w:rPr>
            </w:pPr>
          </w:p>
          <w:p w14:paraId="471A56C7">
            <w:pPr>
              <w:spacing w:line="259" w:lineRule="auto"/>
              <w:rPr>
                <w:rFonts w:cs="Tahoma"/>
                <w:szCs w:val="24"/>
                <w:lang w:eastAsia="en-US"/>
              </w:rPr>
            </w:pPr>
          </w:p>
        </w:tc>
      </w:tr>
    </w:tbl>
    <w:p w14:paraId="03A62B66">
      <w:pPr>
        <w:spacing w:line="259" w:lineRule="auto"/>
        <w:rPr>
          <w:rFonts w:cs="Tahoma"/>
          <w:b/>
          <w:szCs w:val="24"/>
          <w:u w:val="single"/>
        </w:rPr>
      </w:pPr>
    </w:p>
    <w:p w14:paraId="6C395E75">
      <w:pPr>
        <w:spacing w:line="259" w:lineRule="auto"/>
        <w:jc w:val="center"/>
        <w:rPr>
          <w:rFonts w:cs="Tahoma"/>
          <w:b/>
          <w:szCs w:val="24"/>
          <w:u w:val="single"/>
        </w:rPr>
      </w:pPr>
      <w:r>
        <w:rPr>
          <w:rFonts w:cs="Tahoma"/>
          <w:b/>
          <w:szCs w:val="24"/>
          <w:u w:val="single"/>
        </w:rPr>
        <w:t xml:space="preserve">COMPTE RENDU DE L’ATELIER </w:t>
      </w:r>
      <w:bookmarkStart w:id="0" w:name="_Hlk207304609"/>
      <w:r>
        <w:rPr>
          <w:rFonts w:cs="Tahoma"/>
          <w:b/>
          <w:szCs w:val="24"/>
          <w:u w:val="single"/>
        </w:rPr>
        <w:t>DE PARTAGE DE LA METHODOLOGIE, DU CHRONOGRAMME ET DES MODALITES D’ORGANISATION DE LA DEUXIEME PHASE DU RNE</w:t>
      </w:r>
      <w:bookmarkEnd w:id="0"/>
      <w:r>
        <w:rPr>
          <w:rFonts w:cs="Tahoma"/>
          <w:b/>
          <w:szCs w:val="24"/>
          <w:u w:val="single"/>
        </w:rPr>
        <w:t xml:space="preserve"> </w:t>
      </w:r>
    </w:p>
    <w:tbl>
      <w:tblPr>
        <w:tblStyle w:val="13"/>
        <w:tblpPr w:leftFromText="141" w:rightFromText="141" w:vertAnchor="text" w:horzAnchor="margin" w:tblpXSpec="center" w:tblpY="631"/>
        <w:tblW w:w="10490" w:type="dxa"/>
        <w:tblInd w:w="0" w:type="dxa"/>
        <w:tblBorders>
          <w:top w:val="double" w:color="000000" w:themeColor="text1" w:sz="4" w:space="0"/>
          <w:left w:val="double" w:color="000000" w:themeColor="text1" w:sz="4" w:space="0"/>
          <w:bottom w:val="double" w:color="000000" w:themeColor="text1" w:sz="4" w:space="0"/>
          <w:right w:val="doub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962"/>
        <w:gridCol w:w="2570"/>
        <w:gridCol w:w="2338"/>
        <w:gridCol w:w="2620"/>
      </w:tblGrid>
      <w:tr w14:paraId="215076F1">
        <w:tblPrEx>
          <w:tblBorders>
            <w:top w:val="double" w:color="000000" w:themeColor="text1" w:sz="4" w:space="0"/>
            <w:left w:val="double" w:color="000000" w:themeColor="text1" w:sz="4" w:space="0"/>
            <w:bottom w:val="double" w:color="000000" w:themeColor="text1" w:sz="4" w:space="0"/>
            <w:right w:val="doub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678" w:hRule="atLeast"/>
        </w:trPr>
        <w:tc>
          <w:tcPr>
            <w:tcW w:w="5532" w:type="dxa"/>
            <w:gridSpan w:val="2"/>
            <w:vAlign w:val="center"/>
          </w:tcPr>
          <w:p w14:paraId="3AD036CA">
            <w:pPr>
              <w:spacing w:before="120" w:after="120" w:line="259" w:lineRule="auto"/>
              <w:rPr>
                <w:rFonts w:cs="Tahoma"/>
                <w:szCs w:val="24"/>
              </w:rPr>
            </w:pPr>
            <w:r>
              <w:rPr>
                <w:rFonts w:cs="Tahoma"/>
                <w:b/>
                <w:szCs w:val="24"/>
                <w:u w:val="single"/>
              </w:rPr>
              <w:t>Objectif</w:t>
            </w:r>
            <w:r>
              <w:rPr>
                <w:rFonts w:cs="Tahoma"/>
                <w:b/>
                <w:szCs w:val="24"/>
              </w:rPr>
              <w:t xml:space="preserve"> : </w:t>
            </w:r>
            <w:r>
              <w:rPr>
                <w:rFonts w:cs="Tahoma"/>
                <w:bCs/>
                <w:szCs w:val="24"/>
              </w:rPr>
              <w:t>partager avec l’ANSD</w:t>
            </w:r>
            <w:r>
              <w:rPr>
                <w:rFonts w:cs="Tahoma"/>
                <w:szCs w:val="24"/>
              </w:rPr>
              <w:t xml:space="preserve"> les étapes déjà franchies et celles envisagées dans la phase 2 du RNE</w:t>
            </w:r>
          </w:p>
        </w:tc>
        <w:tc>
          <w:tcPr>
            <w:tcW w:w="4958" w:type="dxa"/>
            <w:gridSpan w:val="2"/>
            <w:vAlign w:val="center"/>
          </w:tcPr>
          <w:p w14:paraId="0C08EF8B">
            <w:pPr>
              <w:pStyle w:val="7"/>
              <w:spacing w:line="259" w:lineRule="auto"/>
              <w:ind w:left="0"/>
              <w:rPr>
                <w:rFonts w:ascii="Tahoma" w:hAnsi="Tahoma" w:cs="Tahoma"/>
                <w:b/>
                <w:bCs/>
                <w:sz w:val="24"/>
                <w:szCs w:val="24"/>
              </w:rPr>
            </w:pPr>
            <w:r>
              <w:rPr>
                <w:rFonts w:ascii="Tahoma" w:hAnsi="Tahoma" w:cs="Tahoma"/>
                <w:b/>
                <w:bCs/>
                <w:sz w:val="24"/>
                <w:szCs w:val="24"/>
                <w:u w:val="single"/>
              </w:rPr>
              <w:t xml:space="preserve">Période </w:t>
            </w:r>
            <w:r>
              <w:rPr>
                <w:rFonts w:ascii="Tahoma" w:hAnsi="Tahoma" w:cs="Tahoma"/>
                <w:b/>
                <w:bCs/>
                <w:sz w:val="24"/>
                <w:szCs w:val="24"/>
              </w:rPr>
              <w:t xml:space="preserve">: </w:t>
            </w:r>
            <w:r>
              <w:rPr>
                <w:rFonts w:ascii="Tahoma" w:hAnsi="Tahoma" w:cs="Tahoma"/>
                <w:sz w:val="24"/>
                <w:szCs w:val="24"/>
              </w:rPr>
              <w:t>lundi le 25 aout 2025</w:t>
            </w:r>
          </w:p>
          <w:p w14:paraId="4CEC539C">
            <w:pPr>
              <w:pStyle w:val="7"/>
              <w:spacing w:line="259" w:lineRule="auto"/>
              <w:ind w:left="0"/>
              <w:rPr>
                <w:rFonts w:ascii="Tahoma" w:hAnsi="Tahoma" w:cs="Tahoma"/>
                <w:b/>
                <w:bCs/>
                <w:sz w:val="24"/>
                <w:szCs w:val="24"/>
              </w:rPr>
            </w:pPr>
            <w:r>
              <w:rPr>
                <w:rFonts w:ascii="Tahoma" w:hAnsi="Tahoma" w:cs="Tahoma"/>
                <w:b/>
                <w:bCs/>
                <w:sz w:val="24"/>
                <w:szCs w:val="24"/>
                <w:u w:val="single"/>
              </w:rPr>
              <w:t>Lieu</w:t>
            </w:r>
            <w:r>
              <w:rPr>
                <w:rFonts w:ascii="Tahoma" w:hAnsi="Tahoma" w:cs="Tahoma"/>
                <w:b/>
                <w:bCs/>
                <w:sz w:val="24"/>
                <w:szCs w:val="24"/>
              </w:rPr>
              <w:t xml:space="preserve"> : </w:t>
            </w:r>
            <w:r>
              <w:rPr>
                <w:rFonts w:ascii="Tahoma" w:hAnsi="Tahoma" w:cs="Tahoma"/>
                <w:sz w:val="24"/>
                <w:szCs w:val="24"/>
              </w:rPr>
              <w:t xml:space="preserve">salle de réunion du 9eme étage </w:t>
            </w:r>
            <w:r>
              <w:rPr>
                <w:rFonts w:ascii="Tahoma" w:hAnsi="Tahoma" w:cs="Tahoma"/>
                <w:b/>
                <w:sz w:val="24"/>
                <w:szCs w:val="24"/>
              </w:rPr>
              <w:t>à l’ANSD de 09h à 13h</w:t>
            </w:r>
          </w:p>
        </w:tc>
      </w:tr>
      <w:tr w14:paraId="7B281526">
        <w:tblPrEx>
          <w:tblBorders>
            <w:top w:val="double" w:color="000000" w:themeColor="text1" w:sz="4" w:space="0"/>
            <w:left w:val="double" w:color="000000" w:themeColor="text1" w:sz="4" w:space="0"/>
            <w:bottom w:val="double" w:color="000000" w:themeColor="text1" w:sz="4" w:space="0"/>
            <w:right w:val="doub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865" w:hRule="atLeast"/>
        </w:trPr>
        <w:tc>
          <w:tcPr>
            <w:tcW w:w="2962" w:type="dxa"/>
            <w:vAlign w:val="center"/>
          </w:tcPr>
          <w:p w14:paraId="26EFCB47">
            <w:pPr>
              <w:pStyle w:val="7"/>
              <w:snapToGrid w:val="0"/>
              <w:spacing w:line="259" w:lineRule="auto"/>
              <w:ind w:left="0"/>
              <w:rPr>
                <w:rFonts w:ascii="Tahoma" w:hAnsi="Tahoma" w:cs="Tahoma"/>
                <w:b/>
                <w:bCs/>
                <w:sz w:val="24"/>
                <w:szCs w:val="24"/>
              </w:rPr>
            </w:pPr>
            <w:r>
              <w:rPr>
                <w:rFonts w:ascii="Tahoma" w:hAnsi="Tahoma" w:cs="Tahoma"/>
                <w:b/>
                <w:bCs/>
                <w:sz w:val="24"/>
                <w:szCs w:val="24"/>
              </w:rPr>
              <w:t>Ordre du jour</w:t>
            </w:r>
          </w:p>
        </w:tc>
        <w:tc>
          <w:tcPr>
            <w:tcW w:w="7528" w:type="dxa"/>
            <w:gridSpan w:val="3"/>
            <w:vAlign w:val="center"/>
          </w:tcPr>
          <w:p w14:paraId="1D519151">
            <w:pPr>
              <w:spacing w:before="100" w:beforeAutospacing="1" w:after="100" w:afterAutospacing="1" w:line="259" w:lineRule="auto"/>
              <w:rPr>
                <w:rFonts w:cs="Tahoma"/>
                <w:szCs w:val="24"/>
              </w:rPr>
            </w:pPr>
            <w:r>
              <w:rPr>
                <w:rFonts w:cs="Tahoma"/>
                <w:szCs w:val="24"/>
              </w:rPr>
              <w:t>1/ Présentation du chronogramme de la phase 2</w:t>
            </w:r>
          </w:p>
          <w:p w14:paraId="5D4094AF">
            <w:pPr>
              <w:spacing w:before="100" w:beforeAutospacing="1" w:after="100" w:afterAutospacing="1" w:line="259" w:lineRule="auto"/>
              <w:rPr>
                <w:rFonts w:cs="Tahoma"/>
                <w:szCs w:val="24"/>
              </w:rPr>
            </w:pPr>
            <w:r>
              <w:rPr>
                <w:rFonts w:cs="Tahoma"/>
                <w:szCs w:val="24"/>
              </w:rPr>
              <w:t>2/ Présentation de la méthodologie des enquêtes de productivité des bovins, ovins, caprins et poules (envoi initial de la documentation au moins une semaine avant la réunion)</w:t>
            </w:r>
          </w:p>
          <w:p w14:paraId="1194E9A0">
            <w:pPr>
              <w:spacing w:before="100" w:beforeAutospacing="1" w:after="100" w:afterAutospacing="1" w:line="259" w:lineRule="auto"/>
              <w:rPr>
                <w:rFonts w:cs="Tahoma"/>
                <w:szCs w:val="24"/>
              </w:rPr>
            </w:pPr>
            <w:r>
              <w:rPr>
                <w:rFonts w:cs="Tahoma"/>
                <w:szCs w:val="24"/>
              </w:rPr>
              <w:t>3/ Modalités d'organisation du Cotech du RNE</w:t>
            </w:r>
          </w:p>
          <w:p w14:paraId="58562075">
            <w:pPr>
              <w:spacing w:before="100" w:beforeAutospacing="1" w:after="100" w:afterAutospacing="1" w:line="259" w:lineRule="auto"/>
              <w:rPr>
                <w:rFonts w:cs="Tahoma"/>
                <w:szCs w:val="24"/>
              </w:rPr>
            </w:pPr>
            <w:r>
              <w:rPr>
                <w:rFonts w:cs="Tahoma"/>
                <w:szCs w:val="24"/>
              </w:rPr>
              <w:t>4/ Questions diverse</w:t>
            </w:r>
            <w:r>
              <w:rPr>
                <w:rFonts w:eastAsia="Times" w:cs="Tahoma"/>
                <w:color w:val="000000"/>
                <w:szCs w:val="24"/>
              </w:rPr>
              <w:t xml:space="preserve">s </w:t>
            </w:r>
          </w:p>
        </w:tc>
      </w:tr>
      <w:tr w14:paraId="501B303F">
        <w:tblPrEx>
          <w:tblBorders>
            <w:top w:val="double" w:color="000000" w:themeColor="text1" w:sz="4" w:space="0"/>
            <w:left w:val="double" w:color="000000" w:themeColor="text1" w:sz="4" w:space="0"/>
            <w:bottom w:val="double" w:color="000000" w:themeColor="text1" w:sz="4" w:space="0"/>
            <w:right w:val="doub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74" w:hRule="atLeast"/>
        </w:trPr>
        <w:tc>
          <w:tcPr>
            <w:tcW w:w="2962" w:type="dxa"/>
            <w:vAlign w:val="center"/>
          </w:tcPr>
          <w:p w14:paraId="25CEB4AE">
            <w:pPr>
              <w:pStyle w:val="7"/>
              <w:snapToGrid w:val="0"/>
              <w:spacing w:line="259" w:lineRule="auto"/>
              <w:ind w:left="0"/>
              <w:rPr>
                <w:rFonts w:ascii="Tahoma" w:hAnsi="Tahoma" w:cs="Tahoma"/>
                <w:b/>
                <w:bCs/>
                <w:sz w:val="24"/>
                <w:szCs w:val="24"/>
              </w:rPr>
            </w:pPr>
            <w:r>
              <w:rPr>
                <w:rFonts w:ascii="Tahoma" w:hAnsi="Tahoma" w:cs="Tahoma"/>
                <w:b/>
                <w:bCs/>
                <w:sz w:val="24"/>
                <w:szCs w:val="24"/>
              </w:rPr>
              <w:t>Rapporteurs</w:t>
            </w:r>
          </w:p>
        </w:tc>
        <w:tc>
          <w:tcPr>
            <w:tcW w:w="7528" w:type="dxa"/>
            <w:gridSpan w:val="3"/>
            <w:vAlign w:val="center"/>
          </w:tcPr>
          <w:p w14:paraId="05F62CA4">
            <w:pPr>
              <w:spacing w:after="0" w:line="259" w:lineRule="auto"/>
              <w:jc w:val="left"/>
              <w:rPr>
                <w:rFonts w:eastAsia="Times" w:cs="Tahoma"/>
                <w:color w:val="000000"/>
                <w:szCs w:val="24"/>
              </w:rPr>
            </w:pPr>
            <w:r>
              <w:rPr>
                <w:rFonts w:eastAsia="Times" w:cs="Tahoma"/>
                <w:color w:val="000000" w:themeColor="text1"/>
                <w:szCs w:val="24"/>
                <w14:textFill>
                  <w14:solidFill>
                    <w14:schemeClr w14:val="tx1"/>
                  </w14:solidFill>
                </w14:textFill>
              </w:rPr>
              <w:t>Equipe BMN</w:t>
            </w:r>
          </w:p>
        </w:tc>
      </w:tr>
      <w:tr w14:paraId="0B589123">
        <w:tblPrEx>
          <w:tblBorders>
            <w:top w:val="double" w:color="000000" w:themeColor="text1" w:sz="4" w:space="0"/>
            <w:left w:val="double" w:color="000000" w:themeColor="text1" w:sz="4" w:space="0"/>
            <w:bottom w:val="double" w:color="000000" w:themeColor="text1" w:sz="4" w:space="0"/>
            <w:right w:val="doub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2" w:hRule="atLeast"/>
        </w:trPr>
        <w:tc>
          <w:tcPr>
            <w:tcW w:w="2962" w:type="dxa"/>
            <w:vAlign w:val="center"/>
          </w:tcPr>
          <w:p w14:paraId="71B6553A">
            <w:pPr>
              <w:pStyle w:val="7"/>
              <w:snapToGrid w:val="0"/>
              <w:spacing w:line="259" w:lineRule="auto"/>
              <w:ind w:left="0"/>
              <w:rPr>
                <w:rFonts w:ascii="Tahoma" w:hAnsi="Tahoma" w:cs="Tahoma"/>
                <w:b/>
                <w:bCs/>
                <w:sz w:val="24"/>
                <w:szCs w:val="24"/>
              </w:rPr>
            </w:pPr>
            <w:r>
              <w:rPr>
                <w:rFonts w:ascii="Tahoma" w:hAnsi="Tahoma" w:cs="Tahoma"/>
                <w:b/>
                <w:bCs/>
                <w:sz w:val="24"/>
                <w:szCs w:val="24"/>
              </w:rPr>
              <w:t>Liste des participants</w:t>
            </w:r>
          </w:p>
        </w:tc>
        <w:tc>
          <w:tcPr>
            <w:tcW w:w="4908" w:type="dxa"/>
            <w:gridSpan w:val="2"/>
            <w:tcBorders>
              <w:top w:val="single" w:color="000000" w:themeColor="text1" w:sz="4" w:space="0"/>
              <w:bottom w:val="single" w:color="000000" w:themeColor="text1" w:sz="4" w:space="0"/>
              <w:right w:val="nil"/>
            </w:tcBorders>
            <w:vAlign w:val="center"/>
          </w:tcPr>
          <w:p w14:paraId="743248B7">
            <w:pPr>
              <w:pStyle w:val="14"/>
              <w:spacing w:line="259" w:lineRule="auto"/>
              <w:ind w:left="360"/>
              <w:rPr>
                <w:rFonts w:cs="Tahoma"/>
                <w:szCs w:val="24"/>
              </w:rPr>
            </w:pPr>
            <w:r>
              <w:rPr>
                <w:rFonts w:cs="Tahoma"/>
                <w:szCs w:val="24"/>
              </w:rPr>
              <w:t>Cf. annexe</w:t>
            </w:r>
          </w:p>
        </w:tc>
        <w:tc>
          <w:tcPr>
            <w:tcW w:w="2620" w:type="dxa"/>
            <w:tcBorders>
              <w:left w:val="nil"/>
            </w:tcBorders>
            <w:vAlign w:val="center"/>
          </w:tcPr>
          <w:p w14:paraId="481C93A2">
            <w:pPr>
              <w:pStyle w:val="14"/>
              <w:spacing w:line="259" w:lineRule="auto"/>
              <w:ind w:left="360"/>
              <w:rPr>
                <w:rFonts w:cs="Tahoma"/>
                <w:szCs w:val="24"/>
              </w:rPr>
            </w:pPr>
          </w:p>
        </w:tc>
      </w:tr>
      <w:tr w14:paraId="7B5CA39A">
        <w:tblPrEx>
          <w:tblBorders>
            <w:top w:val="double" w:color="000000" w:themeColor="text1" w:sz="4" w:space="0"/>
            <w:left w:val="double" w:color="000000" w:themeColor="text1" w:sz="4" w:space="0"/>
            <w:bottom w:val="double" w:color="000000" w:themeColor="text1" w:sz="4" w:space="0"/>
            <w:right w:val="doub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24" w:hRule="atLeast"/>
        </w:trPr>
        <w:tc>
          <w:tcPr>
            <w:tcW w:w="2962" w:type="dxa"/>
            <w:vAlign w:val="center"/>
          </w:tcPr>
          <w:p w14:paraId="5FC492AD">
            <w:pPr>
              <w:pStyle w:val="7"/>
              <w:snapToGrid w:val="0"/>
              <w:spacing w:line="259" w:lineRule="auto"/>
              <w:ind w:left="0"/>
              <w:rPr>
                <w:rFonts w:ascii="Tahoma" w:hAnsi="Tahoma" w:cs="Tahoma"/>
                <w:b/>
                <w:bCs/>
                <w:sz w:val="24"/>
                <w:szCs w:val="24"/>
              </w:rPr>
            </w:pPr>
            <w:r>
              <w:rPr>
                <w:rFonts w:ascii="Tahoma" w:hAnsi="Tahoma" w:cs="Tahoma"/>
                <w:b/>
                <w:bCs/>
                <w:sz w:val="24"/>
                <w:szCs w:val="24"/>
              </w:rPr>
              <w:t>POINTS</w:t>
            </w:r>
          </w:p>
        </w:tc>
        <w:tc>
          <w:tcPr>
            <w:tcW w:w="7528" w:type="dxa"/>
            <w:gridSpan w:val="3"/>
            <w:vAlign w:val="center"/>
          </w:tcPr>
          <w:p w14:paraId="133BE213">
            <w:pPr>
              <w:pStyle w:val="7"/>
              <w:snapToGrid w:val="0"/>
              <w:spacing w:line="259" w:lineRule="auto"/>
              <w:ind w:left="0"/>
              <w:rPr>
                <w:rFonts w:ascii="Tahoma" w:hAnsi="Tahoma" w:cs="Tahoma"/>
                <w:b/>
                <w:sz w:val="24"/>
                <w:szCs w:val="24"/>
              </w:rPr>
            </w:pPr>
            <w:r>
              <w:rPr>
                <w:rFonts w:ascii="Tahoma" w:hAnsi="Tahoma" w:cs="Tahoma"/>
                <w:b/>
                <w:sz w:val="24"/>
                <w:szCs w:val="24"/>
              </w:rPr>
              <w:t xml:space="preserve">COMPTE RENDU </w:t>
            </w:r>
          </w:p>
        </w:tc>
      </w:tr>
      <w:tr w14:paraId="79F638C0">
        <w:tblPrEx>
          <w:tblBorders>
            <w:top w:val="double" w:color="000000" w:themeColor="text1" w:sz="4" w:space="0"/>
            <w:left w:val="double" w:color="000000" w:themeColor="text1" w:sz="4" w:space="0"/>
            <w:bottom w:val="double" w:color="000000" w:themeColor="text1" w:sz="4" w:space="0"/>
            <w:right w:val="doub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24" w:hRule="atLeast"/>
        </w:trPr>
        <w:tc>
          <w:tcPr>
            <w:tcW w:w="2962" w:type="dxa"/>
            <w:vAlign w:val="center"/>
          </w:tcPr>
          <w:p w14:paraId="0145863C">
            <w:pPr>
              <w:pStyle w:val="14"/>
              <w:numPr>
                <w:ilvl w:val="0"/>
                <w:numId w:val="1"/>
              </w:numPr>
              <w:spacing w:line="259" w:lineRule="auto"/>
              <w:ind w:left="357" w:hanging="357"/>
              <w:jc w:val="left"/>
              <w:rPr>
                <w:rFonts w:eastAsia="Times New Roman" w:cs="Tahoma"/>
                <w:b/>
                <w:szCs w:val="24"/>
                <w:lang w:eastAsia="ar-SA"/>
              </w:rPr>
            </w:pPr>
            <w:r>
              <w:rPr>
                <w:rFonts w:eastAsia="Times" w:cs="Tahoma"/>
                <w:b/>
                <w:color w:val="000000" w:themeColor="text1"/>
                <w:szCs w:val="24"/>
                <w14:textFill>
                  <w14:solidFill>
                    <w14:schemeClr w14:val="tx1"/>
                  </w14:solidFill>
                </w14:textFill>
              </w:rPr>
              <w:t>Mot d’ouverture du représentant du Directeur général de l’ANSD</w:t>
            </w:r>
          </w:p>
        </w:tc>
        <w:tc>
          <w:tcPr>
            <w:tcW w:w="7528" w:type="dxa"/>
            <w:gridSpan w:val="3"/>
            <w:vAlign w:val="center"/>
          </w:tcPr>
          <w:p w14:paraId="3539DC97">
            <w:pPr>
              <w:spacing w:line="259" w:lineRule="auto"/>
              <w:rPr>
                <w:rFonts w:cs="Tahoma"/>
                <w:szCs w:val="24"/>
              </w:rPr>
            </w:pPr>
            <w:r>
              <w:rPr>
                <w:rFonts w:cs="Tahoma"/>
                <w:szCs w:val="24"/>
              </w:rPr>
              <w:t>Le 25 aout 2025, s’est tenue dans les locaux de l’ANSD une réunion de partage sur le RNE entre l’équipe du Bureau central du Recensement national de l’Elevage (BCRNE), en charge de la phase 2 du Recensement national de l’élevage et celle de l’ANSD.</w:t>
            </w:r>
          </w:p>
          <w:p w14:paraId="633B6DF5">
            <w:pPr>
              <w:spacing w:line="259" w:lineRule="auto"/>
              <w:rPr>
                <w:rFonts w:cs="Tahoma"/>
                <w:szCs w:val="24"/>
              </w:rPr>
            </w:pPr>
            <w:r>
              <w:rPr>
                <w:rFonts w:cs="Tahoma"/>
                <w:szCs w:val="24"/>
              </w:rPr>
              <w:t xml:space="preserve">La séance a été présidée par </w:t>
            </w:r>
            <w:r>
              <w:rPr>
                <w:rFonts w:cs="Tahoma"/>
                <w:b/>
                <w:szCs w:val="24"/>
              </w:rPr>
              <w:t>Monsieur FALL: Directeur des Statistiques Démographiques et Sociales qui représentait le Directeur de la Méthodologie, de la Coordination Statistique et de l’Innovation</w:t>
            </w:r>
            <w:r>
              <w:rPr>
                <w:rFonts w:cs="Tahoma"/>
                <w:szCs w:val="24"/>
              </w:rPr>
              <w:t>. En l’entame de son propos, le Directeur a félicité les parties prenantes de ce projet pour le travail abattu jusqu’ici. Il a également remercié les participants d’avoir répondu à l’appel et est largement revenu sur l’importance de ce projet et les rôles clés du BCRNE et de l’ANSD. Par la suite, il a passé la parole à l’assistance pour un tour de table.</w:t>
            </w:r>
          </w:p>
        </w:tc>
      </w:tr>
      <w:tr w14:paraId="1DD14982">
        <w:tblPrEx>
          <w:tblBorders>
            <w:top w:val="double" w:color="000000" w:themeColor="text1" w:sz="4" w:space="0"/>
            <w:left w:val="double" w:color="000000" w:themeColor="text1" w:sz="4" w:space="0"/>
            <w:bottom w:val="double" w:color="000000" w:themeColor="text1" w:sz="4" w:space="0"/>
            <w:right w:val="doub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62" w:type="dxa"/>
            <w:vAlign w:val="center"/>
          </w:tcPr>
          <w:p w14:paraId="3DA3DC10">
            <w:pPr>
              <w:pStyle w:val="7"/>
              <w:numPr>
                <w:ilvl w:val="0"/>
                <w:numId w:val="1"/>
              </w:numPr>
              <w:spacing w:line="259" w:lineRule="auto"/>
              <w:ind w:left="357" w:hanging="357"/>
              <w:jc w:val="left"/>
              <w:rPr>
                <w:rFonts w:ascii="Tahoma" w:hAnsi="Tahoma" w:cs="Tahoma"/>
                <w:b/>
                <w:bCs/>
                <w:sz w:val="24"/>
                <w:szCs w:val="24"/>
              </w:rPr>
            </w:pPr>
            <w:bookmarkStart w:id="1" w:name="_GoBack"/>
            <w:r>
              <w:rPr>
                <w:rFonts w:ascii="Tahoma" w:hAnsi="Tahoma" w:cs="Tahoma"/>
                <w:b/>
                <w:bCs/>
                <w:sz w:val="24"/>
                <w:szCs w:val="24"/>
              </w:rPr>
              <w:t>Présentation des étapes franchies (état d’exécution des modules et du dispositif institutionnel)</w:t>
            </w:r>
          </w:p>
        </w:tc>
        <w:tc>
          <w:tcPr>
            <w:tcW w:w="7528" w:type="dxa"/>
            <w:gridSpan w:val="3"/>
            <w:vAlign w:val="center"/>
          </w:tcPr>
          <w:p w14:paraId="787A5F76">
            <w:pPr>
              <w:spacing w:line="259" w:lineRule="auto"/>
              <w:rPr>
                <w:rFonts w:cs="Tahoma"/>
                <w:szCs w:val="24"/>
              </w:rPr>
            </w:pPr>
            <w:r>
              <w:rPr>
                <w:rFonts w:cs="Tahoma"/>
                <w:szCs w:val="24"/>
              </w:rPr>
              <w:t>L’équipe du BCRNE est revenue sur le contexte, les objectifs et le cadre institutionnel du RNE.</w:t>
            </w:r>
            <w:r>
              <w:rPr>
                <w:rFonts w:cs="Tahoma" w:eastAsiaTheme="minorEastAsia"/>
                <w:color w:val="000000" w:themeColor="text1"/>
                <w:kern w:val="24"/>
                <w:szCs w:val="24"/>
                <w14:textFill>
                  <w14:solidFill>
                    <w14:schemeClr w14:val="tx1"/>
                  </w14:solidFill>
                </w14:textFill>
              </w:rPr>
              <w:t xml:space="preserve"> Il a été rappelé que l’objectif d’une telle opération est d’</w:t>
            </w:r>
            <w:r>
              <w:rPr>
                <w:rFonts w:cs="Tahoma"/>
                <w:szCs w:val="24"/>
              </w:rPr>
              <w:t xml:space="preserve">améliorer les connaissances sur l’élevage, pour une meilleure formulation des politiques et un meilleur pilotage des projets et initiatives de développement du secteur de l’élevage au Sénégal. </w:t>
            </w:r>
          </w:p>
          <w:p w14:paraId="4C0AF9D9">
            <w:pPr>
              <w:spacing w:line="259" w:lineRule="auto"/>
              <w:rPr>
                <w:rFonts w:cs="Tahoma"/>
                <w:szCs w:val="24"/>
              </w:rPr>
            </w:pPr>
            <w:r>
              <w:rPr>
                <w:rFonts w:cs="Tahoma"/>
                <w:szCs w:val="24"/>
              </w:rPr>
              <w:t>Parlant du dispositif institutionnel, le présentateur a précisé qu’il est établi sur deux échelons à savoir le niveau central d’une part composé du comité national de pilotage (organe de pilotage), du comité technique (organe technique) et du Bureau central du RNE (organe d’exécution) et d’autre part le niveau déconcentré qui englobe les comités régionaux et les comités départementaux.</w:t>
            </w:r>
          </w:p>
          <w:p w14:paraId="3F07A0F8">
            <w:pPr>
              <w:spacing w:line="259" w:lineRule="auto"/>
              <w:rPr>
                <w:rFonts w:cs="Tahoma"/>
                <w:szCs w:val="24"/>
              </w:rPr>
            </w:pPr>
            <w:r>
              <w:rPr>
                <w:rFonts w:cs="Tahoma"/>
                <w:szCs w:val="24"/>
              </w:rPr>
              <w:t>En présentant l’état d’exécution des différents modules, les livrables de la phase 1 (rapports, dépliants, atlas, etc.) ont été mis en exergue. Concernant la phase 2, le présentateur est largement revenu sur les enquêtes complémentaires portant sur quatre espèces (</w:t>
            </w:r>
            <w:r>
              <w:rPr>
                <w:rFonts w:eastAsia="Tahoma" w:cs="Tahoma"/>
                <w:color w:val="0D0D0D" w:themeColor="text1" w:themeTint="F2"/>
                <w:szCs w:val="24"/>
                <w14:textFill>
                  <w14:solidFill>
                    <w14:schemeClr w14:val="tx1">
                      <w14:lumMod w14:val="95000"/>
                      <w14:lumOff w14:val="5000"/>
                    </w14:schemeClr>
                  </w14:solidFill>
                </w14:textFill>
              </w:rPr>
              <w:t xml:space="preserve">les camelins, les équins, les porcins et les ruches d’abeilles) et les exploitations d’élevage moderne pour les trois régions que sont </w:t>
            </w:r>
            <w:r>
              <w:rPr>
                <w:rFonts w:cs="Tahoma"/>
                <w:szCs w:val="24"/>
              </w:rPr>
              <w:t xml:space="preserve">Dakar, Thiès et Ziguinchor au niveau desquelles, une collecte non exhaustive et des pertes de données ont été notées lors de la phase 1. Pour les équins, </w:t>
            </w:r>
            <w:r>
              <w:rPr>
                <w:rFonts w:eastAsia="Tahoma" w:cs="Tahoma"/>
                <w:color w:val="0D0D0D" w:themeColor="text1" w:themeTint="F2"/>
                <w:szCs w:val="24"/>
                <w14:textFill>
                  <w14:solidFill>
                    <w14:schemeClr w14:val="tx1">
                      <w14:lumMod w14:val="95000"/>
                      <w14:lumOff w14:val="5000"/>
                    </w14:schemeClr>
                  </w14:solidFill>
                </w14:textFill>
              </w:rPr>
              <w:t xml:space="preserve"> l’effectif relevé à Dakar (1 182 chevaux) s’avère inférieur aux données issues des sources administratives, telles que les statistiques de vaccination, qui indiquent un nombre plus élevé.</w:t>
            </w:r>
          </w:p>
          <w:p w14:paraId="56A44203">
            <w:pPr>
              <w:spacing w:line="259" w:lineRule="auto"/>
              <w:rPr>
                <w:rFonts w:cs="Tahoma"/>
                <w:szCs w:val="24"/>
              </w:rPr>
            </w:pPr>
            <w:r>
              <w:rPr>
                <w:rFonts w:cs="Tahoma"/>
                <w:szCs w:val="24"/>
              </w:rPr>
              <w:t>Les résultats préliminaires des enquêtes complémentaires portant sur les équins dans la région de Dakar ont été également présentés. Il a été précisé aussi que dans le cadre de cette phase 2, des études telles que les dénombrements complémentaires (porcins, camelins et ruches d’abeilles) et enquêtes de productivité (porcins, ruches d’abeilles, camelins, dindes, canards, pigeons, autruches, et autres volailles) seront confiés à des consultants (individuels/cabinets). Quant au BCRNE, il se chargera des enquêtes sur la productivité des bovins, petits ruminants et poules en plus des études sur les chocs et stratégies de résilience des ménages agropastoraux. </w:t>
            </w:r>
          </w:p>
        </w:tc>
      </w:tr>
      <w:bookmarkEnd w:id="1"/>
      <w:tr w14:paraId="091F228E">
        <w:tblPrEx>
          <w:tblBorders>
            <w:top w:val="double" w:color="000000" w:themeColor="text1" w:sz="4" w:space="0"/>
            <w:left w:val="double" w:color="000000" w:themeColor="text1" w:sz="4" w:space="0"/>
            <w:bottom w:val="double" w:color="000000" w:themeColor="text1" w:sz="4" w:space="0"/>
            <w:right w:val="doub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24" w:hRule="atLeast"/>
        </w:trPr>
        <w:tc>
          <w:tcPr>
            <w:tcW w:w="2962" w:type="dxa"/>
            <w:vAlign w:val="center"/>
          </w:tcPr>
          <w:p w14:paraId="1E4D8FB1">
            <w:pPr>
              <w:pStyle w:val="7"/>
              <w:numPr>
                <w:ilvl w:val="0"/>
                <w:numId w:val="1"/>
              </w:numPr>
              <w:spacing w:line="259" w:lineRule="auto"/>
              <w:ind w:left="357" w:hanging="357"/>
              <w:jc w:val="left"/>
              <w:rPr>
                <w:rFonts w:ascii="Tahoma" w:hAnsi="Tahoma" w:cs="Tahoma"/>
                <w:b/>
                <w:sz w:val="24"/>
                <w:szCs w:val="24"/>
              </w:rPr>
            </w:pPr>
            <w:r>
              <w:rPr>
                <w:rFonts w:ascii="Tahoma" w:hAnsi="Tahoma" w:cs="Tahoma"/>
                <w:b/>
                <w:sz w:val="24"/>
                <w:szCs w:val="24"/>
              </w:rPr>
              <w:t>Discussions portant sur la première présentation</w:t>
            </w:r>
          </w:p>
        </w:tc>
        <w:tc>
          <w:tcPr>
            <w:tcW w:w="7528" w:type="dxa"/>
            <w:gridSpan w:val="3"/>
            <w:vAlign w:val="center"/>
          </w:tcPr>
          <w:p w14:paraId="33B8F01C">
            <w:pPr>
              <w:spacing w:line="259" w:lineRule="auto"/>
              <w:rPr>
                <w:rFonts w:cs="Tahoma"/>
                <w:szCs w:val="24"/>
              </w:rPr>
            </w:pPr>
            <w:r>
              <w:rPr>
                <w:rFonts w:cs="Tahoma"/>
                <w:szCs w:val="24"/>
              </w:rPr>
              <w:t>Après cette première présentation, le président de séance a ouvert les discussions. Elles ont porté essentiellement les points suivants :</w:t>
            </w:r>
          </w:p>
          <w:p w14:paraId="17360CF6">
            <w:pPr>
              <w:pStyle w:val="14"/>
              <w:numPr>
                <w:ilvl w:val="0"/>
                <w:numId w:val="2"/>
              </w:numPr>
              <w:spacing w:line="259" w:lineRule="auto"/>
              <w:rPr>
                <w:rFonts w:cs="Tahoma"/>
                <w:szCs w:val="24"/>
              </w:rPr>
            </w:pPr>
            <w:r>
              <w:rPr>
                <w:rFonts w:cs="Tahoma"/>
                <w:szCs w:val="24"/>
                <w:lang w:val="zh-CN"/>
              </w:rPr>
              <w:t>pourquoi les résultats du RGPH-5 n’ont pas été utilisés dans la phase complémentaire pour s’assurer de l’exhaustivité du nombre de chevaux dans la région de Dakar ?</w:t>
            </w:r>
          </w:p>
          <w:p w14:paraId="7CFFAEE3">
            <w:pPr>
              <w:pStyle w:val="14"/>
              <w:numPr>
                <w:ilvl w:val="0"/>
                <w:numId w:val="2"/>
              </w:numPr>
              <w:spacing w:line="259" w:lineRule="auto"/>
              <w:rPr>
                <w:rFonts w:cs="Tahoma"/>
                <w:szCs w:val="24"/>
              </w:rPr>
            </w:pPr>
            <w:r>
              <w:rPr>
                <w:rFonts w:cs="Tahoma"/>
                <w:szCs w:val="24"/>
                <w:lang w:val="zh-CN"/>
              </w:rPr>
              <w:t>En dehors de l’évaluation externe d’autres types d’évaluation ont-ils étaient faits ?</w:t>
            </w:r>
          </w:p>
          <w:p w14:paraId="02A5036B">
            <w:pPr>
              <w:pStyle w:val="14"/>
              <w:numPr>
                <w:ilvl w:val="0"/>
                <w:numId w:val="2"/>
              </w:numPr>
              <w:spacing w:line="259" w:lineRule="auto"/>
              <w:rPr>
                <w:rFonts w:cs="Tahoma"/>
                <w:szCs w:val="24"/>
              </w:rPr>
            </w:pPr>
            <w:r>
              <w:rPr>
                <w:rFonts w:cs="Tahoma"/>
                <w:szCs w:val="24"/>
                <w:lang w:val="zh-CN"/>
              </w:rPr>
              <w:t>Existent-ils des informations sur les régions de provenance des chevaux et les avez-vous comparées au résultat du RGPH-5 ?</w:t>
            </w:r>
          </w:p>
          <w:p w14:paraId="293C9320">
            <w:pPr>
              <w:pStyle w:val="14"/>
              <w:numPr>
                <w:ilvl w:val="0"/>
                <w:numId w:val="2"/>
              </w:numPr>
              <w:spacing w:line="259" w:lineRule="auto"/>
              <w:rPr>
                <w:rFonts w:cs="Tahoma"/>
                <w:szCs w:val="24"/>
              </w:rPr>
            </w:pPr>
            <w:r>
              <w:rPr>
                <w:rFonts w:cs="Tahoma"/>
                <w:szCs w:val="24"/>
                <w:lang w:val="zh-CN"/>
              </w:rPr>
              <w:t>Comment s’effectue la cartographie des fermes avicoles ? Est-ce rigoureusement une cartographie ;</w:t>
            </w:r>
          </w:p>
          <w:p w14:paraId="208E2B48">
            <w:pPr>
              <w:pStyle w:val="14"/>
              <w:numPr>
                <w:ilvl w:val="0"/>
                <w:numId w:val="2"/>
              </w:numPr>
              <w:spacing w:line="259" w:lineRule="auto"/>
              <w:rPr>
                <w:rFonts w:cs="Tahoma"/>
                <w:szCs w:val="24"/>
              </w:rPr>
            </w:pPr>
            <w:r>
              <w:rPr>
                <w:rFonts w:cs="Tahoma"/>
                <w:szCs w:val="24"/>
                <w:lang w:val="zh-CN"/>
              </w:rPr>
              <w:t>Comment les données de l’enquête complémentaire seront traitées et prises en compte ?</w:t>
            </w:r>
          </w:p>
        </w:tc>
      </w:tr>
      <w:tr w14:paraId="5F33DD59">
        <w:tblPrEx>
          <w:tblBorders>
            <w:top w:val="double" w:color="000000" w:themeColor="text1" w:sz="4" w:space="0"/>
            <w:left w:val="double" w:color="000000" w:themeColor="text1" w:sz="4" w:space="0"/>
            <w:bottom w:val="double" w:color="000000" w:themeColor="text1" w:sz="4" w:space="0"/>
            <w:right w:val="doub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24" w:hRule="atLeast"/>
        </w:trPr>
        <w:tc>
          <w:tcPr>
            <w:tcW w:w="2962" w:type="dxa"/>
            <w:vAlign w:val="center"/>
          </w:tcPr>
          <w:p w14:paraId="02A29366">
            <w:pPr>
              <w:pStyle w:val="7"/>
              <w:numPr>
                <w:ilvl w:val="0"/>
                <w:numId w:val="1"/>
              </w:numPr>
              <w:spacing w:line="259" w:lineRule="auto"/>
              <w:ind w:left="357" w:hanging="357"/>
              <w:jc w:val="left"/>
              <w:rPr>
                <w:rFonts w:ascii="Tahoma" w:hAnsi="Tahoma" w:cs="Tahoma"/>
                <w:b/>
                <w:sz w:val="24"/>
                <w:szCs w:val="24"/>
              </w:rPr>
            </w:pPr>
            <w:r>
              <w:rPr>
                <w:rFonts w:ascii="Tahoma" w:hAnsi="Tahoma" w:cs="Tahoma"/>
                <w:b/>
                <w:sz w:val="24"/>
                <w:szCs w:val="24"/>
              </w:rPr>
              <w:t>Réponses du BCRNE</w:t>
            </w:r>
          </w:p>
        </w:tc>
        <w:tc>
          <w:tcPr>
            <w:tcW w:w="7528" w:type="dxa"/>
            <w:gridSpan w:val="3"/>
            <w:vAlign w:val="center"/>
          </w:tcPr>
          <w:p w14:paraId="37B61863">
            <w:pPr>
              <w:spacing w:line="259" w:lineRule="auto"/>
              <w:rPr>
                <w:rFonts w:cs="Tahoma"/>
                <w:szCs w:val="24"/>
                <w:lang w:val="zh-CN"/>
              </w:rPr>
            </w:pPr>
            <w:r>
              <w:rPr>
                <w:rFonts w:cs="Tahoma"/>
                <w:szCs w:val="24"/>
                <w:lang w:val="zh-CN"/>
              </w:rPr>
              <w:t>Le BCRNE a apporté les éléments de réponse suivante :</w:t>
            </w:r>
          </w:p>
          <w:p w14:paraId="4A82FFAC">
            <w:pPr>
              <w:spacing w:line="259" w:lineRule="auto"/>
              <w:rPr>
                <w:rFonts w:cs="Tahoma"/>
                <w:szCs w:val="24"/>
                <w:lang w:val="zh-CN"/>
              </w:rPr>
            </w:pPr>
            <w:r>
              <w:rPr>
                <w:rFonts w:cs="Tahoma"/>
                <w:b/>
                <w:szCs w:val="24"/>
                <w:lang w:val="zh-CN"/>
              </w:rPr>
              <w:t>-les chevaux</w:t>
            </w:r>
            <w:r>
              <w:rPr>
                <w:rFonts w:cs="Tahoma"/>
                <w:szCs w:val="24"/>
                <w:lang w:val="zh-CN"/>
              </w:rPr>
              <w:t xml:space="preserve"> n’étaient pas bien recensés dans la région de Dakar puis qu’on les cherchait dans les ménages alors qu’ils ne s’y retrouvent pas ;</w:t>
            </w:r>
          </w:p>
          <w:p w14:paraId="1E97475F">
            <w:pPr>
              <w:spacing w:line="259" w:lineRule="auto"/>
              <w:rPr>
                <w:rFonts w:cs="Tahoma"/>
                <w:szCs w:val="24"/>
                <w:lang w:val="zh-CN"/>
              </w:rPr>
            </w:pPr>
            <w:r>
              <w:rPr>
                <w:rFonts w:cs="Tahoma"/>
                <w:b/>
                <w:szCs w:val="24"/>
                <w:lang w:val="zh-CN"/>
              </w:rPr>
              <w:t>-les chiffres bas</w:t>
            </w:r>
            <w:r>
              <w:rPr>
                <w:rFonts w:cs="Tahoma"/>
                <w:szCs w:val="24"/>
                <w:lang w:val="zh-CN"/>
              </w:rPr>
              <w:t xml:space="preserve"> s’expliquent par le fait que certaines espèces ne se retrouvent pas dans les ménages (équins pour la région de Dakar, abeilles, camelins, porcins) et ce constat découle de l’évaluation de la qualité des données ;</w:t>
            </w:r>
          </w:p>
          <w:p w14:paraId="2C99D1D8">
            <w:pPr>
              <w:spacing w:line="259" w:lineRule="auto"/>
              <w:rPr>
                <w:rFonts w:cs="Tahoma"/>
                <w:szCs w:val="24"/>
                <w:lang w:val="zh-CN"/>
              </w:rPr>
            </w:pPr>
            <w:r>
              <w:rPr>
                <w:rFonts w:cs="Tahoma"/>
                <w:szCs w:val="24"/>
                <w:lang w:val="zh-CN"/>
              </w:rPr>
              <w:t>-</w:t>
            </w:r>
            <w:r>
              <w:rPr>
                <w:rFonts w:cs="Tahoma"/>
                <w:b/>
                <w:szCs w:val="24"/>
                <w:lang w:val="zh-CN"/>
              </w:rPr>
              <w:t>à la question sur la cartographie des fermes avicoles</w:t>
            </w:r>
            <w:r>
              <w:rPr>
                <w:rFonts w:cs="Tahoma"/>
                <w:szCs w:val="24"/>
                <w:lang w:val="zh-CN"/>
              </w:rPr>
              <w:t xml:space="preserve">, le BCRNE a précisé que c’est le ministère qui va prendre en charge cette opération et c’est pendant l’enquête complémentaire sur les exploitations moderne sur Dakar, Thiès et Ziguinchor qu’elle sera faite (prise des coordonnés géoréférencées ). </w:t>
            </w:r>
          </w:p>
          <w:p w14:paraId="24140624">
            <w:pPr>
              <w:spacing w:line="259" w:lineRule="auto"/>
              <w:rPr>
                <w:rFonts w:cs="Tahoma"/>
                <w:szCs w:val="24"/>
                <w:lang w:val="zh-CN"/>
              </w:rPr>
            </w:pPr>
            <w:r>
              <w:rPr>
                <w:rFonts w:cs="Tahoma"/>
                <w:szCs w:val="24"/>
                <w:lang w:val="zh-CN"/>
              </w:rPr>
              <w:t>-</w:t>
            </w:r>
            <w:r>
              <w:rPr>
                <w:rFonts w:cs="Tahoma"/>
                <w:b/>
                <w:szCs w:val="24"/>
                <w:lang w:val="zh-CN"/>
              </w:rPr>
              <w:t>les régions de provenance des chevaux :</w:t>
            </w:r>
            <w:r>
              <w:rPr>
                <w:rFonts w:cs="Tahoma"/>
                <w:szCs w:val="24"/>
                <w:lang w:val="zh-CN"/>
              </w:rPr>
              <w:t xml:space="preserve"> ces informations ont été collectées et les profils peuvent être établis. Le département de résidence du propriétaire et du cheval a été pris en compte dans le questionnaire de l’enquête complémentaire sur les équins de Dakar;</w:t>
            </w:r>
          </w:p>
          <w:p w14:paraId="2F3C4F2C">
            <w:pPr>
              <w:spacing w:line="259" w:lineRule="auto"/>
              <w:rPr>
                <w:rFonts w:cs="Tahoma"/>
                <w:szCs w:val="24"/>
                <w:lang w:val="zh-CN"/>
              </w:rPr>
            </w:pPr>
            <w:r>
              <w:rPr>
                <w:rFonts w:cs="Tahoma"/>
                <w:b/>
                <w:szCs w:val="24"/>
                <w:lang w:val="zh-CN"/>
              </w:rPr>
              <w:t>-le BCRNE</w:t>
            </w:r>
            <w:r>
              <w:rPr>
                <w:rFonts w:cs="Tahoma"/>
                <w:szCs w:val="24"/>
                <w:lang w:val="zh-CN"/>
              </w:rPr>
              <w:t xml:space="preserve"> a précisé aussi que les résultats de la phase 1 (RNE) ont été comparés avec ceux de l’ANSD (RGPH-5), des autres enquêtes et des sources administratives. Egalement un rapport technique et un document méthodologique ont été élaborés pour servir de guide. Les résultats du RGPH-5 seront également utilisés pour l’évaluation externe de l’enquête complémentaire sur les équins à Dakar;</w:t>
            </w:r>
          </w:p>
          <w:p w14:paraId="31FD585E">
            <w:pPr>
              <w:spacing w:line="259" w:lineRule="auto"/>
              <w:rPr>
                <w:rFonts w:cs="Tahoma"/>
                <w:szCs w:val="24"/>
              </w:rPr>
            </w:pPr>
            <w:r>
              <w:rPr>
                <w:rFonts w:cs="Tahoma"/>
                <w:b/>
                <w:szCs w:val="24"/>
                <w:lang w:val="zh-CN"/>
              </w:rPr>
              <w:t>-données de l’enquête complémentaire :</w:t>
            </w:r>
            <w:r>
              <w:rPr>
                <w:rFonts w:cs="Tahoma"/>
                <w:szCs w:val="24"/>
                <w:lang w:val="zh-CN"/>
              </w:rPr>
              <w:t xml:space="preserve"> elles seront utilisées pour l’année 2025. A cet effet, un taux de croit sera appliqué sur les données de 2023 pour les espèces correctement recensées en 2023 et celles de l’enquête complémentaire seront utilisées comme telle pour 2025.</w:t>
            </w:r>
          </w:p>
        </w:tc>
      </w:tr>
      <w:tr w14:paraId="675BF615">
        <w:tblPrEx>
          <w:tblBorders>
            <w:top w:val="double" w:color="000000" w:themeColor="text1" w:sz="4" w:space="0"/>
            <w:left w:val="double" w:color="000000" w:themeColor="text1" w:sz="4" w:space="0"/>
            <w:bottom w:val="double" w:color="000000" w:themeColor="text1" w:sz="4" w:space="0"/>
            <w:right w:val="doub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24" w:hRule="atLeast"/>
        </w:trPr>
        <w:tc>
          <w:tcPr>
            <w:tcW w:w="2962" w:type="dxa"/>
            <w:vAlign w:val="center"/>
          </w:tcPr>
          <w:p w14:paraId="35FA373F">
            <w:pPr>
              <w:pStyle w:val="7"/>
              <w:numPr>
                <w:ilvl w:val="0"/>
                <w:numId w:val="1"/>
              </w:numPr>
              <w:spacing w:line="259" w:lineRule="auto"/>
              <w:ind w:left="357" w:hanging="357"/>
              <w:jc w:val="left"/>
              <w:rPr>
                <w:rFonts w:ascii="Tahoma" w:hAnsi="Tahoma" w:cs="Tahoma"/>
                <w:b/>
                <w:sz w:val="24"/>
                <w:szCs w:val="24"/>
              </w:rPr>
            </w:pPr>
            <w:r>
              <w:rPr>
                <w:rFonts w:ascii="Tahoma" w:hAnsi="Tahoma" w:cs="Tahoma"/>
                <w:b/>
                <w:sz w:val="24"/>
                <w:szCs w:val="24"/>
              </w:rPr>
              <w:t>Présentation du calendrier de la phase 2</w:t>
            </w:r>
          </w:p>
        </w:tc>
        <w:tc>
          <w:tcPr>
            <w:tcW w:w="7528" w:type="dxa"/>
            <w:gridSpan w:val="3"/>
            <w:vAlign w:val="center"/>
          </w:tcPr>
          <w:p w14:paraId="5B264CC5">
            <w:pPr>
              <w:spacing w:line="259" w:lineRule="auto"/>
              <w:rPr>
                <w:rFonts w:cs="Tahoma"/>
                <w:szCs w:val="24"/>
              </w:rPr>
            </w:pPr>
            <w:r>
              <w:rPr>
                <w:rFonts w:cs="Tahoma"/>
                <w:szCs w:val="24"/>
              </w:rPr>
              <w:t xml:space="preserve">A la suite des discussions portant sur la première présentation, l’équipe du BCRNE a partagé le calendrier de la phase 2 qui a démarré en juin 2025 et doit se terminer en janvier 2026. Dans cet intervalle, les </w:t>
            </w:r>
            <w:r>
              <w:rPr>
                <w:rFonts w:cs="Tahoma"/>
                <w:szCs w:val="24"/>
                <w:lang w:val="zh-CN"/>
              </w:rPr>
              <w:t xml:space="preserve"> différentes activités (recrutement, enquêtes complémentaires, enquête de productivité, réunions, communication, etc.) ont été programmées.</w:t>
            </w:r>
          </w:p>
        </w:tc>
      </w:tr>
      <w:tr w14:paraId="4251F80A">
        <w:tblPrEx>
          <w:tblBorders>
            <w:top w:val="double" w:color="000000" w:themeColor="text1" w:sz="4" w:space="0"/>
            <w:left w:val="double" w:color="000000" w:themeColor="text1" w:sz="4" w:space="0"/>
            <w:bottom w:val="double" w:color="000000" w:themeColor="text1" w:sz="4" w:space="0"/>
            <w:right w:val="doub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24" w:hRule="atLeast"/>
        </w:trPr>
        <w:tc>
          <w:tcPr>
            <w:tcW w:w="2962" w:type="dxa"/>
            <w:vAlign w:val="center"/>
          </w:tcPr>
          <w:p w14:paraId="71D64FD9">
            <w:pPr>
              <w:pStyle w:val="7"/>
              <w:numPr>
                <w:ilvl w:val="0"/>
                <w:numId w:val="1"/>
              </w:numPr>
              <w:spacing w:line="259" w:lineRule="auto"/>
              <w:ind w:left="357" w:hanging="357"/>
              <w:jc w:val="left"/>
              <w:rPr>
                <w:rFonts w:ascii="Tahoma" w:hAnsi="Tahoma" w:cs="Tahoma"/>
                <w:b/>
                <w:sz w:val="24"/>
                <w:szCs w:val="24"/>
              </w:rPr>
            </w:pPr>
            <w:r>
              <w:rPr>
                <w:rFonts w:ascii="Tahoma" w:hAnsi="Tahoma" w:cs="Tahoma"/>
                <w:b/>
                <w:sz w:val="24"/>
                <w:szCs w:val="24"/>
              </w:rPr>
              <w:t>Discussions portant sur la  présentation du calendrier de la phase 2</w:t>
            </w:r>
          </w:p>
        </w:tc>
        <w:tc>
          <w:tcPr>
            <w:tcW w:w="7528" w:type="dxa"/>
            <w:gridSpan w:val="3"/>
            <w:vAlign w:val="center"/>
          </w:tcPr>
          <w:p w14:paraId="45C21950">
            <w:pPr>
              <w:spacing w:line="259" w:lineRule="auto"/>
              <w:rPr>
                <w:rFonts w:cs="Tahoma"/>
                <w:szCs w:val="24"/>
              </w:rPr>
            </w:pPr>
            <w:r>
              <w:rPr>
                <w:rFonts w:cs="Tahoma"/>
                <w:szCs w:val="24"/>
              </w:rPr>
              <w:t xml:space="preserve">Lors des discussions, l’assistance a attiré l’attention du BCRNE sur l’obtention du Visa statistique qui est maintenant obligatoire pour toute opération statistique qui a au moins une couverture régionale. Il a été suggéré de prévoir le processus d’obtention dudit Visa dans le calendrier de la phase 2. L’assistance a également suggéré au BCRNE de </w:t>
            </w:r>
            <w:r>
              <w:rPr>
                <w:rFonts w:cs="Tahoma"/>
                <w:szCs w:val="24"/>
                <w:lang w:val="zh-CN"/>
              </w:rPr>
              <w:t>prévoir d’autres financements alternatifs pour éviter que le bailleur ne se retire alors que les activités ne sont pas encore terminées.</w:t>
            </w:r>
          </w:p>
        </w:tc>
      </w:tr>
      <w:tr w14:paraId="2ADE9883">
        <w:tblPrEx>
          <w:tblBorders>
            <w:top w:val="double" w:color="000000" w:themeColor="text1" w:sz="4" w:space="0"/>
            <w:left w:val="double" w:color="000000" w:themeColor="text1" w:sz="4" w:space="0"/>
            <w:bottom w:val="double" w:color="000000" w:themeColor="text1" w:sz="4" w:space="0"/>
            <w:right w:val="doub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24" w:hRule="atLeast"/>
        </w:trPr>
        <w:tc>
          <w:tcPr>
            <w:tcW w:w="2962" w:type="dxa"/>
            <w:vAlign w:val="center"/>
          </w:tcPr>
          <w:p w14:paraId="5179B741">
            <w:pPr>
              <w:pStyle w:val="7"/>
              <w:numPr>
                <w:ilvl w:val="0"/>
                <w:numId w:val="1"/>
              </w:numPr>
              <w:spacing w:line="259" w:lineRule="auto"/>
              <w:ind w:left="357" w:hanging="357"/>
              <w:jc w:val="left"/>
              <w:rPr>
                <w:rFonts w:ascii="Tahoma" w:hAnsi="Tahoma" w:cs="Tahoma"/>
                <w:b/>
                <w:sz w:val="24"/>
                <w:szCs w:val="24"/>
              </w:rPr>
            </w:pPr>
            <w:r>
              <w:rPr>
                <w:rFonts w:ascii="Tahoma" w:hAnsi="Tahoma" w:cs="Tahoma"/>
                <w:b/>
                <w:sz w:val="24"/>
                <w:szCs w:val="24"/>
              </w:rPr>
              <w:t>Présentation de la méthodologie de l’enquête sur la productivité des bovins, petits ruminants et les poules</w:t>
            </w:r>
          </w:p>
        </w:tc>
        <w:tc>
          <w:tcPr>
            <w:tcW w:w="7528" w:type="dxa"/>
            <w:gridSpan w:val="3"/>
            <w:vAlign w:val="center"/>
          </w:tcPr>
          <w:p w14:paraId="5F1D8BD4">
            <w:pPr>
              <w:spacing w:line="259" w:lineRule="auto"/>
              <w:rPr>
                <w:rFonts w:cs="Tahoma"/>
                <w:szCs w:val="24"/>
                <w:lang w:val="zh-CN"/>
              </w:rPr>
            </w:pPr>
            <w:r>
              <w:rPr>
                <w:rFonts w:cs="Tahoma"/>
                <w:szCs w:val="24"/>
              </w:rPr>
              <w:t xml:space="preserve">L’équipe du BCRNE est revenue sur le contexte, les objectifs, la méthodologie de l’enquête, l’échantillonnage et la mise en œuvre. Pour rappel, </w:t>
            </w:r>
            <w:r>
              <w:rPr>
                <w:rFonts w:cs="Tahoma"/>
                <w:szCs w:val="24"/>
                <w:lang w:val="zh-CN"/>
              </w:rPr>
              <w:t>l’objectif de l’opération est de fournir des estimations sur les quantités de viande et de lait produit.</w:t>
            </w:r>
          </w:p>
          <w:p w14:paraId="7D0CE366">
            <w:pPr>
              <w:spacing w:line="259" w:lineRule="auto"/>
              <w:rPr>
                <w:rFonts w:cs="Tahoma"/>
                <w:szCs w:val="24"/>
              </w:rPr>
            </w:pPr>
            <w:r>
              <w:rPr>
                <w:rFonts w:cs="Tahoma"/>
                <w:szCs w:val="24"/>
                <w:lang w:val="zh-CN"/>
              </w:rPr>
              <w:t xml:space="preserve">Abordant les aspects méthodologiques, le présentateur a rappelé qu’il n’existe pas de modèle passe-partout dans la revue documentaire. Toutefois, il existe principalement deux méthodes utilisées pour le cas de ce type d’étude à savoir l’enquête de suivi, et l’enquête instantanée (rétrospective). L’équipe a rappelé que </w:t>
            </w:r>
            <w:r>
              <w:rPr>
                <w:rFonts w:cs="Tahoma"/>
                <w:szCs w:val="24"/>
              </w:rPr>
              <w:t xml:space="preserve">pour le cas de cette enquête, qui couvre une période antérieure et qui doit être déroulée sur un temps relativement court, le choix de </w:t>
            </w:r>
            <w:r>
              <w:rPr>
                <w:rFonts w:cs="Tahoma"/>
                <w:b/>
                <w:bCs/>
                <w:szCs w:val="24"/>
              </w:rPr>
              <w:t>la méthode rétrospective</w:t>
            </w:r>
            <w:r>
              <w:rPr>
                <w:rFonts w:cs="Tahoma"/>
                <w:szCs w:val="24"/>
              </w:rPr>
              <w:t xml:space="preserve"> s’imposait.</w:t>
            </w:r>
          </w:p>
          <w:p w14:paraId="45781586">
            <w:pPr>
              <w:spacing w:line="259" w:lineRule="auto"/>
              <w:rPr>
                <w:rFonts w:cs="Tahoma"/>
                <w:szCs w:val="24"/>
                <w:lang w:val="zh-CN"/>
              </w:rPr>
            </w:pPr>
            <w:r>
              <w:rPr>
                <w:rFonts w:cs="Tahoma"/>
                <w:szCs w:val="24"/>
              </w:rPr>
              <w:t>Parlant de l’échantillonnage, l’équipe du BCRNE a avancé que la base de sondage utilisée est celle du RNE 2023 (phase 1), constituée de la liste exhaustive des 20.469 ménages agropastoraux. Le territoire national sera découpé en six zones écogéographiques homogènes (ZEG) qui serviront de strates. En outre, 350 troupeaux pour chaque espèce (bovins, ovins, caprins, poules) seront observés dans chaque ZEG.</w:t>
            </w:r>
          </w:p>
        </w:tc>
      </w:tr>
      <w:tr w14:paraId="42F1BA40">
        <w:tblPrEx>
          <w:tblBorders>
            <w:top w:val="double" w:color="000000" w:themeColor="text1" w:sz="4" w:space="0"/>
            <w:left w:val="double" w:color="000000" w:themeColor="text1" w:sz="4" w:space="0"/>
            <w:bottom w:val="double" w:color="000000" w:themeColor="text1" w:sz="4" w:space="0"/>
            <w:right w:val="doub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24" w:hRule="atLeast"/>
        </w:trPr>
        <w:tc>
          <w:tcPr>
            <w:tcW w:w="2962" w:type="dxa"/>
            <w:vAlign w:val="center"/>
          </w:tcPr>
          <w:p w14:paraId="30255B60">
            <w:pPr>
              <w:pStyle w:val="7"/>
              <w:numPr>
                <w:ilvl w:val="0"/>
                <w:numId w:val="1"/>
              </w:numPr>
              <w:spacing w:line="259" w:lineRule="auto"/>
              <w:ind w:left="357" w:hanging="357"/>
              <w:jc w:val="left"/>
              <w:rPr>
                <w:rFonts w:ascii="Tahoma" w:hAnsi="Tahoma" w:cs="Tahoma"/>
                <w:b/>
                <w:sz w:val="24"/>
                <w:szCs w:val="24"/>
              </w:rPr>
            </w:pPr>
            <w:r>
              <w:rPr>
                <w:rFonts w:ascii="Tahoma" w:hAnsi="Tahoma" w:cs="Tahoma"/>
                <w:b/>
                <w:sz w:val="24"/>
                <w:szCs w:val="24"/>
              </w:rPr>
              <w:t>Discussions portant la présentation de la méthodologie</w:t>
            </w:r>
          </w:p>
        </w:tc>
        <w:tc>
          <w:tcPr>
            <w:tcW w:w="7528" w:type="dxa"/>
            <w:gridSpan w:val="3"/>
            <w:vAlign w:val="center"/>
          </w:tcPr>
          <w:p w14:paraId="30324C71">
            <w:pPr>
              <w:spacing w:line="259" w:lineRule="auto"/>
              <w:rPr>
                <w:rFonts w:eastAsia="Tahoma" w:cs="Tahoma"/>
                <w:szCs w:val="24"/>
              </w:rPr>
            </w:pPr>
            <w:r>
              <w:rPr>
                <w:rFonts w:eastAsia="Tahoma" w:cs="Tahoma"/>
                <w:szCs w:val="24"/>
              </w:rPr>
              <w:t xml:space="preserve">Les questions et observations ont porté sur plusieurs aspects clés de la méthodologie. Tout d’abord, la taille de l’échantillon a été interrogée afin de s’assurer qu’elle soit représentative pour permettre une extrapolation des résultats. Ensuite, il a été souligné l’importance de prendre en compte l’abattage destiné à l’autoconsommation des ménages ainsi que le taux de mortalité des poussins. Des clarifications ont été demandées sur la définition des unités d’analyse et d’observation, ainsi que sur les unités sélectionnées dans chaque strate. Par ailleurs, un risque de sous-estimation a été signalé en cas d’exclusion des ménages disposant de troupeaux de grande taille. Enfin, des interrogations ont émergé sur la répartition de l’échantillon selon le milieu de résidence et les fondements du découpage des strates. </w:t>
            </w:r>
          </w:p>
          <w:p w14:paraId="14AB5276">
            <w:pPr>
              <w:spacing w:line="259" w:lineRule="auto"/>
              <w:rPr>
                <w:rFonts w:eastAsia="Tahoma" w:cs="Tahoma"/>
                <w:szCs w:val="24"/>
              </w:rPr>
            </w:pPr>
            <w:r>
              <w:rPr>
                <w:rFonts w:eastAsia="Tahoma" w:cs="Tahoma"/>
                <w:szCs w:val="24"/>
              </w:rPr>
              <w:t xml:space="preserve">En réponse, il a été précisé que la méthodologie a intégré des contraintes de faisabilité opérationnelle, expliquant notamment l’exclusion des grands troupeaux, jugés difficiles à enquêter et n’apportant pas une plus-value sur la plus part des paramètres zootechniques d’un troupeau (croit, fécondité, etc.).  L’équipe du BCRNE a également précisé que dans chaque strate il est prévu d’enquêter au plus </w:t>
            </w:r>
            <w:r>
              <w:rPr>
                <w:rFonts w:cs="Tahoma"/>
                <w:szCs w:val="24"/>
                <w:lang w:val="zh-CN"/>
              </w:rPr>
              <w:t>5 grands troupeaux (qui ont plus de 60 têtes).</w:t>
            </w:r>
          </w:p>
          <w:p w14:paraId="0B873051">
            <w:pPr>
              <w:spacing w:line="259" w:lineRule="auto"/>
              <w:rPr>
                <w:rFonts w:eastAsia="Tahoma" w:cs="Tahoma"/>
                <w:szCs w:val="24"/>
              </w:rPr>
            </w:pPr>
            <w:r>
              <w:rPr>
                <w:rFonts w:eastAsia="Tahoma" w:cs="Tahoma"/>
                <w:szCs w:val="24"/>
              </w:rPr>
              <w:t>Les estimations incluront le nombre d’abattages réalisés sur l’année, y compris ceux effectués lors des fêtes. La production de fumure, de peaux brutes, la quantité de lait produite et les frais liés à l’activité d’élevage, incluant la Formation Brute de Capital Fixe (FBCF), seront également pris en compte. Le tirage aléatoire a été effectué indépendamment pour chaque strate, sans distinction selon le milieu de résidence et les paramètres obtenus seront appliqués au niveau strate.</w:t>
            </w:r>
          </w:p>
          <w:p w14:paraId="71B15DF8">
            <w:pPr>
              <w:spacing w:line="259" w:lineRule="auto"/>
              <w:rPr>
                <w:rFonts w:eastAsia="Tahoma" w:cs="Tahoma"/>
                <w:szCs w:val="24"/>
              </w:rPr>
            </w:pPr>
            <w:r>
              <w:rPr>
                <w:rFonts w:eastAsia="Tahoma" w:cs="Tahoma"/>
                <w:szCs w:val="24"/>
              </w:rPr>
              <w:t>Répondant aux interrogations portant sur la taille de l’échantillon, l’extrapolation, et le fait de recourir à la base de ménages agropastoraux de la première phase, l’équipe du BCRNE a précisé que dans le cadre du PMRA 2020, la base de données du module central sert toujours de base de sondage pour les modules thématiques à mener. De plus cette étude cherche a estimé des paramètres zootechniques et non à extrapoler des résultats.</w:t>
            </w:r>
          </w:p>
          <w:p w14:paraId="242F3ADB">
            <w:pPr>
              <w:spacing w:line="259" w:lineRule="auto"/>
              <w:rPr>
                <w:rFonts w:cs="Tahoma"/>
                <w:szCs w:val="24"/>
              </w:rPr>
            </w:pPr>
            <w:r>
              <w:rPr>
                <w:rFonts w:eastAsia="Tahoma" w:cs="Tahoma"/>
                <w:szCs w:val="24"/>
              </w:rPr>
              <w:t xml:space="preserve">Une enquête pilote a été proposée pour tester le dispositif afin d’éprouver la méthodologie. </w:t>
            </w:r>
            <w:r>
              <w:rPr>
                <w:rFonts w:cs="Tahoma"/>
                <w:szCs w:val="24"/>
                <w:lang w:val="zh-CN"/>
              </w:rPr>
              <w:t>Il est également prévu de faire l’enquête de productivité sur plusieurs années dans le cadre du système permanent pour avoir des paramètres stables.</w:t>
            </w:r>
          </w:p>
        </w:tc>
      </w:tr>
      <w:tr w14:paraId="0A7D002F">
        <w:tblPrEx>
          <w:tblBorders>
            <w:top w:val="double" w:color="000000" w:themeColor="text1" w:sz="4" w:space="0"/>
            <w:left w:val="double" w:color="000000" w:themeColor="text1" w:sz="4" w:space="0"/>
            <w:bottom w:val="double" w:color="000000" w:themeColor="text1" w:sz="4" w:space="0"/>
            <w:right w:val="doub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24" w:hRule="atLeast"/>
        </w:trPr>
        <w:tc>
          <w:tcPr>
            <w:tcW w:w="2962" w:type="dxa"/>
            <w:vAlign w:val="center"/>
          </w:tcPr>
          <w:p w14:paraId="1FE40052">
            <w:pPr>
              <w:pStyle w:val="7"/>
              <w:numPr>
                <w:ilvl w:val="0"/>
                <w:numId w:val="1"/>
              </w:numPr>
              <w:spacing w:line="259" w:lineRule="auto"/>
              <w:ind w:left="357" w:hanging="357"/>
              <w:jc w:val="left"/>
              <w:rPr>
                <w:rFonts w:ascii="Tahoma" w:hAnsi="Tahoma" w:cs="Tahoma"/>
                <w:b/>
                <w:sz w:val="24"/>
                <w:szCs w:val="24"/>
              </w:rPr>
            </w:pPr>
            <w:r>
              <w:rPr>
                <w:rFonts w:ascii="Tahoma" w:hAnsi="Tahoma" w:cs="Tahoma"/>
                <w:b/>
                <w:sz w:val="24"/>
                <w:szCs w:val="24"/>
              </w:rPr>
              <w:t>Recommandations</w:t>
            </w:r>
          </w:p>
        </w:tc>
        <w:tc>
          <w:tcPr>
            <w:tcW w:w="7528" w:type="dxa"/>
            <w:gridSpan w:val="3"/>
            <w:vAlign w:val="center"/>
          </w:tcPr>
          <w:p w14:paraId="03590B88">
            <w:pPr>
              <w:spacing w:line="259" w:lineRule="auto"/>
              <w:rPr>
                <w:rFonts w:eastAsia="Tahoma" w:cs="Tahoma"/>
                <w:szCs w:val="24"/>
              </w:rPr>
            </w:pPr>
            <w:r>
              <w:rPr>
                <w:rFonts w:eastAsia="Tahoma" w:cs="Tahoma"/>
                <w:szCs w:val="24"/>
              </w:rPr>
              <w:t>Les participants ont recommandé à l’équipe du BCRNE de :</w:t>
            </w:r>
          </w:p>
          <w:p w14:paraId="0A1C2592">
            <w:pPr>
              <w:pStyle w:val="14"/>
              <w:numPr>
                <w:ilvl w:val="0"/>
                <w:numId w:val="3"/>
              </w:numPr>
              <w:spacing w:line="259" w:lineRule="auto"/>
              <w:rPr>
                <w:rFonts w:eastAsia="Tahoma" w:cs="Tahoma"/>
                <w:szCs w:val="24"/>
              </w:rPr>
            </w:pPr>
            <w:r>
              <w:rPr>
                <w:rFonts w:eastAsia="Tahoma" w:cs="Tahoma"/>
                <w:szCs w:val="24"/>
              </w:rPr>
              <w:t>Mener une enquête pilote pour éprouver la méthodologie ;</w:t>
            </w:r>
          </w:p>
          <w:p w14:paraId="74D9F840">
            <w:pPr>
              <w:pStyle w:val="14"/>
              <w:numPr>
                <w:ilvl w:val="0"/>
                <w:numId w:val="3"/>
              </w:numPr>
              <w:spacing w:line="259" w:lineRule="auto"/>
              <w:rPr>
                <w:rFonts w:eastAsia="Tahoma" w:cs="Tahoma"/>
                <w:szCs w:val="24"/>
              </w:rPr>
            </w:pPr>
            <w:r>
              <w:rPr>
                <w:rFonts w:eastAsia="Tahoma" w:cs="Tahoma"/>
                <w:szCs w:val="24"/>
              </w:rPr>
              <w:t>Exploiter les données du RGPH-5 sur les équins de la région de Dakar ;</w:t>
            </w:r>
          </w:p>
          <w:p w14:paraId="12BA2146">
            <w:pPr>
              <w:pStyle w:val="14"/>
              <w:numPr>
                <w:ilvl w:val="0"/>
                <w:numId w:val="3"/>
              </w:numPr>
              <w:spacing w:line="259" w:lineRule="auto"/>
              <w:rPr>
                <w:rFonts w:eastAsia="Tahoma" w:cs="Tahoma"/>
                <w:szCs w:val="24"/>
              </w:rPr>
            </w:pPr>
            <w:r>
              <w:rPr>
                <w:rFonts w:eastAsia="Tahoma" w:cs="Tahoma"/>
                <w:szCs w:val="24"/>
              </w:rPr>
              <w:t>Prendre en compte les informations (frais liés à l’exercice de l’activité et la formation brute de capital fixe, fumure) ;</w:t>
            </w:r>
          </w:p>
          <w:p w14:paraId="4FD38AAC">
            <w:pPr>
              <w:pStyle w:val="14"/>
              <w:numPr>
                <w:ilvl w:val="0"/>
                <w:numId w:val="3"/>
              </w:numPr>
              <w:spacing w:line="259" w:lineRule="auto"/>
              <w:rPr>
                <w:rFonts w:eastAsia="Tahoma" w:cs="Tahoma"/>
                <w:szCs w:val="24"/>
              </w:rPr>
            </w:pPr>
            <w:r>
              <w:rPr>
                <w:rFonts w:eastAsia="Tahoma" w:cs="Tahoma"/>
                <w:szCs w:val="24"/>
              </w:rPr>
              <w:t>Prise en compte du milieu urbain et rural dans l’échantillonnage ;</w:t>
            </w:r>
          </w:p>
          <w:p w14:paraId="08ED164B">
            <w:pPr>
              <w:pStyle w:val="14"/>
              <w:numPr>
                <w:ilvl w:val="0"/>
                <w:numId w:val="3"/>
              </w:numPr>
              <w:spacing w:line="259" w:lineRule="auto"/>
              <w:rPr>
                <w:rFonts w:eastAsia="Tahoma" w:cs="Tahoma"/>
                <w:szCs w:val="24"/>
              </w:rPr>
            </w:pPr>
            <w:r>
              <w:rPr>
                <w:rFonts w:eastAsia="Tahoma" w:cs="Tahoma"/>
                <w:szCs w:val="24"/>
              </w:rPr>
              <w:t>continuer les échanges avec les collègues de l’ANSD.</w:t>
            </w:r>
          </w:p>
        </w:tc>
      </w:tr>
      <w:tr w14:paraId="6D83ADC8">
        <w:tblPrEx>
          <w:tblBorders>
            <w:top w:val="double" w:color="000000" w:themeColor="text1" w:sz="4" w:space="0"/>
            <w:left w:val="double" w:color="000000" w:themeColor="text1" w:sz="4" w:space="0"/>
            <w:bottom w:val="double" w:color="000000" w:themeColor="text1" w:sz="4" w:space="0"/>
            <w:right w:val="doub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24" w:hRule="atLeast"/>
        </w:trPr>
        <w:tc>
          <w:tcPr>
            <w:tcW w:w="2962" w:type="dxa"/>
            <w:vAlign w:val="center"/>
          </w:tcPr>
          <w:p w14:paraId="52C6ECA3">
            <w:pPr>
              <w:pStyle w:val="7"/>
              <w:numPr>
                <w:ilvl w:val="0"/>
                <w:numId w:val="1"/>
              </w:numPr>
              <w:spacing w:line="259" w:lineRule="auto"/>
              <w:ind w:left="357" w:hanging="357"/>
              <w:jc w:val="left"/>
              <w:rPr>
                <w:rFonts w:ascii="Tahoma" w:hAnsi="Tahoma" w:cs="Tahoma"/>
                <w:b/>
                <w:sz w:val="24"/>
                <w:szCs w:val="24"/>
              </w:rPr>
            </w:pPr>
            <w:r>
              <w:rPr>
                <w:rFonts w:ascii="Tahoma" w:hAnsi="Tahoma" w:cs="Tahoma"/>
                <w:b/>
                <w:sz w:val="24"/>
                <w:szCs w:val="24"/>
              </w:rPr>
              <w:t>Prochaines étapes</w:t>
            </w:r>
          </w:p>
        </w:tc>
        <w:tc>
          <w:tcPr>
            <w:tcW w:w="7528" w:type="dxa"/>
            <w:gridSpan w:val="3"/>
            <w:vAlign w:val="center"/>
          </w:tcPr>
          <w:p w14:paraId="3470FC16">
            <w:pPr>
              <w:spacing w:line="259" w:lineRule="auto"/>
              <w:rPr>
                <w:rFonts w:eastAsia="Tahoma" w:cs="Tahoma"/>
                <w:szCs w:val="24"/>
              </w:rPr>
            </w:pPr>
            <w:r>
              <w:rPr>
                <w:rFonts w:eastAsia="Tahoma" w:cs="Tahoma"/>
                <w:szCs w:val="24"/>
              </w:rPr>
              <w:t>En guise de prochaine étape, il a été proposé de tenir une réunion du comité technique le 10 ou le 11 septembre, sous réserve de validation par le Directeur Général de l’ANSD.</w:t>
            </w:r>
          </w:p>
        </w:tc>
      </w:tr>
    </w:tbl>
    <w:p w14:paraId="366E2617">
      <w:pPr>
        <w:spacing w:line="259" w:lineRule="auto"/>
        <w:rPr>
          <w:rFonts w:cs="Tahoma"/>
          <w:szCs w:val="24"/>
        </w:rPr>
      </w:pPr>
    </w:p>
    <w:p w14:paraId="1F868AA6">
      <w:pPr>
        <w:spacing w:line="259" w:lineRule="auto"/>
        <w:jc w:val="left"/>
        <w:rPr>
          <w:rFonts w:cs="Tahoma"/>
          <w:b/>
          <w:szCs w:val="24"/>
        </w:rPr>
      </w:pPr>
      <w:r>
        <w:rPr>
          <w:rFonts w:cs="Tahoma"/>
          <w:b/>
          <w:szCs w:val="24"/>
        </w:rPr>
        <w:br w:type="page"/>
      </w:r>
    </w:p>
    <w:p w14:paraId="0E99AAC5">
      <w:pPr>
        <w:spacing w:line="259" w:lineRule="auto"/>
        <w:jc w:val="center"/>
        <w:rPr>
          <w:rFonts w:cs="Tahoma"/>
          <w:b/>
          <w:szCs w:val="24"/>
          <w:u w:val="single"/>
        </w:rPr>
      </w:pPr>
      <w:r>
        <w:rPr>
          <w:rFonts w:cs="Tahoma"/>
          <w:b/>
          <w:szCs w:val="24"/>
          <w:u w:val="single"/>
        </w:rPr>
        <w:t>LISTE DES PARTICIPANTS A L’ATELIER DE PARTAGE DE LA METHODOLOGIE, DU CHRONOGRAMME ET DES MODALITES D’ORGANISATION DE LA DEUXIEME PHASE DU RNE</w:t>
      </w:r>
    </w:p>
    <w:p w14:paraId="17098CDB">
      <w:pPr>
        <w:spacing w:line="259" w:lineRule="auto"/>
        <w:jc w:val="center"/>
        <w:rPr>
          <w:rFonts w:cs="Tahoma"/>
          <w:b/>
          <w:szCs w:val="24"/>
          <w:u w:val="single"/>
        </w:rPr>
      </w:pPr>
    </w:p>
    <w:tbl>
      <w:tblPr>
        <w:tblStyle w:val="13"/>
        <w:tblW w:w="10627" w:type="dxa"/>
        <w:tblInd w:w="0" w:type="dxa"/>
        <w:tblLayout w:type="autofit"/>
        <w:tblCellMar>
          <w:top w:w="0" w:type="dxa"/>
          <w:left w:w="70" w:type="dxa"/>
          <w:bottom w:w="0" w:type="dxa"/>
          <w:right w:w="70" w:type="dxa"/>
        </w:tblCellMar>
      </w:tblPr>
      <w:tblGrid>
        <w:gridCol w:w="960"/>
        <w:gridCol w:w="2721"/>
        <w:gridCol w:w="2268"/>
        <w:gridCol w:w="4678"/>
      </w:tblGrid>
      <w:tr w14:paraId="47589B45">
        <w:tblPrEx>
          <w:tblCellMar>
            <w:top w:w="0" w:type="dxa"/>
            <w:left w:w="70" w:type="dxa"/>
            <w:bottom w:w="0" w:type="dxa"/>
            <w:right w:w="70" w:type="dxa"/>
          </w:tblCellMar>
        </w:tblPrEx>
        <w:trPr>
          <w:trHeight w:val="285" w:hRule="atLeast"/>
          <w:tblHeader/>
        </w:trPr>
        <w:tc>
          <w:tcPr>
            <w:tcW w:w="960" w:type="dxa"/>
            <w:tcBorders>
              <w:top w:val="single" w:color="auto" w:sz="4" w:space="0"/>
              <w:left w:val="single" w:color="auto" w:sz="4" w:space="0"/>
              <w:bottom w:val="single" w:color="auto" w:sz="4" w:space="0"/>
              <w:right w:val="single" w:color="auto" w:sz="4" w:space="0"/>
            </w:tcBorders>
            <w:noWrap/>
            <w:vAlign w:val="bottom"/>
          </w:tcPr>
          <w:p w14:paraId="3838F20D">
            <w:pPr>
              <w:spacing w:after="0" w:line="259" w:lineRule="auto"/>
              <w:jc w:val="left"/>
              <w:rPr>
                <w:rFonts w:eastAsia="Times New Roman" w:cs="Tahoma"/>
                <w:b/>
                <w:bCs/>
                <w:color w:val="000000"/>
                <w:szCs w:val="24"/>
              </w:rPr>
            </w:pPr>
            <w:r>
              <w:rPr>
                <w:rFonts w:eastAsia="Times New Roman" w:cs="Tahoma"/>
                <w:b/>
                <w:bCs/>
                <w:color w:val="000000"/>
                <w:szCs w:val="24"/>
              </w:rPr>
              <w:t>N°</w:t>
            </w:r>
          </w:p>
        </w:tc>
        <w:tc>
          <w:tcPr>
            <w:tcW w:w="2721" w:type="dxa"/>
            <w:tcBorders>
              <w:top w:val="single" w:color="auto" w:sz="4" w:space="0"/>
              <w:left w:val="nil"/>
              <w:bottom w:val="single" w:color="auto" w:sz="4" w:space="0"/>
              <w:right w:val="single" w:color="auto" w:sz="4" w:space="0"/>
            </w:tcBorders>
            <w:noWrap/>
            <w:vAlign w:val="bottom"/>
          </w:tcPr>
          <w:p w14:paraId="7BAAB62F">
            <w:pPr>
              <w:spacing w:after="0" w:line="259" w:lineRule="auto"/>
              <w:jc w:val="left"/>
              <w:rPr>
                <w:rFonts w:eastAsia="Times New Roman" w:cs="Tahoma"/>
                <w:b/>
                <w:bCs/>
                <w:color w:val="000000"/>
                <w:szCs w:val="24"/>
              </w:rPr>
            </w:pPr>
            <w:r>
              <w:rPr>
                <w:rFonts w:eastAsia="Times New Roman" w:cs="Tahoma"/>
                <w:b/>
                <w:bCs/>
                <w:color w:val="000000"/>
                <w:szCs w:val="24"/>
              </w:rPr>
              <w:t>PRENOM (S)</w:t>
            </w:r>
          </w:p>
        </w:tc>
        <w:tc>
          <w:tcPr>
            <w:tcW w:w="2268" w:type="dxa"/>
            <w:tcBorders>
              <w:top w:val="single" w:color="auto" w:sz="4" w:space="0"/>
              <w:left w:val="nil"/>
              <w:bottom w:val="single" w:color="auto" w:sz="4" w:space="0"/>
              <w:right w:val="single" w:color="auto" w:sz="4" w:space="0"/>
            </w:tcBorders>
            <w:noWrap/>
            <w:vAlign w:val="bottom"/>
          </w:tcPr>
          <w:p w14:paraId="5F1C24A1">
            <w:pPr>
              <w:spacing w:after="0" w:line="259" w:lineRule="auto"/>
              <w:jc w:val="left"/>
              <w:rPr>
                <w:rFonts w:eastAsia="Times New Roman" w:cs="Tahoma"/>
                <w:b/>
                <w:bCs/>
                <w:color w:val="000000"/>
                <w:szCs w:val="24"/>
              </w:rPr>
            </w:pPr>
            <w:r>
              <w:rPr>
                <w:rFonts w:eastAsia="Times New Roman" w:cs="Tahoma"/>
                <w:b/>
                <w:bCs/>
                <w:color w:val="000000"/>
                <w:szCs w:val="24"/>
              </w:rPr>
              <w:t>NOM</w:t>
            </w:r>
          </w:p>
        </w:tc>
        <w:tc>
          <w:tcPr>
            <w:tcW w:w="4678" w:type="dxa"/>
            <w:tcBorders>
              <w:top w:val="single" w:color="auto" w:sz="4" w:space="0"/>
              <w:left w:val="nil"/>
              <w:bottom w:val="single" w:color="auto" w:sz="4" w:space="0"/>
              <w:right w:val="single" w:color="auto" w:sz="4" w:space="0"/>
            </w:tcBorders>
            <w:noWrap/>
            <w:vAlign w:val="bottom"/>
          </w:tcPr>
          <w:p w14:paraId="55B6228F">
            <w:pPr>
              <w:spacing w:after="0" w:line="259" w:lineRule="auto"/>
              <w:jc w:val="left"/>
              <w:rPr>
                <w:rFonts w:eastAsia="Times New Roman" w:cs="Tahoma"/>
                <w:b/>
                <w:bCs/>
                <w:color w:val="000000"/>
                <w:szCs w:val="24"/>
              </w:rPr>
            </w:pPr>
            <w:r>
              <w:rPr>
                <w:rFonts w:eastAsia="Times New Roman" w:cs="Tahoma"/>
                <w:b/>
                <w:bCs/>
                <w:color w:val="000000"/>
                <w:szCs w:val="24"/>
              </w:rPr>
              <w:t>STRUCTURE/DIRECTION/DIVISION</w:t>
            </w:r>
          </w:p>
        </w:tc>
      </w:tr>
      <w:tr w14:paraId="27C83806">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2D497F4F">
            <w:pPr>
              <w:spacing w:after="0" w:line="259" w:lineRule="auto"/>
              <w:jc w:val="right"/>
              <w:rPr>
                <w:rFonts w:eastAsia="Times New Roman" w:cs="Tahoma"/>
                <w:color w:val="000000"/>
                <w:szCs w:val="24"/>
              </w:rPr>
            </w:pPr>
            <w:r>
              <w:rPr>
                <w:rFonts w:ascii="Calibri" w:hAnsi="Calibri" w:cs="Calibri"/>
                <w:color w:val="000000"/>
              </w:rPr>
              <w:t>1</w:t>
            </w:r>
          </w:p>
        </w:tc>
        <w:tc>
          <w:tcPr>
            <w:tcW w:w="2721" w:type="dxa"/>
            <w:tcBorders>
              <w:top w:val="nil"/>
              <w:left w:val="nil"/>
              <w:bottom w:val="single" w:color="auto" w:sz="4" w:space="0"/>
              <w:right w:val="single" w:color="auto" w:sz="4" w:space="0"/>
            </w:tcBorders>
            <w:noWrap/>
          </w:tcPr>
          <w:p w14:paraId="77A5B9FC">
            <w:pPr>
              <w:spacing w:after="0" w:line="259" w:lineRule="auto"/>
              <w:jc w:val="left"/>
              <w:rPr>
                <w:rFonts w:eastAsia="Times New Roman" w:cs="Tahoma"/>
                <w:color w:val="000000"/>
                <w:szCs w:val="24"/>
              </w:rPr>
            </w:pPr>
            <w:r>
              <w:t>Atoumane</w:t>
            </w:r>
          </w:p>
        </w:tc>
        <w:tc>
          <w:tcPr>
            <w:tcW w:w="2268" w:type="dxa"/>
            <w:tcBorders>
              <w:top w:val="nil"/>
              <w:left w:val="nil"/>
              <w:bottom w:val="single" w:color="auto" w:sz="4" w:space="0"/>
              <w:right w:val="single" w:color="auto" w:sz="4" w:space="0"/>
            </w:tcBorders>
            <w:noWrap/>
          </w:tcPr>
          <w:p w14:paraId="2BDCF2E8">
            <w:pPr>
              <w:spacing w:after="0" w:line="259" w:lineRule="auto"/>
              <w:jc w:val="left"/>
              <w:rPr>
                <w:rFonts w:eastAsia="Times New Roman" w:cs="Tahoma"/>
                <w:color w:val="000000"/>
                <w:szCs w:val="24"/>
              </w:rPr>
            </w:pPr>
            <w:r>
              <w:t>FALL</w:t>
            </w:r>
          </w:p>
        </w:tc>
        <w:tc>
          <w:tcPr>
            <w:tcW w:w="4678" w:type="dxa"/>
            <w:tcBorders>
              <w:top w:val="nil"/>
              <w:left w:val="nil"/>
              <w:bottom w:val="single" w:color="auto" w:sz="4" w:space="0"/>
              <w:right w:val="single" w:color="auto" w:sz="4" w:space="0"/>
            </w:tcBorders>
            <w:noWrap/>
          </w:tcPr>
          <w:p w14:paraId="565F7995">
            <w:pPr>
              <w:spacing w:after="0" w:line="259" w:lineRule="auto"/>
              <w:jc w:val="left"/>
              <w:rPr>
                <w:rFonts w:eastAsia="Times New Roman" w:cs="Tahoma"/>
                <w:color w:val="000000"/>
                <w:szCs w:val="24"/>
              </w:rPr>
            </w:pPr>
            <w:r>
              <w:t>ANSD/DSDS</w:t>
            </w:r>
          </w:p>
        </w:tc>
      </w:tr>
      <w:tr w14:paraId="6021E54E">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471A116D">
            <w:pPr>
              <w:spacing w:after="0" w:line="259" w:lineRule="auto"/>
              <w:jc w:val="right"/>
              <w:rPr>
                <w:rFonts w:eastAsia="Times New Roman" w:cs="Tahoma"/>
                <w:color w:val="000000"/>
                <w:szCs w:val="24"/>
              </w:rPr>
            </w:pPr>
            <w:r>
              <w:rPr>
                <w:rFonts w:ascii="Calibri" w:hAnsi="Calibri" w:cs="Calibri"/>
                <w:color w:val="000000"/>
              </w:rPr>
              <w:t>2</w:t>
            </w:r>
          </w:p>
        </w:tc>
        <w:tc>
          <w:tcPr>
            <w:tcW w:w="2721" w:type="dxa"/>
            <w:tcBorders>
              <w:top w:val="nil"/>
              <w:left w:val="nil"/>
              <w:bottom w:val="single" w:color="auto" w:sz="4" w:space="0"/>
              <w:right w:val="single" w:color="auto" w:sz="4" w:space="0"/>
            </w:tcBorders>
            <w:noWrap/>
          </w:tcPr>
          <w:p w14:paraId="4E1B54DE">
            <w:pPr>
              <w:spacing w:after="0" w:line="259" w:lineRule="auto"/>
              <w:jc w:val="left"/>
              <w:rPr>
                <w:rFonts w:eastAsia="Times New Roman" w:cs="Tahoma"/>
                <w:color w:val="000000"/>
                <w:szCs w:val="24"/>
              </w:rPr>
            </w:pPr>
            <w:r>
              <w:t>Papa Mabèye</w:t>
            </w:r>
          </w:p>
        </w:tc>
        <w:tc>
          <w:tcPr>
            <w:tcW w:w="2268" w:type="dxa"/>
            <w:tcBorders>
              <w:top w:val="nil"/>
              <w:left w:val="nil"/>
              <w:bottom w:val="single" w:color="auto" w:sz="4" w:space="0"/>
              <w:right w:val="single" w:color="auto" w:sz="4" w:space="0"/>
            </w:tcBorders>
            <w:noWrap/>
          </w:tcPr>
          <w:p w14:paraId="0993B36D">
            <w:pPr>
              <w:spacing w:after="0" w:line="259" w:lineRule="auto"/>
              <w:jc w:val="left"/>
              <w:rPr>
                <w:rFonts w:eastAsia="Times New Roman" w:cs="Tahoma"/>
                <w:color w:val="000000"/>
                <w:szCs w:val="24"/>
              </w:rPr>
            </w:pPr>
            <w:r>
              <w:t>DIOP</w:t>
            </w:r>
          </w:p>
        </w:tc>
        <w:tc>
          <w:tcPr>
            <w:tcW w:w="4678" w:type="dxa"/>
            <w:tcBorders>
              <w:top w:val="nil"/>
              <w:left w:val="nil"/>
              <w:bottom w:val="single" w:color="auto" w:sz="4" w:space="0"/>
              <w:right w:val="single" w:color="auto" w:sz="4" w:space="0"/>
            </w:tcBorders>
            <w:noWrap/>
          </w:tcPr>
          <w:p w14:paraId="025709DC">
            <w:pPr>
              <w:spacing w:after="0" w:line="259" w:lineRule="auto"/>
              <w:jc w:val="left"/>
              <w:rPr>
                <w:rFonts w:eastAsia="Times New Roman" w:cs="Tahoma"/>
                <w:color w:val="000000"/>
                <w:szCs w:val="24"/>
              </w:rPr>
            </w:pPr>
            <w:r>
              <w:t>ANSD/DSDS</w:t>
            </w:r>
          </w:p>
        </w:tc>
      </w:tr>
      <w:tr w14:paraId="2E0ECB67">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0F66DDDF">
            <w:pPr>
              <w:spacing w:after="0" w:line="259" w:lineRule="auto"/>
              <w:jc w:val="right"/>
              <w:rPr>
                <w:rFonts w:eastAsia="Times New Roman" w:cs="Tahoma"/>
                <w:color w:val="000000"/>
                <w:szCs w:val="24"/>
              </w:rPr>
            </w:pPr>
            <w:r>
              <w:rPr>
                <w:rFonts w:ascii="Calibri" w:hAnsi="Calibri" w:cs="Calibri"/>
                <w:color w:val="000000"/>
              </w:rPr>
              <w:t>3</w:t>
            </w:r>
          </w:p>
        </w:tc>
        <w:tc>
          <w:tcPr>
            <w:tcW w:w="2721" w:type="dxa"/>
            <w:tcBorders>
              <w:top w:val="nil"/>
              <w:left w:val="nil"/>
              <w:bottom w:val="single" w:color="auto" w:sz="4" w:space="0"/>
              <w:right w:val="single" w:color="auto" w:sz="4" w:space="0"/>
            </w:tcBorders>
            <w:noWrap/>
          </w:tcPr>
          <w:p w14:paraId="785A7A24">
            <w:pPr>
              <w:spacing w:after="0" w:line="259" w:lineRule="auto"/>
              <w:jc w:val="left"/>
              <w:rPr>
                <w:rFonts w:eastAsia="Times New Roman" w:cs="Tahoma"/>
                <w:color w:val="000000"/>
                <w:szCs w:val="24"/>
              </w:rPr>
            </w:pPr>
            <w:r>
              <w:t>Nadar Serge</w:t>
            </w:r>
          </w:p>
        </w:tc>
        <w:tc>
          <w:tcPr>
            <w:tcW w:w="2268" w:type="dxa"/>
            <w:tcBorders>
              <w:top w:val="nil"/>
              <w:left w:val="nil"/>
              <w:bottom w:val="single" w:color="auto" w:sz="4" w:space="0"/>
              <w:right w:val="single" w:color="auto" w:sz="4" w:space="0"/>
            </w:tcBorders>
            <w:noWrap/>
          </w:tcPr>
          <w:p w14:paraId="420CB7E1">
            <w:pPr>
              <w:spacing w:after="0" w:line="259" w:lineRule="auto"/>
              <w:jc w:val="left"/>
              <w:rPr>
                <w:rFonts w:eastAsia="Times New Roman" w:cs="Tahoma"/>
                <w:color w:val="000000"/>
                <w:szCs w:val="24"/>
              </w:rPr>
            </w:pPr>
            <w:r>
              <w:t>MANEL</w:t>
            </w:r>
          </w:p>
        </w:tc>
        <w:tc>
          <w:tcPr>
            <w:tcW w:w="4678" w:type="dxa"/>
            <w:tcBorders>
              <w:top w:val="nil"/>
              <w:left w:val="nil"/>
              <w:bottom w:val="single" w:color="auto" w:sz="4" w:space="0"/>
              <w:right w:val="single" w:color="auto" w:sz="4" w:space="0"/>
            </w:tcBorders>
            <w:noWrap/>
          </w:tcPr>
          <w:p w14:paraId="7CF715DD">
            <w:pPr>
              <w:spacing w:after="0" w:line="259" w:lineRule="auto"/>
              <w:jc w:val="left"/>
              <w:rPr>
                <w:rFonts w:eastAsia="Times New Roman" w:cs="Tahoma"/>
                <w:color w:val="000000"/>
                <w:szCs w:val="24"/>
              </w:rPr>
            </w:pPr>
            <w:r>
              <w:t>ANSD/DG</w:t>
            </w:r>
          </w:p>
        </w:tc>
      </w:tr>
      <w:tr w14:paraId="3E5E4497">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089DFBAC">
            <w:pPr>
              <w:spacing w:after="0" w:line="259" w:lineRule="auto"/>
              <w:jc w:val="right"/>
              <w:rPr>
                <w:rFonts w:eastAsia="Times New Roman" w:cs="Tahoma"/>
                <w:color w:val="000000"/>
                <w:szCs w:val="24"/>
              </w:rPr>
            </w:pPr>
            <w:r>
              <w:rPr>
                <w:rFonts w:ascii="Calibri" w:hAnsi="Calibri" w:cs="Calibri"/>
                <w:color w:val="000000"/>
              </w:rPr>
              <w:t>4</w:t>
            </w:r>
          </w:p>
        </w:tc>
        <w:tc>
          <w:tcPr>
            <w:tcW w:w="2721" w:type="dxa"/>
            <w:tcBorders>
              <w:top w:val="nil"/>
              <w:left w:val="nil"/>
              <w:bottom w:val="single" w:color="auto" w:sz="4" w:space="0"/>
              <w:right w:val="single" w:color="auto" w:sz="4" w:space="0"/>
            </w:tcBorders>
            <w:noWrap/>
          </w:tcPr>
          <w:p w14:paraId="2FCCB360">
            <w:pPr>
              <w:spacing w:after="0" w:line="259" w:lineRule="auto"/>
              <w:jc w:val="left"/>
              <w:rPr>
                <w:rFonts w:eastAsia="Times New Roman" w:cs="Tahoma"/>
                <w:color w:val="000000"/>
                <w:szCs w:val="24"/>
              </w:rPr>
            </w:pPr>
            <w:r>
              <w:t>Jean Pierre Diamane</w:t>
            </w:r>
          </w:p>
        </w:tc>
        <w:tc>
          <w:tcPr>
            <w:tcW w:w="2268" w:type="dxa"/>
            <w:tcBorders>
              <w:top w:val="nil"/>
              <w:left w:val="nil"/>
              <w:bottom w:val="single" w:color="auto" w:sz="4" w:space="0"/>
              <w:right w:val="single" w:color="auto" w:sz="4" w:space="0"/>
            </w:tcBorders>
            <w:noWrap/>
          </w:tcPr>
          <w:p w14:paraId="5B0A4510">
            <w:pPr>
              <w:spacing w:after="0" w:line="259" w:lineRule="auto"/>
              <w:jc w:val="left"/>
              <w:rPr>
                <w:rFonts w:eastAsia="Times New Roman" w:cs="Tahoma"/>
                <w:color w:val="000000"/>
                <w:szCs w:val="24"/>
              </w:rPr>
            </w:pPr>
            <w:r>
              <w:t>BAKHOUM</w:t>
            </w:r>
          </w:p>
        </w:tc>
        <w:tc>
          <w:tcPr>
            <w:tcW w:w="4678" w:type="dxa"/>
            <w:tcBorders>
              <w:top w:val="nil"/>
              <w:left w:val="nil"/>
              <w:bottom w:val="single" w:color="auto" w:sz="4" w:space="0"/>
              <w:right w:val="single" w:color="auto" w:sz="4" w:space="0"/>
            </w:tcBorders>
            <w:noWrap/>
          </w:tcPr>
          <w:p w14:paraId="340852D3">
            <w:pPr>
              <w:spacing w:after="0" w:line="259" w:lineRule="auto"/>
              <w:jc w:val="left"/>
              <w:rPr>
                <w:rFonts w:eastAsia="Times New Roman" w:cs="Tahoma"/>
                <w:color w:val="000000"/>
                <w:szCs w:val="24"/>
              </w:rPr>
            </w:pPr>
            <w:r>
              <w:t>ANSD/DG</w:t>
            </w:r>
          </w:p>
        </w:tc>
      </w:tr>
      <w:tr w14:paraId="6E475D08">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417A29D3">
            <w:pPr>
              <w:spacing w:after="0" w:line="259" w:lineRule="auto"/>
              <w:jc w:val="right"/>
              <w:rPr>
                <w:rFonts w:eastAsia="Times New Roman" w:cs="Tahoma"/>
                <w:color w:val="000000"/>
                <w:szCs w:val="24"/>
              </w:rPr>
            </w:pPr>
            <w:r>
              <w:rPr>
                <w:rFonts w:ascii="Calibri" w:hAnsi="Calibri" w:cs="Calibri"/>
                <w:color w:val="000000"/>
              </w:rPr>
              <w:t>5</w:t>
            </w:r>
          </w:p>
        </w:tc>
        <w:tc>
          <w:tcPr>
            <w:tcW w:w="2721" w:type="dxa"/>
            <w:tcBorders>
              <w:top w:val="nil"/>
              <w:left w:val="nil"/>
              <w:bottom w:val="single" w:color="auto" w:sz="4" w:space="0"/>
              <w:right w:val="single" w:color="auto" w:sz="4" w:space="0"/>
            </w:tcBorders>
            <w:noWrap/>
          </w:tcPr>
          <w:p w14:paraId="06A35CBF">
            <w:pPr>
              <w:spacing w:after="0" w:line="259" w:lineRule="auto"/>
              <w:jc w:val="left"/>
              <w:rPr>
                <w:rFonts w:eastAsia="Times New Roman" w:cs="Tahoma"/>
                <w:color w:val="000000"/>
                <w:szCs w:val="24"/>
              </w:rPr>
            </w:pPr>
            <w:r>
              <w:t>Absa</w:t>
            </w:r>
          </w:p>
        </w:tc>
        <w:tc>
          <w:tcPr>
            <w:tcW w:w="2268" w:type="dxa"/>
            <w:tcBorders>
              <w:top w:val="nil"/>
              <w:left w:val="nil"/>
              <w:bottom w:val="single" w:color="auto" w:sz="4" w:space="0"/>
              <w:right w:val="single" w:color="auto" w:sz="4" w:space="0"/>
            </w:tcBorders>
            <w:noWrap/>
          </w:tcPr>
          <w:p w14:paraId="4429BDBD">
            <w:pPr>
              <w:spacing w:after="0" w:line="259" w:lineRule="auto"/>
              <w:jc w:val="left"/>
              <w:rPr>
                <w:rFonts w:eastAsia="Times New Roman" w:cs="Tahoma"/>
                <w:color w:val="000000"/>
                <w:szCs w:val="24"/>
              </w:rPr>
            </w:pPr>
            <w:r>
              <w:t>KANE</w:t>
            </w:r>
          </w:p>
        </w:tc>
        <w:tc>
          <w:tcPr>
            <w:tcW w:w="4678" w:type="dxa"/>
            <w:tcBorders>
              <w:top w:val="nil"/>
              <w:left w:val="nil"/>
              <w:bottom w:val="single" w:color="auto" w:sz="4" w:space="0"/>
              <w:right w:val="single" w:color="auto" w:sz="4" w:space="0"/>
            </w:tcBorders>
            <w:noWrap/>
          </w:tcPr>
          <w:p w14:paraId="1060D7E6">
            <w:pPr>
              <w:spacing w:after="0" w:line="259" w:lineRule="auto"/>
              <w:jc w:val="left"/>
              <w:rPr>
                <w:rFonts w:eastAsia="Times New Roman" w:cs="Tahoma"/>
                <w:color w:val="000000"/>
                <w:szCs w:val="24"/>
              </w:rPr>
            </w:pPr>
            <w:r>
              <w:t>ANSD/DG</w:t>
            </w:r>
          </w:p>
        </w:tc>
      </w:tr>
      <w:tr w14:paraId="442436E4">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42C8EAE0">
            <w:pPr>
              <w:spacing w:after="0" w:line="259" w:lineRule="auto"/>
              <w:jc w:val="right"/>
              <w:rPr>
                <w:rFonts w:eastAsia="Times New Roman" w:cs="Tahoma"/>
                <w:color w:val="000000"/>
                <w:szCs w:val="24"/>
              </w:rPr>
            </w:pPr>
            <w:r>
              <w:rPr>
                <w:rFonts w:ascii="Calibri" w:hAnsi="Calibri" w:cs="Calibri"/>
                <w:color w:val="000000"/>
              </w:rPr>
              <w:t>6</w:t>
            </w:r>
          </w:p>
        </w:tc>
        <w:tc>
          <w:tcPr>
            <w:tcW w:w="2721" w:type="dxa"/>
            <w:tcBorders>
              <w:top w:val="nil"/>
              <w:left w:val="nil"/>
              <w:bottom w:val="single" w:color="auto" w:sz="4" w:space="0"/>
              <w:right w:val="single" w:color="auto" w:sz="4" w:space="0"/>
            </w:tcBorders>
            <w:noWrap/>
          </w:tcPr>
          <w:p w14:paraId="30E76DAA">
            <w:pPr>
              <w:spacing w:after="0" w:line="259" w:lineRule="auto"/>
              <w:jc w:val="left"/>
              <w:rPr>
                <w:rFonts w:eastAsia="Times New Roman" w:cs="Tahoma"/>
                <w:color w:val="000000"/>
                <w:szCs w:val="24"/>
              </w:rPr>
            </w:pPr>
            <w:r>
              <w:t>Ndeye Khoudia Laye</w:t>
            </w:r>
          </w:p>
        </w:tc>
        <w:tc>
          <w:tcPr>
            <w:tcW w:w="2268" w:type="dxa"/>
            <w:tcBorders>
              <w:top w:val="nil"/>
              <w:left w:val="nil"/>
              <w:bottom w:val="single" w:color="auto" w:sz="4" w:space="0"/>
              <w:right w:val="single" w:color="auto" w:sz="4" w:space="0"/>
            </w:tcBorders>
            <w:noWrap/>
          </w:tcPr>
          <w:p w14:paraId="3966E7E1">
            <w:pPr>
              <w:spacing w:after="0" w:line="259" w:lineRule="auto"/>
              <w:jc w:val="left"/>
              <w:rPr>
                <w:rFonts w:eastAsia="Times New Roman" w:cs="Tahoma"/>
                <w:color w:val="000000"/>
                <w:szCs w:val="24"/>
              </w:rPr>
            </w:pPr>
            <w:r>
              <w:t>SEYE</w:t>
            </w:r>
          </w:p>
        </w:tc>
        <w:tc>
          <w:tcPr>
            <w:tcW w:w="4678" w:type="dxa"/>
            <w:tcBorders>
              <w:top w:val="nil"/>
              <w:left w:val="nil"/>
              <w:bottom w:val="single" w:color="auto" w:sz="4" w:space="0"/>
              <w:right w:val="single" w:color="auto" w:sz="4" w:space="0"/>
            </w:tcBorders>
            <w:noWrap/>
          </w:tcPr>
          <w:p w14:paraId="3BDA6367">
            <w:pPr>
              <w:spacing w:after="0" w:line="259" w:lineRule="auto"/>
              <w:jc w:val="left"/>
              <w:rPr>
                <w:rFonts w:eastAsia="Times New Roman" w:cs="Tahoma"/>
                <w:color w:val="000000"/>
                <w:szCs w:val="24"/>
              </w:rPr>
            </w:pPr>
            <w:r>
              <w:t>ANSD/DSECN</w:t>
            </w:r>
          </w:p>
        </w:tc>
      </w:tr>
      <w:tr w14:paraId="270C1EC0">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3C5AA5D1">
            <w:pPr>
              <w:spacing w:after="0" w:line="259" w:lineRule="auto"/>
              <w:jc w:val="right"/>
              <w:rPr>
                <w:rFonts w:eastAsia="Times New Roman" w:cs="Tahoma"/>
                <w:color w:val="000000"/>
                <w:szCs w:val="24"/>
              </w:rPr>
            </w:pPr>
            <w:r>
              <w:rPr>
                <w:rFonts w:ascii="Calibri" w:hAnsi="Calibri" w:cs="Calibri"/>
                <w:color w:val="000000"/>
              </w:rPr>
              <w:t>7</w:t>
            </w:r>
          </w:p>
        </w:tc>
        <w:tc>
          <w:tcPr>
            <w:tcW w:w="2721" w:type="dxa"/>
            <w:tcBorders>
              <w:top w:val="nil"/>
              <w:left w:val="nil"/>
              <w:bottom w:val="single" w:color="auto" w:sz="4" w:space="0"/>
              <w:right w:val="single" w:color="auto" w:sz="4" w:space="0"/>
            </w:tcBorders>
            <w:noWrap/>
          </w:tcPr>
          <w:p w14:paraId="7C98065C">
            <w:pPr>
              <w:spacing w:after="0" w:line="259" w:lineRule="auto"/>
              <w:jc w:val="left"/>
              <w:rPr>
                <w:rFonts w:eastAsia="Times New Roman" w:cs="Tahoma"/>
                <w:color w:val="000000"/>
                <w:szCs w:val="24"/>
              </w:rPr>
            </w:pPr>
            <w:r>
              <w:t>Fatimatou</w:t>
            </w:r>
          </w:p>
        </w:tc>
        <w:tc>
          <w:tcPr>
            <w:tcW w:w="2268" w:type="dxa"/>
            <w:tcBorders>
              <w:top w:val="nil"/>
              <w:left w:val="nil"/>
              <w:bottom w:val="single" w:color="auto" w:sz="4" w:space="0"/>
              <w:right w:val="single" w:color="auto" w:sz="4" w:space="0"/>
            </w:tcBorders>
            <w:noWrap/>
          </w:tcPr>
          <w:p w14:paraId="6F38E38A">
            <w:pPr>
              <w:spacing w:after="0" w:line="259" w:lineRule="auto"/>
              <w:jc w:val="left"/>
              <w:rPr>
                <w:rFonts w:eastAsia="Times New Roman" w:cs="Tahoma"/>
                <w:color w:val="000000"/>
                <w:szCs w:val="24"/>
              </w:rPr>
            </w:pPr>
            <w:r>
              <w:t>SY</w:t>
            </w:r>
          </w:p>
        </w:tc>
        <w:tc>
          <w:tcPr>
            <w:tcW w:w="4678" w:type="dxa"/>
            <w:tcBorders>
              <w:top w:val="nil"/>
              <w:left w:val="nil"/>
              <w:bottom w:val="single" w:color="auto" w:sz="4" w:space="0"/>
              <w:right w:val="single" w:color="auto" w:sz="4" w:space="0"/>
            </w:tcBorders>
            <w:noWrap/>
          </w:tcPr>
          <w:p w14:paraId="747E2987">
            <w:pPr>
              <w:spacing w:after="0" w:line="259" w:lineRule="auto"/>
              <w:jc w:val="left"/>
              <w:rPr>
                <w:rFonts w:eastAsia="Times New Roman" w:cs="Tahoma"/>
                <w:color w:val="000000"/>
                <w:szCs w:val="24"/>
              </w:rPr>
            </w:pPr>
            <w:r>
              <w:t>ANSD/DMCI</w:t>
            </w:r>
          </w:p>
        </w:tc>
      </w:tr>
      <w:tr w14:paraId="33B9B092">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17046539">
            <w:pPr>
              <w:spacing w:after="0" w:line="259" w:lineRule="auto"/>
              <w:jc w:val="right"/>
              <w:rPr>
                <w:rFonts w:eastAsia="Times New Roman" w:cs="Tahoma"/>
                <w:color w:val="000000"/>
                <w:szCs w:val="24"/>
              </w:rPr>
            </w:pPr>
            <w:r>
              <w:rPr>
                <w:rFonts w:ascii="Calibri" w:hAnsi="Calibri" w:cs="Calibri"/>
                <w:color w:val="000000"/>
              </w:rPr>
              <w:t>8</w:t>
            </w:r>
          </w:p>
        </w:tc>
        <w:tc>
          <w:tcPr>
            <w:tcW w:w="2721" w:type="dxa"/>
            <w:tcBorders>
              <w:top w:val="nil"/>
              <w:left w:val="nil"/>
              <w:bottom w:val="single" w:color="auto" w:sz="4" w:space="0"/>
              <w:right w:val="single" w:color="auto" w:sz="4" w:space="0"/>
            </w:tcBorders>
            <w:noWrap/>
          </w:tcPr>
          <w:p w14:paraId="1EABFB66">
            <w:pPr>
              <w:spacing w:after="0" w:line="259" w:lineRule="auto"/>
              <w:jc w:val="left"/>
              <w:rPr>
                <w:rFonts w:eastAsia="Times New Roman" w:cs="Tahoma"/>
                <w:color w:val="000000"/>
                <w:szCs w:val="24"/>
              </w:rPr>
            </w:pPr>
            <w:r>
              <w:t>Michel</w:t>
            </w:r>
          </w:p>
        </w:tc>
        <w:tc>
          <w:tcPr>
            <w:tcW w:w="2268" w:type="dxa"/>
            <w:tcBorders>
              <w:top w:val="nil"/>
              <w:left w:val="nil"/>
              <w:bottom w:val="single" w:color="auto" w:sz="4" w:space="0"/>
              <w:right w:val="single" w:color="auto" w:sz="4" w:space="0"/>
            </w:tcBorders>
            <w:noWrap/>
          </w:tcPr>
          <w:p w14:paraId="46D83AAA">
            <w:pPr>
              <w:spacing w:after="0" w:line="259" w:lineRule="auto"/>
              <w:jc w:val="left"/>
              <w:rPr>
                <w:rFonts w:eastAsia="Times New Roman" w:cs="Tahoma"/>
                <w:color w:val="000000"/>
                <w:szCs w:val="24"/>
              </w:rPr>
            </w:pPr>
            <w:r>
              <w:t>SADIO</w:t>
            </w:r>
          </w:p>
        </w:tc>
        <w:tc>
          <w:tcPr>
            <w:tcW w:w="4678" w:type="dxa"/>
            <w:tcBorders>
              <w:top w:val="nil"/>
              <w:left w:val="nil"/>
              <w:bottom w:val="single" w:color="auto" w:sz="4" w:space="0"/>
              <w:right w:val="single" w:color="auto" w:sz="4" w:space="0"/>
            </w:tcBorders>
            <w:noWrap/>
          </w:tcPr>
          <w:p w14:paraId="704F77F4">
            <w:pPr>
              <w:spacing w:after="0" w:line="259" w:lineRule="auto"/>
              <w:jc w:val="left"/>
              <w:rPr>
                <w:rFonts w:eastAsia="Times New Roman" w:cs="Tahoma"/>
                <w:color w:val="000000"/>
                <w:szCs w:val="24"/>
              </w:rPr>
            </w:pPr>
            <w:r>
              <w:t>MASAE/BCRNE</w:t>
            </w:r>
          </w:p>
        </w:tc>
      </w:tr>
      <w:tr w14:paraId="08A6D52F">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75B79E4A">
            <w:pPr>
              <w:spacing w:after="0" w:line="259" w:lineRule="auto"/>
              <w:jc w:val="right"/>
              <w:rPr>
                <w:rFonts w:eastAsia="Times New Roman" w:cs="Tahoma"/>
                <w:color w:val="000000"/>
                <w:szCs w:val="24"/>
              </w:rPr>
            </w:pPr>
            <w:r>
              <w:rPr>
                <w:rFonts w:ascii="Calibri" w:hAnsi="Calibri" w:cs="Calibri"/>
                <w:color w:val="000000"/>
              </w:rPr>
              <w:t>9</w:t>
            </w:r>
          </w:p>
        </w:tc>
        <w:tc>
          <w:tcPr>
            <w:tcW w:w="2721" w:type="dxa"/>
            <w:tcBorders>
              <w:top w:val="nil"/>
              <w:left w:val="nil"/>
              <w:bottom w:val="single" w:color="auto" w:sz="4" w:space="0"/>
              <w:right w:val="single" w:color="auto" w:sz="4" w:space="0"/>
            </w:tcBorders>
            <w:noWrap/>
          </w:tcPr>
          <w:p w14:paraId="20406124">
            <w:pPr>
              <w:spacing w:after="0" w:line="259" w:lineRule="auto"/>
              <w:jc w:val="left"/>
              <w:rPr>
                <w:rFonts w:eastAsia="Times New Roman" w:cs="Tahoma"/>
                <w:color w:val="000000"/>
                <w:szCs w:val="24"/>
              </w:rPr>
            </w:pPr>
            <w:r>
              <w:t>Massogui</w:t>
            </w:r>
          </w:p>
        </w:tc>
        <w:tc>
          <w:tcPr>
            <w:tcW w:w="2268" w:type="dxa"/>
            <w:tcBorders>
              <w:top w:val="nil"/>
              <w:left w:val="nil"/>
              <w:bottom w:val="single" w:color="auto" w:sz="4" w:space="0"/>
              <w:right w:val="single" w:color="auto" w:sz="4" w:space="0"/>
            </w:tcBorders>
            <w:noWrap/>
          </w:tcPr>
          <w:p w14:paraId="60DB570D">
            <w:pPr>
              <w:spacing w:after="0" w:line="259" w:lineRule="auto"/>
              <w:jc w:val="left"/>
              <w:rPr>
                <w:rFonts w:eastAsia="Times New Roman" w:cs="Tahoma"/>
                <w:color w:val="000000"/>
                <w:szCs w:val="24"/>
              </w:rPr>
            </w:pPr>
            <w:r>
              <w:t>CISSE</w:t>
            </w:r>
          </w:p>
        </w:tc>
        <w:tc>
          <w:tcPr>
            <w:tcW w:w="4678" w:type="dxa"/>
            <w:tcBorders>
              <w:top w:val="nil"/>
              <w:left w:val="nil"/>
              <w:bottom w:val="single" w:color="auto" w:sz="4" w:space="0"/>
              <w:right w:val="single" w:color="auto" w:sz="4" w:space="0"/>
            </w:tcBorders>
            <w:noWrap/>
          </w:tcPr>
          <w:p w14:paraId="59A777AC">
            <w:pPr>
              <w:spacing w:after="0" w:line="259" w:lineRule="auto"/>
              <w:jc w:val="left"/>
              <w:rPr>
                <w:rFonts w:eastAsia="Times New Roman" w:cs="Tahoma"/>
                <w:color w:val="000000"/>
                <w:szCs w:val="24"/>
              </w:rPr>
            </w:pPr>
            <w:r>
              <w:t>ANSD/DSID</w:t>
            </w:r>
          </w:p>
        </w:tc>
      </w:tr>
      <w:tr w14:paraId="6100FED0">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034D1B6F">
            <w:pPr>
              <w:spacing w:after="0" w:line="259" w:lineRule="auto"/>
              <w:jc w:val="right"/>
              <w:rPr>
                <w:rFonts w:eastAsia="Times New Roman" w:cs="Tahoma"/>
                <w:color w:val="000000"/>
                <w:szCs w:val="24"/>
              </w:rPr>
            </w:pPr>
            <w:r>
              <w:rPr>
                <w:rFonts w:ascii="Calibri" w:hAnsi="Calibri" w:cs="Calibri"/>
                <w:color w:val="000000"/>
              </w:rPr>
              <w:t>10</w:t>
            </w:r>
          </w:p>
        </w:tc>
        <w:tc>
          <w:tcPr>
            <w:tcW w:w="2721" w:type="dxa"/>
            <w:tcBorders>
              <w:top w:val="nil"/>
              <w:left w:val="nil"/>
              <w:bottom w:val="single" w:color="auto" w:sz="4" w:space="0"/>
              <w:right w:val="single" w:color="auto" w:sz="4" w:space="0"/>
            </w:tcBorders>
            <w:noWrap/>
          </w:tcPr>
          <w:p w14:paraId="40221D02">
            <w:pPr>
              <w:spacing w:after="0" w:line="259" w:lineRule="auto"/>
              <w:jc w:val="left"/>
              <w:rPr>
                <w:rFonts w:eastAsia="Times New Roman" w:cs="Tahoma"/>
                <w:color w:val="000000"/>
                <w:szCs w:val="24"/>
              </w:rPr>
            </w:pPr>
            <w:r>
              <w:t>Ndiassé</w:t>
            </w:r>
          </w:p>
        </w:tc>
        <w:tc>
          <w:tcPr>
            <w:tcW w:w="2268" w:type="dxa"/>
            <w:tcBorders>
              <w:top w:val="nil"/>
              <w:left w:val="nil"/>
              <w:bottom w:val="single" w:color="auto" w:sz="4" w:space="0"/>
              <w:right w:val="single" w:color="auto" w:sz="4" w:space="0"/>
            </w:tcBorders>
            <w:noWrap/>
          </w:tcPr>
          <w:p w14:paraId="77BFAB98">
            <w:pPr>
              <w:spacing w:after="0" w:line="259" w:lineRule="auto"/>
              <w:jc w:val="left"/>
              <w:rPr>
                <w:rFonts w:eastAsia="Times New Roman" w:cs="Tahoma"/>
                <w:color w:val="000000"/>
                <w:szCs w:val="24"/>
              </w:rPr>
            </w:pPr>
            <w:r>
              <w:t>WADE</w:t>
            </w:r>
          </w:p>
        </w:tc>
        <w:tc>
          <w:tcPr>
            <w:tcW w:w="4678" w:type="dxa"/>
            <w:tcBorders>
              <w:top w:val="nil"/>
              <w:left w:val="nil"/>
              <w:bottom w:val="single" w:color="auto" w:sz="4" w:space="0"/>
              <w:right w:val="single" w:color="auto" w:sz="4" w:space="0"/>
            </w:tcBorders>
            <w:noWrap/>
          </w:tcPr>
          <w:p w14:paraId="0F26DD35">
            <w:pPr>
              <w:spacing w:after="0" w:line="259" w:lineRule="auto"/>
              <w:jc w:val="left"/>
              <w:rPr>
                <w:rFonts w:eastAsia="Times New Roman" w:cs="Tahoma"/>
                <w:color w:val="000000"/>
                <w:szCs w:val="24"/>
              </w:rPr>
            </w:pPr>
            <w:r>
              <w:t>ANSD/DMCI</w:t>
            </w:r>
          </w:p>
        </w:tc>
      </w:tr>
      <w:tr w14:paraId="53443F8E">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7E3C531E">
            <w:pPr>
              <w:spacing w:after="0" w:line="259" w:lineRule="auto"/>
              <w:jc w:val="right"/>
              <w:rPr>
                <w:rFonts w:eastAsia="Times New Roman" w:cs="Tahoma"/>
                <w:color w:val="000000"/>
                <w:szCs w:val="24"/>
              </w:rPr>
            </w:pPr>
            <w:r>
              <w:rPr>
                <w:rFonts w:ascii="Calibri" w:hAnsi="Calibri" w:cs="Calibri"/>
                <w:color w:val="000000"/>
              </w:rPr>
              <w:t>11</w:t>
            </w:r>
          </w:p>
        </w:tc>
        <w:tc>
          <w:tcPr>
            <w:tcW w:w="2721" w:type="dxa"/>
            <w:tcBorders>
              <w:top w:val="nil"/>
              <w:left w:val="nil"/>
              <w:bottom w:val="single" w:color="auto" w:sz="4" w:space="0"/>
              <w:right w:val="single" w:color="auto" w:sz="4" w:space="0"/>
            </w:tcBorders>
            <w:noWrap/>
          </w:tcPr>
          <w:p w14:paraId="6B4D92C4">
            <w:pPr>
              <w:spacing w:after="0" w:line="259" w:lineRule="auto"/>
              <w:jc w:val="left"/>
              <w:rPr>
                <w:rFonts w:eastAsia="Times New Roman" w:cs="Tahoma"/>
                <w:color w:val="000000"/>
                <w:szCs w:val="24"/>
              </w:rPr>
            </w:pPr>
            <w:r>
              <w:t>Yoro</w:t>
            </w:r>
          </w:p>
        </w:tc>
        <w:tc>
          <w:tcPr>
            <w:tcW w:w="2268" w:type="dxa"/>
            <w:tcBorders>
              <w:top w:val="nil"/>
              <w:left w:val="nil"/>
              <w:bottom w:val="single" w:color="auto" w:sz="4" w:space="0"/>
              <w:right w:val="single" w:color="auto" w:sz="4" w:space="0"/>
            </w:tcBorders>
            <w:noWrap/>
          </w:tcPr>
          <w:p w14:paraId="1A046690">
            <w:pPr>
              <w:spacing w:after="0" w:line="259" w:lineRule="auto"/>
              <w:jc w:val="left"/>
              <w:rPr>
                <w:rFonts w:eastAsia="Times New Roman" w:cs="Tahoma"/>
                <w:color w:val="000000"/>
                <w:szCs w:val="24"/>
              </w:rPr>
            </w:pPr>
            <w:r>
              <w:t>SARR</w:t>
            </w:r>
          </w:p>
        </w:tc>
        <w:tc>
          <w:tcPr>
            <w:tcW w:w="4678" w:type="dxa"/>
            <w:tcBorders>
              <w:top w:val="nil"/>
              <w:left w:val="nil"/>
              <w:bottom w:val="single" w:color="auto" w:sz="4" w:space="0"/>
              <w:right w:val="single" w:color="auto" w:sz="4" w:space="0"/>
            </w:tcBorders>
            <w:noWrap/>
          </w:tcPr>
          <w:p w14:paraId="35DF5171">
            <w:pPr>
              <w:spacing w:after="0" w:line="259" w:lineRule="auto"/>
              <w:jc w:val="left"/>
              <w:rPr>
                <w:rFonts w:eastAsia="Times New Roman" w:cs="Tahoma"/>
                <w:color w:val="000000"/>
                <w:szCs w:val="24"/>
              </w:rPr>
            </w:pPr>
            <w:r>
              <w:t>MASAE/BCRNE</w:t>
            </w:r>
          </w:p>
        </w:tc>
      </w:tr>
      <w:tr w14:paraId="6821D3CB">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7C470CD0">
            <w:pPr>
              <w:spacing w:after="0" w:line="259" w:lineRule="auto"/>
              <w:jc w:val="right"/>
              <w:rPr>
                <w:rFonts w:eastAsia="Times New Roman" w:cs="Tahoma"/>
                <w:color w:val="000000"/>
                <w:szCs w:val="24"/>
              </w:rPr>
            </w:pPr>
            <w:r>
              <w:rPr>
                <w:rFonts w:ascii="Calibri" w:hAnsi="Calibri" w:cs="Calibri"/>
                <w:color w:val="000000"/>
              </w:rPr>
              <w:t>12</w:t>
            </w:r>
          </w:p>
        </w:tc>
        <w:tc>
          <w:tcPr>
            <w:tcW w:w="2721" w:type="dxa"/>
            <w:tcBorders>
              <w:top w:val="nil"/>
              <w:left w:val="nil"/>
              <w:bottom w:val="single" w:color="auto" w:sz="4" w:space="0"/>
              <w:right w:val="single" w:color="auto" w:sz="4" w:space="0"/>
            </w:tcBorders>
            <w:noWrap/>
          </w:tcPr>
          <w:p w14:paraId="4CC38CC9">
            <w:pPr>
              <w:spacing w:after="0" w:line="259" w:lineRule="auto"/>
              <w:jc w:val="left"/>
              <w:rPr>
                <w:rFonts w:eastAsia="Times New Roman" w:cs="Tahoma"/>
                <w:color w:val="000000"/>
                <w:szCs w:val="24"/>
              </w:rPr>
            </w:pPr>
            <w:r>
              <w:t>Moussa</w:t>
            </w:r>
          </w:p>
        </w:tc>
        <w:tc>
          <w:tcPr>
            <w:tcW w:w="2268" w:type="dxa"/>
            <w:tcBorders>
              <w:top w:val="nil"/>
              <w:left w:val="nil"/>
              <w:bottom w:val="single" w:color="auto" w:sz="4" w:space="0"/>
              <w:right w:val="single" w:color="auto" w:sz="4" w:space="0"/>
            </w:tcBorders>
            <w:noWrap/>
          </w:tcPr>
          <w:p w14:paraId="04FCD35D">
            <w:pPr>
              <w:spacing w:after="0" w:line="259" w:lineRule="auto"/>
              <w:jc w:val="left"/>
              <w:rPr>
                <w:rFonts w:eastAsia="Times New Roman" w:cs="Tahoma"/>
                <w:color w:val="000000"/>
                <w:szCs w:val="24"/>
              </w:rPr>
            </w:pPr>
            <w:r>
              <w:t>MBAYE</w:t>
            </w:r>
          </w:p>
        </w:tc>
        <w:tc>
          <w:tcPr>
            <w:tcW w:w="4678" w:type="dxa"/>
            <w:tcBorders>
              <w:top w:val="nil"/>
              <w:left w:val="nil"/>
              <w:bottom w:val="single" w:color="auto" w:sz="4" w:space="0"/>
              <w:right w:val="single" w:color="auto" w:sz="4" w:space="0"/>
            </w:tcBorders>
            <w:noWrap/>
          </w:tcPr>
          <w:p w14:paraId="7245502D">
            <w:pPr>
              <w:spacing w:after="0" w:line="259" w:lineRule="auto"/>
              <w:jc w:val="left"/>
              <w:rPr>
                <w:rFonts w:eastAsia="Times New Roman" w:cs="Tahoma"/>
                <w:color w:val="000000"/>
                <w:szCs w:val="24"/>
              </w:rPr>
            </w:pPr>
            <w:r>
              <w:t>MASAE/BCRNE</w:t>
            </w:r>
          </w:p>
        </w:tc>
      </w:tr>
      <w:tr w14:paraId="1BC4DC83">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74C6FFEA">
            <w:pPr>
              <w:spacing w:after="0" w:line="259" w:lineRule="auto"/>
              <w:jc w:val="right"/>
              <w:rPr>
                <w:rFonts w:eastAsia="Times New Roman" w:cs="Tahoma"/>
                <w:color w:val="000000"/>
                <w:szCs w:val="24"/>
              </w:rPr>
            </w:pPr>
            <w:r>
              <w:rPr>
                <w:rFonts w:ascii="Calibri" w:hAnsi="Calibri" w:cs="Calibri"/>
                <w:color w:val="000000"/>
              </w:rPr>
              <w:t>13</w:t>
            </w:r>
          </w:p>
        </w:tc>
        <w:tc>
          <w:tcPr>
            <w:tcW w:w="2721" w:type="dxa"/>
            <w:tcBorders>
              <w:top w:val="nil"/>
              <w:left w:val="nil"/>
              <w:bottom w:val="single" w:color="auto" w:sz="4" w:space="0"/>
              <w:right w:val="single" w:color="auto" w:sz="4" w:space="0"/>
            </w:tcBorders>
            <w:noWrap/>
          </w:tcPr>
          <w:p w14:paraId="1154A6CD">
            <w:pPr>
              <w:spacing w:after="0" w:line="259" w:lineRule="auto"/>
              <w:jc w:val="left"/>
              <w:rPr>
                <w:rFonts w:eastAsia="Times New Roman" w:cs="Tahoma"/>
                <w:color w:val="000000"/>
                <w:szCs w:val="24"/>
              </w:rPr>
            </w:pPr>
            <w:r>
              <w:t>Thierno Saïdou</w:t>
            </w:r>
          </w:p>
        </w:tc>
        <w:tc>
          <w:tcPr>
            <w:tcW w:w="2268" w:type="dxa"/>
            <w:tcBorders>
              <w:top w:val="nil"/>
              <w:left w:val="nil"/>
              <w:bottom w:val="single" w:color="auto" w:sz="4" w:space="0"/>
              <w:right w:val="single" w:color="auto" w:sz="4" w:space="0"/>
            </w:tcBorders>
            <w:noWrap/>
          </w:tcPr>
          <w:p w14:paraId="778FC46F">
            <w:pPr>
              <w:spacing w:after="0" w:line="259" w:lineRule="auto"/>
              <w:jc w:val="left"/>
              <w:rPr>
                <w:rFonts w:eastAsia="Times New Roman" w:cs="Tahoma"/>
                <w:color w:val="000000"/>
                <w:szCs w:val="24"/>
              </w:rPr>
            </w:pPr>
            <w:r>
              <w:t>DIOP</w:t>
            </w:r>
          </w:p>
        </w:tc>
        <w:tc>
          <w:tcPr>
            <w:tcW w:w="4678" w:type="dxa"/>
            <w:tcBorders>
              <w:top w:val="nil"/>
              <w:left w:val="nil"/>
              <w:bottom w:val="single" w:color="auto" w:sz="4" w:space="0"/>
              <w:right w:val="single" w:color="auto" w:sz="4" w:space="0"/>
            </w:tcBorders>
            <w:noWrap/>
          </w:tcPr>
          <w:p w14:paraId="616FDED8">
            <w:pPr>
              <w:spacing w:after="0" w:line="259" w:lineRule="auto"/>
              <w:jc w:val="left"/>
              <w:rPr>
                <w:rFonts w:eastAsia="Times New Roman" w:cs="Tahoma"/>
                <w:color w:val="000000"/>
                <w:szCs w:val="24"/>
              </w:rPr>
            </w:pPr>
            <w:r>
              <w:t>MASAE/DPES/BCRNE</w:t>
            </w:r>
          </w:p>
        </w:tc>
      </w:tr>
      <w:tr w14:paraId="04FB8264">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6A4C5179">
            <w:pPr>
              <w:spacing w:after="0" w:line="259" w:lineRule="auto"/>
              <w:jc w:val="right"/>
              <w:rPr>
                <w:rFonts w:eastAsia="Times New Roman" w:cs="Tahoma"/>
                <w:color w:val="000000"/>
                <w:szCs w:val="24"/>
              </w:rPr>
            </w:pPr>
            <w:r>
              <w:rPr>
                <w:rFonts w:ascii="Calibri" w:hAnsi="Calibri" w:cs="Calibri"/>
                <w:color w:val="000000"/>
              </w:rPr>
              <w:t>14</w:t>
            </w:r>
          </w:p>
        </w:tc>
        <w:tc>
          <w:tcPr>
            <w:tcW w:w="2721" w:type="dxa"/>
            <w:tcBorders>
              <w:top w:val="nil"/>
              <w:left w:val="nil"/>
              <w:bottom w:val="single" w:color="auto" w:sz="4" w:space="0"/>
              <w:right w:val="single" w:color="auto" w:sz="4" w:space="0"/>
            </w:tcBorders>
            <w:noWrap/>
          </w:tcPr>
          <w:p w14:paraId="0CDE7E87">
            <w:pPr>
              <w:spacing w:after="0" w:line="259" w:lineRule="auto"/>
              <w:jc w:val="left"/>
              <w:rPr>
                <w:rFonts w:eastAsia="Times New Roman" w:cs="Tahoma"/>
                <w:color w:val="000000"/>
                <w:szCs w:val="24"/>
              </w:rPr>
            </w:pPr>
            <w:r>
              <w:t>Maguette Maty</w:t>
            </w:r>
          </w:p>
        </w:tc>
        <w:tc>
          <w:tcPr>
            <w:tcW w:w="2268" w:type="dxa"/>
            <w:tcBorders>
              <w:top w:val="nil"/>
              <w:left w:val="nil"/>
              <w:bottom w:val="single" w:color="auto" w:sz="4" w:space="0"/>
              <w:right w:val="single" w:color="auto" w:sz="4" w:space="0"/>
            </w:tcBorders>
            <w:noWrap/>
          </w:tcPr>
          <w:p w14:paraId="4EA8C647">
            <w:pPr>
              <w:spacing w:after="0" w:line="259" w:lineRule="auto"/>
              <w:jc w:val="left"/>
              <w:rPr>
                <w:rFonts w:eastAsia="Times New Roman" w:cs="Tahoma"/>
                <w:color w:val="000000"/>
                <w:szCs w:val="24"/>
              </w:rPr>
            </w:pPr>
            <w:r>
              <w:t>GUEYE</w:t>
            </w:r>
          </w:p>
        </w:tc>
        <w:tc>
          <w:tcPr>
            <w:tcW w:w="4678" w:type="dxa"/>
            <w:tcBorders>
              <w:top w:val="nil"/>
              <w:left w:val="nil"/>
              <w:bottom w:val="single" w:color="auto" w:sz="4" w:space="0"/>
              <w:right w:val="single" w:color="auto" w:sz="4" w:space="0"/>
            </w:tcBorders>
            <w:noWrap/>
          </w:tcPr>
          <w:p w14:paraId="3BCB6557">
            <w:pPr>
              <w:spacing w:after="0" w:line="259" w:lineRule="auto"/>
              <w:jc w:val="left"/>
              <w:rPr>
                <w:rFonts w:eastAsia="Times New Roman" w:cs="Tahoma"/>
                <w:color w:val="000000"/>
                <w:szCs w:val="24"/>
              </w:rPr>
            </w:pPr>
            <w:r>
              <w:t>MASAE/DPES</w:t>
            </w:r>
          </w:p>
        </w:tc>
      </w:tr>
      <w:tr w14:paraId="6A7F1E17">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3FC5EA41">
            <w:pPr>
              <w:spacing w:after="0" w:line="259" w:lineRule="auto"/>
              <w:jc w:val="right"/>
              <w:rPr>
                <w:rFonts w:eastAsia="Times New Roman" w:cs="Tahoma"/>
                <w:color w:val="000000"/>
                <w:szCs w:val="24"/>
              </w:rPr>
            </w:pPr>
            <w:r>
              <w:rPr>
                <w:rFonts w:ascii="Calibri" w:hAnsi="Calibri" w:cs="Calibri"/>
                <w:color w:val="000000"/>
              </w:rPr>
              <w:t>15</w:t>
            </w:r>
          </w:p>
        </w:tc>
        <w:tc>
          <w:tcPr>
            <w:tcW w:w="2721" w:type="dxa"/>
            <w:tcBorders>
              <w:top w:val="nil"/>
              <w:left w:val="nil"/>
              <w:bottom w:val="single" w:color="auto" w:sz="4" w:space="0"/>
              <w:right w:val="single" w:color="auto" w:sz="4" w:space="0"/>
            </w:tcBorders>
            <w:noWrap/>
          </w:tcPr>
          <w:p w14:paraId="26B894BC">
            <w:pPr>
              <w:spacing w:after="0" w:line="259" w:lineRule="auto"/>
              <w:jc w:val="left"/>
              <w:rPr>
                <w:rFonts w:eastAsia="Times New Roman" w:cs="Tahoma"/>
                <w:color w:val="000000"/>
                <w:szCs w:val="24"/>
              </w:rPr>
            </w:pPr>
            <w:r>
              <w:t>Baye Marel</w:t>
            </w:r>
          </w:p>
        </w:tc>
        <w:tc>
          <w:tcPr>
            <w:tcW w:w="2268" w:type="dxa"/>
            <w:tcBorders>
              <w:top w:val="nil"/>
              <w:left w:val="nil"/>
              <w:bottom w:val="single" w:color="auto" w:sz="4" w:space="0"/>
              <w:right w:val="single" w:color="auto" w:sz="4" w:space="0"/>
            </w:tcBorders>
            <w:noWrap/>
          </w:tcPr>
          <w:p w14:paraId="122EB0F7">
            <w:pPr>
              <w:spacing w:after="0" w:line="259" w:lineRule="auto"/>
              <w:jc w:val="left"/>
              <w:rPr>
                <w:rFonts w:eastAsia="Times New Roman" w:cs="Tahoma"/>
                <w:color w:val="000000"/>
                <w:szCs w:val="24"/>
              </w:rPr>
            </w:pPr>
            <w:r>
              <w:t>DIOUF</w:t>
            </w:r>
          </w:p>
        </w:tc>
        <w:tc>
          <w:tcPr>
            <w:tcW w:w="4678" w:type="dxa"/>
            <w:tcBorders>
              <w:top w:val="nil"/>
              <w:left w:val="nil"/>
              <w:bottom w:val="single" w:color="auto" w:sz="4" w:space="0"/>
              <w:right w:val="single" w:color="auto" w:sz="4" w:space="0"/>
            </w:tcBorders>
            <w:noWrap/>
          </w:tcPr>
          <w:p w14:paraId="24479DD8">
            <w:pPr>
              <w:spacing w:after="0" w:line="259" w:lineRule="auto"/>
              <w:jc w:val="left"/>
              <w:rPr>
                <w:rFonts w:eastAsia="Times New Roman" w:cs="Tahoma"/>
                <w:color w:val="000000"/>
                <w:szCs w:val="24"/>
              </w:rPr>
            </w:pPr>
            <w:r>
              <w:t>MASAE/BCRNE</w:t>
            </w:r>
          </w:p>
        </w:tc>
      </w:tr>
      <w:tr w14:paraId="7014991D">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29B24228">
            <w:pPr>
              <w:spacing w:after="0" w:line="259" w:lineRule="auto"/>
              <w:jc w:val="right"/>
              <w:rPr>
                <w:rFonts w:eastAsia="Times New Roman" w:cs="Tahoma"/>
                <w:color w:val="000000"/>
                <w:szCs w:val="24"/>
              </w:rPr>
            </w:pPr>
            <w:r>
              <w:rPr>
                <w:rFonts w:ascii="Calibri" w:hAnsi="Calibri" w:cs="Calibri"/>
                <w:color w:val="000000"/>
              </w:rPr>
              <w:t>16</w:t>
            </w:r>
          </w:p>
        </w:tc>
        <w:tc>
          <w:tcPr>
            <w:tcW w:w="2721" w:type="dxa"/>
            <w:tcBorders>
              <w:top w:val="nil"/>
              <w:left w:val="nil"/>
              <w:bottom w:val="single" w:color="auto" w:sz="4" w:space="0"/>
              <w:right w:val="single" w:color="auto" w:sz="4" w:space="0"/>
            </w:tcBorders>
            <w:noWrap/>
          </w:tcPr>
          <w:p w14:paraId="36A0BE4A">
            <w:pPr>
              <w:spacing w:after="0" w:line="259" w:lineRule="auto"/>
              <w:jc w:val="left"/>
              <w:rPr>
                <w:rFonts w:eastAsia="Times New Roman" w:cs="Tahoma"/>
                <w:color w:val="000000"/>
                <w:szCs w:val="24"/>
              </w:rPr>
            </w:pPr>
            <w:r>
              <w:t xml:space="preserve">Modou </w:t>
            </w:r>
          </w:p>
        </w:tc>
        <w:tc>
          <w:tcPr>
            <w:tcW w:w="2268" w:type="dxa"/>
            <w:tcBorders>
              <w:top w:val="nil"/>
              <w:left w:val="nil"/>
              <w:bottom w:val="single" w:color="auto" w:sz="4" w:space="0"/>
              <w:right w:val="single" w:color="auto" w:sz="4" w:space="0"/>
            </w:tcBorders>
            <w:noWrap/>
          </w:tcPr>
          <w:p w14:paraId="4FB0FAD8">
            <w:pPr>
              <w:spacing w:after="0" w:line="259" w:lineRule="auto"/>
              <w:jc w:val="left"/>
              <w:rPr>
                <w:rFonts w:eastAsia="Times New Roman" w:cs="Tahoma"/>
                <w:color w:val="000000"/>
                <w:szCs w:val="24"/>
              </w:rPr>
            </w:pPr>
            <w:r>
              <w:t>DIONE</w:t>
            </w:r>
          </w:p>
        </w:tc>
        <w:tc>
          <w:tcPr>
            <w:tcW w:w="4678" w:type="dxa"/>
            <w:tcBorders>
              <w:top w:val="nil"/>
              <w:left w:val="nil"/>
              <w:bottom w:val="single" w:color="auto" w:sz="4" w:space="0"/>
              <w:right w:val="single" w:color="auto" w:sz="4" w:space="0"/>
            </w:tcBorders>
            <w:noWrap/>
          </w:tcPr>
          <w:p w14:paraId="539401C4">
            <w:pPr>
              <w:spacing w:after="0" w:line="259" w:lineRule="auto"/>
              <w:jc w:val="left"/>
              <w:rPr>
                <w:rFonts w:eastAsia="Times New Roman" w:cs="Tahoma"/>
                <w:color w:val="000000"/>
                <w:szCs w:val="24"/>
              </w:rPr>
            </w:pPr>
            <w:r>
              <w:t>MASAE/BCRNE</w:t>
            </w:r>
          </w:p>
        </w:tc>
      </w:tr>
      <w:tr w14:paraId="20C1F88F">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6142D05D">
            <w:pPr>
              <w:spacing w:after="0" w:line="259" w:lineRule="auto"/>
              <w:jc w:val="right"/>
              <w:rPr>
                <w:rFonts w:eastAsia="Times New Roman" w:cs="Tahoma"/>
                <w:color w:val="000000"/>
                <w:szCs w:val="24"/>
              </w:rPr>
            </w:pPr>
            <w:r>
              <w:rPr>
                <w:rFonts w:ascii="Calibri" w:hAnsi="Calibri" w:cs="Calibri"/>
                <w:color w:val="000000"/>
              </w:rPr>
              <w:t>17</w:t>
            </w:r>
          </w:p>
        </w:tc>
        <w:tc>
          <w:tcPr>
            <w:tcW w:w="2721" w:type="dxa"/>
            <w:tcBorders>
              <w:top w:val="nil"/>
              <w:left w:val="nil"/>
              <w:bottom w:val="single" w:color="auto" w:sz="4" w:space="0"/>
              <w:right w:val="single" w:color="auto" w:sz="4" w:space="0"/>
            </w:tcBorders>
            <w:noWrap/>
          </w:tcPr>
          <w:p w14:paraId="5B40701A">
            <w:pPr>
              <w:spacing w:after="0" w:line="259" w:lineRule="auto"/>
              <w:jc w:val="left"/>
              <w:rPr>
                <w:rFonts w:eastAsia="Times New Roman" w:cs="Tahoma"/>
                <w:color w:val="000000"/>
                <w:szCs w:val="24"/>
              </w:rPr>
            </w:pPr>
            <w:r>
              <w:t>Emmanuel Babu</w:t>
            </w:r>
          </w:p>
        </w:tc>
        <w:tc>
          <w:tcPr>
            <w:tcW w:w="2268" w:type="dxa"/>
            <w:tcBorders>
              <w:top w:val="nil"/>
              <w:left w:val="nil"/>
              <w:bottom w:val="single" w:color="auto" w:sz="4" w:space="0"/>
              <w:right w:val="single" w:color="auto" w:sz="4" w:space="0"/>
            </w:tcBorders>
            <w:noWrap/>
          </w:tcPr>
          <w:p w14:paraId="52197A00">
            <w:pPr>
              <w:spacing w:after="0" w:line="259" w:lineRule="auto"/>
              <w:jc w:val="left"/>
              <w:rPr>
                <w:rFonts w:eastAsia="Times New Roman" w:cs="Tahoma"/>
                <w:color w:val="000000"/>
                <w:szCs w:val="24"/>
              </w:rPr>
            </w:pPr>
            <w:r>
              <w:t>DIOUF</w:t>
            </w:r>
          </w:p>
        </w:tc>
        <w:tc>
          <w:tcPr>
            <w:tcW w:w="4678" w:type="dxa"/>
            <w:tcBorders>
              <w:top w:val="nil"/>
              <w:left w:val="nil"/>
              <w:bottom w:val="single" w:color="auto" w:sz="4" w:space="0"/>
              <w:right w:val="single" w:color="auto" w:sz="4" w:space="0"/>
            </w:tcBorders>
            <w:noWrap/>
          </w:tcPr>
          <w:p w14:paraId="366A22B3">
            <w:pPr>
              <w:spacing w:after="0" w:line="259" w:lineRule="auto"/>
              <w:jc w:val="left"/>
              <w:rPr>
                <w:rFonts w:eastAsia="Times New Roman" w:cs="Tahoma"/>
                <w:color w:val="000000"/>
                <w:szCs w:val="24"/>
              </w:rPr>
            </w:pPr>
            <w:r>
              <w:t>MASAE/DDE/BCRNE</w:t>
            </w:r>
          </w:p>
        </w:tc>
      </w:tr>
      <w:tr w14:paraId="32A24D45">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4C693D05">
            <w:pPr>
              <w:spacing w:after="0" w:line="259" w:lineRule="auto"/>
              <w:jc w:val="right"/>
              <w:rPr>
                <w:rFonts w:eastAsia="Times New Roman" w:cs="Tahoma"/>
                <w:color w:val="000000"/>
                <w:szCs w:val="24"/>
              </w:rPr>
            </w:pPr>
            <w:r>
              <w:rPr>
                <w:rFonts w:ascii="Calibri" w:hAnsi="Calibri" w:cs="Calibri"/>
                <w:color w:val="000000"/>
              </w:rPr>
              <w:t>18</w:t>
            </w:r>
          </w:p>
        </w:tc>
        <w:tc>
          <w:tcPr>
            <w:tcW w:w="2721" w:type="dxa"/>
            <w:tcBorders>
              <w:top w:val="nil"/>
              <w:left w:val="nil"/>
              <w:bottom w:val="single" w:color="auto" w:sz="4" w:space="0"/>
              <w:right w:val="single" w:color="auto" w:sz="4" w:space="0"/>
            </w:tcBorders>
            <w:noWrap/>
          </w:tcPr>
          <w:p w14:paraId="7C56D60F">
            <w:pPr>
              <w:spacing w:after="0" w:line="259" w:lineRule="auto"/>
              <w:jc w:val="left"/>
              <w:rPr>
                <w:rFonts w:eastAsia="Times New Roman" w:cs="Tahoma"/>
                <w:color w:val="000000"/>
                <w:szCs w:val="24"/>
              </w:rPr>
            </w:pPr>
            <w:r>
              <w:t>Pape Mamadou</w:t>
            </w:r>
          </w:p>
        </w:tc>
        <w:tc>
          <w:tcPr>
            <w:tcW w:w="2268" w:type="dxa"/>
            <w:tcBorders>
              <w:top w:val="nil"/>
              <w:left w:val="nil"/>
              <w:bottom w:val="single" w:color="auto" w:sz="4" w:space="0"/>
              <w:right w:val="single" w:color="auto" w:sz="4" w:space="0"/>
            </w:tcBorders>
            <w:noWrap/>
          </w:tcPr>
          <w:p w14:paraId="2A5EF736">
            <w:pPr>
              <w:spacing w:after="0" w:line="259" w:lineRule="auto"/>
              <w:jc w:val="left"/>
              <w:rPr>
                <w:rFonts w:eastAsia="Times New Roman" w:cs="Tahoma"/>
                <w:color w:val="000000"/>
                <w:szCs w:val="24"/>
              </w:rPr>
            </w:pPr>
            <w:r>
              <w:t>BADJI</w:t>
            </w:r>
          </w:p>
        </w:tc>
        <w:tc>
          <w:tcPr>
            <w:tcW w:w="4678" w:type="dxa"/>
            <w:tcBorders>
              <w:top w:val="nil"/>
              <w:left w:val="nil"/>
              <w:bottom w:val="single" w:color="auto" w:sz="4" w:space="0"/>
              <w:right w:val="single" w:color="auto" w:sz="4" w:space="0"/>
            </w:tcBorders>
            <w:noWrap/>
          </w:tcPr>
          <w:p w14:paraId="183E8C8A">
            <w:pPr>
              <w:spacing w:after="0" w:line="259" w:lineRule="auto"/>
              <w:jc w:val="left"/>
              <w:rPr>
                <w:rFonts w:eastAsia="Times New Roman" w:cs="Tahoma"/>
                <w:color w:val="000000"/>
                <w:szCs w:val="24"/>
              </w:rPr>
            </w:pPr>
            <w:r>
              <w:t>ANSD/DMCI</w:t>
            </w:r>
          </w:p>
        </w:tc>
      </w:tr>
      <w:tr w14:paraId="7A522DDF">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177B2051">
            <w:pPr>
              <w:spacing w:after="0" w:line="259" w:lineRule="auto"/>
              <w:jc w:val="right"/>
              <w:rPr>
                <w:rFonts w:eastAsia="Times New Roman" w:cs="Tahoma"/>
                <w:color w:val="000000"/>
                <w:szCs w:val="24"/>
              </w:rPr>
            </w:pPr>
            <w:r>
              <w:rPr>
                <w:rFonts w:ascii="Calibri" w:hAnsi="Calibri" w:cs="Calibri"/>
                <w:color w:val="000000"/>
              </w:rPr>
              <w:t>19</w:t>
            </w:r>
          </w:p>
        </w:tc>
        <w:tc>
          <w:tcPr>
            <w:tcW w:w="2721" w:type="dxa"/>
            <w:tcBorders>
              <w:top w:val="nil"/>
              <w:left w:val="nil"/>
              <w:bottom w:val="single" w:color="auto" w:sz="4" w:space="0"/>
              <w:right w:val="single" w:color="auto" w:sz="4" w:space="0"/>
            </w:tcBorders>
            <w:noWrap/>
          </w:tcPr>
          <w:p w14:paraId="69938B81">
            <w:pPr>
              <w:spacing w:after="0" w:line="259" w:lineRule="auto"/>
              <w:jc w:val="left"/>
              <w:rPr>
                <w:rFonts w:eastAsia="Times New Roman" w:cs="Tahoma"/>
                <w:color w:val="000000"/>
                <w:szCs w:val="24"/>
              </w:rPr>
            </w:pPr>
            <w:r>
              <w:t xml:space="preserve">Mamadou </w:t>
            </w:r>
          </w:p>
        </w:tc>
        <w:tc>
          <w:tcPr>
            <w:tcW w:w="2268" w:type="dxa"/>
            <w:tcBorders>
              <w:top w:val="nil"/>
              <w:left w:val="nil"/>
              <w:bottom w:val="single" w:color="auto" w:sz="4" w:space="0"/>
              <w:right w:val="single" w:color="auto" w:sz="4" w:space="0"/>
            </w:tcBorders>
            <w:noWrap/>
          </w:tcPr>
          <w:p w14:paraId="5C5BCA06">
            <w:pPr>
              <w:spacing w:after="0" w:line="259" w:lineRule="auto"/>
              <w:jc w:val="left"/>
              <w:rPr>
                <w:rFonts w:eastAsia="Times New Roman" w:cs="Tahoma"/>
                <w:color w:val="000000"/>
                <w:szCs w:val="24"/>
              </w:rPr>
            </w:pPr>
            <w:r>
              <w:t>GUEYE</w:t>
            </w:r>
          </w:p>
        </w:tc>
        <w:tc>
          <w:tcPr>
            <w:tcW w:w="4678" w:type="dxa"/>
            <w:tcBorders>
              <w:top w:val="nil"/>
              <w:left w:val="nil"/>
              <w:bottom w:val="single" w:color="auto" w:sz="4" w:space="0"/>
              <w:right w:val="single" w:color="auto" w:sz="4" w:space="0"/>
            </w:tcBorders>
            <w:noWrap/>
          </w:tcPr>
          <w:p w14:paraId="4862332D">
            <w:pPr>
              <w:spacing w:after="0" w:line="259" w:lineRule="auto"/>
              <w:jc w:val="left"/>
              <w:rPr>
                <w:rFonts w:eastAsia="Times New Roman" w:cs="Tahoma"/>
                <w:color w:val="000000"/>
                <w:szCs w:val="24"/>
              </w:rPr>
            </w:pPr>
            <w:r>
              <w:t>ANSD/DMCI</w:t>
            </w:r>
          </w:p>
        </w:tc>
      </w:tr>
      <w:tr w14:paraId="41CDEE83">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3DB6ACC3">
            <w:pPr>
              <w:spacing w:after="0" w:line="259" w:lineRule="auto"/>
              <w:jc w:val="right"/>
              <w:rPr>
                <w:rFonts w:eastAsia="Times New Roman" w:cs="Tahoma"/>
                <w:color w:val="000000"/>
                <w:szCs w:val="24"/>
              </w:rPr>
            </w:pPr>
            <w:r>
              <w:rPr>
                <w:rFonts w:ascii="Calibri" w:hAnsi="Calibri" w:cs="Calibri"/>
                <w:color w:val="000000"/>
              </w:rPr>
              <w:t>20</w:t>
            </w:r>
          </w:p>
        </w:tc>
        <w:tc>
          <w:tcPr>
            <w:tcW w:w="2721" w:type="dxa"/>
            <w:tcBorders>
              <w:top w:val="nil"/>
              <w:left w:val="nil"/>
              <w:bottom w:val="single" w:color="auto" w:sz="4" w:space="0"/>
              <w:right w:val="single" w:color="auto" w:sz="4" w:space="0"/>
            </w:tcBorders>
            <w:noWrap/>
          </w:tcPr>
          <w:p w14:paraId="240E8C48">
            <w:pPr>
              <w:spacing w:after="0" w:line="259" w:lineRule="auto"/>
              <w:jc w:val="left"/>
              <w:rPr>
                <w:rFonts w:eastAsia="Times New Roman" w:cs="Tahoma"/>
                <w:color w:val="000000"/>
                <w:szCs w:val="24"/>
              </w:rPr>
            </w:pPr>
            <w:r>
              <w:t xml:space="preserve">Ousseynou </w:t>
            </w:r>
          </w:p>
        </w:tc>
        <w:tc>
          <w:tcPr>
            <w:tcW w:w="2268" w:type="dxa"/>
            <w:tcBorders>
              <w:top w:val="nil"/>
              <w:left w:val="nil"/>
              <w:bottom w:val="single" w:color="auto" w:sz="4" w:space="0"/>
              <w:right w:val="single" w:color="auto" w:sz="4" w:space="0"/>
            </w:tcBorders>
            <w:noWrap/>
          </w:tcPr>
          <w:p w14:paraId="5D287F05">
            <w:pPr>
              <w:spacing w:after="0" w:line="259" w:lineRule="auto"/>
              <w:jc w:val="left"/>
              <w:rPr>
                <w:rFonts w:eastAsia="Times New Roman" w:cs="Tahoma"/>
                <w:color w:val="000000"/>
                <w:szCs w:val="24"/>
              </w:rPr>
            </w:pPr>
            <w:r>
              <w:t>MBAYE</w:t>
            </w:r>
          </w:p>
        </w:tc>
        <w:tc>
          <w:tcPr>
            <w:tcW w:w="4678" w:type="dxa"/>
            <w:tcBorders>
              <w:top w:val="nil"/>
              <w:left w:val="nil"/>
              <w:bottom w:val="single" w:color="auto" w:sz="4" w:space="0"/>
              <w:right w:val="single" w:color="auto" w:sz="4" w:space="0"/>
            </w:tcBorders>
            <w:noWrap/>
          </w:tcPr>
          <w:p w14:paraId="759DCCFD">
            <w:pPr>
              <w:spacing w:after="0" w:line="259" w:lineRule="auto"/>
              <w:jc w:val="left"/>
              <w:rPr>
                <w:rFonts w:eastAsia="Times New Roman" w:cs="Tahoma"/>
                <w:color w:val="000000"/>
                <w:szCs w:val="24"/>
              </w:rPr>
            </w:pPr>
            <w:r>
              <w:t>ANSD/DSDS</w:t>
            </w:r>
          </w:p>
        </w:tc>
      </w:tr>
      <w:tr w14:paraId="04769654">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1443E0F3">
            <w:pPr>
              <w:spacing w:after="0" w:line="259" w:lineRule="auto"/>
              <w:jc w:val="right"/>
              <w:rPr>
                <w:rFonts w:eastAsia="Times New Roman" w:cs="Tahoma"/>
                <w:color w:val="000000"/>
                <w:szCs w:val="24"/>
              </w:rPr>
            </w:pPr>
            <w:r>
              <w:rPr>
                <w:rFonts w:ascii="Calibri" w:hAnsi="Calibri" w:cs="Calibri"/>
                <w:color w:val="000000"/>
              </w:rPr>
              <w:t>21</w:t>
            </w:r>
          </w:p>
        </w:tc>
        <w:tc>
          <w:tcPr>
            <w:tcW w:w="2721" w:type="dxa"/>
            <w:tcBorders>
              <w:top w:val="nil"/>
              <w:left w:val="nil"/>
              <w:bottom w:val="single" w:color="auto" w:sz="4" w:space="0"/>
              <w:right w:val="single" w:color="auto" w:sz="4" w:space="0"/>
            </w:tcBorders>
            <w:noWrap/>
          </w:tcPr>
          <w:p w14:paraId="0B197717">
            <w:pPr>
              <w:spacing w:after="0" w:line="259" w:lineRule="auto"/>
              <w:jc w:val="left"/>
              <w:rPr>
                <w:rFonts w:eastAsia="Times New Roman" w:cs="Tahoma"/>
                <w:color w:val="000000"/>
                <w:szCs w:val="24"/>
              </w:rPr>
            </w:pPr>
            <w:r>
              <w:t>Khadim</w:t>
            </w:r>
          </w:p>
        </w:tc>
        <w:tc>
          <w:tcPr>
            <w:tcW w:w="2268" w:type="dxa"/>
            <w:tcBorders>
              <w:top w:val="nil"/>
              <w:left w:val="nil"/>
              <w:bottom w:val="single" w:color="auto" w:sz="4" w:space="0"/>
              <w:right w:val="single" w:color="auto" w:sz="4" w:space="0"/>
            </w:tcBorders>
            <w:noWrap/>
          </w:tcPr>
          <w:p w14:paraId="6AFA524B">
            <w:pPr>
              <w:spacing w:after="0" w:line="259" w:lineRule="auto"/>
              <w:jc w:val="left"/>
              <w:rPr>
                <w:rFonts w:eastAsia="Times New Roman" w:cs="Tahoma"/>
                <w:color w:val="000000"/>
                <w:szCs w:val="24"/>
              </w:rPr>
            </w:pPr>
            <w:r>
              <w:t>DIOP</w:t>
            </w:r>
          </w:p>
        </w:tc>
        <w:tc>
          <w:tcPr>
            <w:tcW w:w="4678" w:type="dxa"/>
            <w:tcBorders>
              <w:top w:val="nil"/>
              <w:left w:val="nil"/>
              <w:bottom w:val="single" w:color="auto" w:sz="4" w:space="0"/>
              <w:right w:val="single" w:color="auto" w:sz="4" w:space="0"/>
            </w:tcBorders>
            <w:noWrap/>
          </w:tcPr>
          <w:p w14:paraId="2033F624">
            <w:pPr>
              <w:spacing w:after="0" w:line="259" w:lineRule="auto"/>
              <w:jc w:val="left"/>
              <w:rPr>
                <w:rFonts w:eastAsia="Times New Roman" w:cs="Tahoma"/>
                <w:color w:val="000000"/>
                <w:szCs w:val="24"/>
              </w:rPr>
            </w:pPr>
            <w:r>
              <w:t>ANSD/DSDS/BCRNE</w:t>
            </w:r>
          </w:p>
        </w:tc>
      </w:tr>
      <w:tr w14:paraId="09FACECD">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5471C06C">
            <w:pPr>
              <w:spacing w:after="0" w:line="259" w:lineRule="auto"/>
              <w:jc w:val="right"/>
              <w:rPr>
                <w:rFonts w:eastAsia="Times New Roman" w:cs="Tahoma"/>
                <w:color w:val="000000"/>
                <w:szCs w:val="24"/>
              </w:rPr>
            </w:pPr>
            <w:r>
              <w:rPr>
                <w:rFonts w:ascii="Calibri" w:hAnsi="Calibri" w:cs="Calibri"/>
                <w:color w:val="000000"/>
              </w:rPr>
              <w:t>22</w:t>
            </w:r>
          </w:p>
        </w:tc>
        <w:tc>
          <w:tcPr>
            <w:tcW w:w="2721" w:type="dxa"/>
            <w:tcBorders>
              <w:top w:val="nil"/>
              <w:left w:val="nil"/>
              <w:bottom w:val="single" w:color="auto" w:sz="4" w:space="0"/>
              <w:right w:val="single" w:color="auto" w:sz="4" w:space="0"/>
            </w:tcBorders>
            <w:noWrap/>
          </w:tcPr>
          <w:p w14:paraId="2AEFDA02">
            <w:pPr>
              <w:spacing w:after="0" w:line="259" w:lineRule="auto"/>
              <w:jc w:val="left"/>
              <w:rPr>
                <w:rFonts w:eastAsia="Times New Roman" w:cs="Tahoma"/>
                <w:color w:val="000000"/>
                <w:szCs w:val="24"/>
              </w:rPr>
            </w:pPr>
            <w:r>
              <w:t xml:space="preserve">Aïssata </w:t>
            </w:r>
          </w:p>
        </w:tc>
        <w:tc>
          <w:tcPr>
            <w:tcW w:w="2268" w:type="dxa"/>
            <w:tcBorders>
              <w:top w:val="nil"/>
              <w:left w:val="nil"/>
              <w:bottom w:val="single" w:color="auto" w:sz="4" w:space="0"/>
              <w:right w:val="single" w:color="auto" w:sz="4" w:space="0"/>
            </w:tcBorders>
            <w:noWrap/>
          </w:tcPr>
          <w:p w14:paraId="4E8B5259">
            <w:pPr>
              <w:spacing w:after="0" w:line="259" w:lineRule="auto"/>
              <w:jc w:val="left"/>
              <w:rPr>
                <w:rFonts w:eastAsia="Times New Roman" w:cs="Tahoma"/>
                <w:color w:val="000000"/>
                <w:szCs w:val="24"/>
              </w:rPr>
            </w:pPr>
            <w:r>
              <w:t>KA</w:t>
            </w:r>
          </w:p>
        </w:tc>
        <w:tc>
          <w:tcPr>
            <w:tcW w:w="4678" w:type="dxa"/>
            <w:tcBorders>
              <w:top w:val="nil"/>
              <w:left w:val="nil"/>
              <w:bottom w:val="single" w:color="auto" w:sz="4" w:space="0"/>
              <w:right w:val="single" w:color="auto" w:sz="4" w:space="0"/>
            </w:tcBorders>
            <w:noWrap/>
          </w:tcPr>
          <w:p w14:paraId="51E2EF15">
            <w:pPr>
              <w:spacing w:after="0" w:line="259" w:lineRule="auto"/>
              <w:jc w:val="left"/>
              <w:rPr>
                <w:rFonts w:eastAsia="Times New Roman" w:cs="Tahoma"/>
                <w:color w:val="000000"/>
                <w:szCs w:val="24"/>
              </w:rPr>
            </w:pPr>
            <w:r>
              <w:t>MASAE/DIREL/BCRNE</w:t>
            </w:r>
          </w:p>
        </w:tc>
      </w:tr>
      <w:tr w14:paraId="771E1FD4">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75DC3D99">
            <w:pPr>
              <w:spacing w:after="0" w:line="259" w:lineRule="auto"/>
              <w:jc w:val="right"/>
              <w:rPr>
                <w:rFonts w:eastAsia="Times New Roman" w:cs="Tahoma"/>
                <w:color w:val="000000"/>
                <w:szCs w:val="24"/>
              </w:rPr>
            </w:pPr>
            <w:r>
              <w:rPr>
                <w:rFonts w:ascii="Calibri" w:hAnsi="Calibri" w:cs="Calibri"/>
                <w:color w:val="000000"/>
              </w:rPr>
              <w:t>23</w:t>
            </w:r>
          </w:p>
        </w:tc>
        <w:tc>
          <w:tcPr>
            <w:tcW w:w="2721" w:type="dxa"/>
            <w:tcBorders>
              <w:top w:val="nil"/>
              <w:left w:val="nil"/>
              <w:bottom w:val="single" w:color="auto" w:sz="4" w:space="0"/>
              <w:right w:val="single" w:color="auto" w:sz="4" w:space="0"/>
            </w:tcBorders>
            <w:noWrap/>
          </w:tcPr>
          <w:p w14:paraId="1D342074">
            <w:pPr>
              <w:spacing w:after="0" w:line="259" w:lineRule="auto"/>
              <w:jc w:val="left"/>
              <w:rPr>
                <w:rFonts w:eastAsia="Times New Roman" w:cs="Tahoma"/>
                <w:color w:val="000000"/>
                <w:szCs w:val="24"/>
              </w:rPr>
            </w:pPr>
            <w:r>
              <w:t xml:space="preserve">Amadou </w:t>
            </w:r>
          </w:p>
        </w:tc>
        <w:tc>
          <w:tcPr>
            <w:tcW w:w="2268" w:type="dxa"/>
            <w:tcBorders>
              <w:top w:val="nil"/>
              <w:left w:val="nil"/>
              <w:bottom w:val="single" w:color="auto" w:sz="4" w:space="0"/>
              <w:right w:val="single" w:color="auto" w:sz="4" w:space="0"/>
            </w:tcBorders>
            <w:noWrap/>
          </w:tcPr>
          <w:p w14:paraId="73CDBE01">
            <w:pPr>
              <w:spacing w:after="0" w:line="259" w:lineRule="auto"/>
              <w:jc w:val="left"/>
              <w:rPr>
                <w:rFonts w:eastAsia="Times New Roman" w:cs="Tahoma"/>
                <w:color w:val="000000"/>
                <w:szCs w:val="24"/>
              </w:rPr>
            </w:pPr>
            <w:r>
              <w:t>NDIAYE</w:t>
            </w:r>
          </w:p>
        </w:tc>
        <w:tc>
          <w:tcPr>
            <w:tcW w:w="4678" w:type="dxa"/>
            <w:tcBorders>
              <w:top w:val="nil"/>
              <w:left w:val="nil"/>
              <w:bottom w:val="single" w:color="auto" w:sz="4" w:space="0"/>
              <w:right w:val="single" w:color="auto" w:sz="4" w:space="0"/>
            </w:tcBorders>
            <w:noWrap/>
          </w:tcPr>
          <w:p w14:paraId="36FF3196">
            <w:pPr>
              <w:spacing w:after="0" w:line="259" w:lineRule="auto"/>
              <w:jc w:val="left"/>
              <w:rPr>
                <w:rFonts w:eastAsia="Times New Roman" w:cs="Tahoma"/>
                <w:color w:val="000000"/>
                <w:szCs w:val="24"/>
              </w:rPr>
            </w:pPr>
            <w:r>
              <w:t>MASAE/BCRNE</w:t>
            </w:r>
          </w:p>
        </w:tc>
      </w:tr>
      <w:tr w14:paraId="601CA2F9">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59B80E23">
            <w:pPr>
              <w:spacing w:after="0" w:line="259" w:lineRule="auto"/>
              <w:jc w:val="right"/>
              <w:rPr>
                <w:rFonts w:eastAsia="Times New Roman" w:cs="Tahoma"/>
                <w:color w:val="000000"/>
                <w:szCs w:val="24"/>
              </w:rPr>
            </w:pPr>
            <w:r>
              <w:rPr>
                <w:rFonts w:ascii="Calibri" w:hAnsi="Calibri" w:cs="Calibri"/>
                <w:color w:val="000000"/>
              </w:rPr>
              <w:t>24</w:t>
            </w:r>
          </w:p>
        </w:tc>
        <w:tc>
          <w:tcPr>
            <w:tcW w:w="2721" w:type="dxa"/>
            <w:tcBorders>
              <w:top w:val="nil"/>
              <w:left w:val="nil"/>
              <w:bottom w:val="single" w:color="auto" w:sz="4" w:space="0"/>
              <w:right w:val="single" w:color="auto" w:sz="4" w:space="0"/>
            </w:tcBorders>
            <w:noWrap/>
          </w:tcPr>
          <w:p w14:paraId="050333F4">
            <w:pPr>
              <w:spacing w:after="0" w:line="259" w:lineRule="auto"/>
              <w:jc w:val="left"/>
              <w:rPr>
                <w:rFonts w:eastAsia="Times New Roman" w:cs="Tahoma"/>
                <w:color w:val="000000"/>
                <w:szCs w:val="24"/>
              </w:rPr>
            </w:pPr>
            <w:r>
              <w:t>Lamine</w:t>
            </w:r>
          </w:p>
        </w:tc>
        <w:tc>
          <w:tcPr>
            <w:tcW w:w="2268" w:type="dxa"/>
            <w:tcBorders>
              <w:top w:val="nil"/>
              <w:left w:val="nil"/>
              <w:bottom w:val="single" w:color="auto" w:sz="4" w:space="0"/>
              <w:right w:val="single" w:color="auto" w:sz="4" w:space="0"/>
            </w:tcBorders>
            <w:noWrap/>
          </w:tcPr>
          <w:p w14:paraId="66ECC5F2">
            <w:pPr>
              <w:spacing w:after="0" w:line="259" w:lineRule="auto"/>
              <w:jc w:val="left"/>
              <w:rPr>
                <w:rFonts w:eastAsia="Times New Roman" w:cs="Tahoma"/>
                <w:color w:val="000000"/>
                <w:szCs w:val="24"/>
              </w:rPr>
            </w:pPr>
            <w:r>
              <w:t>FALL</w:t>
            </w:r>
          </w:p>
        </w:tc>
        <w:tc>
          <w:tcPr>
            <w:tcW w:w="4678" w:type="dxa"/>
            <w:tcBorders>
              <w:top w:val="nil"/>
              <w:left w:val="nil"/>
              <w:bottom w:val="single" w:color="auto" w:sz="4" w:space="0"/>
              <w:right w:val="single" w:color="auto" w:sz="4" w:space="0"/>
            </w:tcBorders>
            <w:noWrap/>
          </w:tcPr>
          <w:p w14:paraId="2472B87F">
            <w:pPr>
              <w:spacing w:after="0" w:line="259" w:lineRule="auto"/>
              <w:jc w:val="left"/>
              <w:rPr>
                <w:rFonts w:eastAsia="Times New Roman" w:cs="Tahoma"/>
                <w:color w:val="000000"/>
                <w:szCs w:val="24"/>
              </w:rPr>
            </w:pPr>
            <w:r>
              <w:t>MASAE/DSV/BCRNE</w:t>
            </w:r>
          </w:p>
        </w:tc>
      </w:tr>
    </w:tbl>
    <w:p w14:paraId="76B3372A">
      <w:pPr>
        <w:spacing w:line="259" w:lineRule="auto"/>
        <w:rPr>
          <w:rFonts w:cs="Tahoma"/>
          <w:szCs w:val="24"/>
        </w:rPr>
      </w:pPr>
    </w:p>
    <w:sectPr>
      <w:headerReference r:id="rId7" w:type="first"/>
      <w:footerReference r:id="rId10" w:type="first"/>
      <w:headerReference r:id="rId5" w:type="default"/>
      <w:footerReference r:id="rId8" w:type="default"/>
      <w:headerReference r:id="rId6" w:type="even"/>
      <w:footerReference r:id="rId9" w:type="even"/>
      <w:pgSz w:w="11906" w:h="16838"/>
      <w:pgMar w:top="851" w:right="709" w:bottom="851" w:left="567"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64999403"/>
      <w:docPartObj>
        <w:docPartGallery w:val="AutoText"/>
      </w:docPartObj>
    </w:sdtPr>
    <w:sdtContent>
      <w:p w14:paraId="1A496A1B">
        <w:pPr>
          <w:pStyle w:val="11"/>
        </w:pPr>
        <w:r>
          <mc:AlternateContent>
            <mc:Choice Requires="wps">
              <w:drawing>
                <wp:anchor distT="0" distB="0" distL="114300" distR="114300" simplePos="0" relativeHeight="251659264" behindDoc="0" locked="0" layoutInCell="0" allowOverlap="1">
                  <wp:simplePos x="0" y="0"/>
                  <wp:positionH relativeFrom="rightMargin">
                    <wp:align>left</wp:align>
                  </wp:positionH>
                  <mc:AlternateContent>
                    <mc:Choice Requires="wp14">
                      <wp:positionV relativeFrom="bottomMargin">
                        <wp14:pctPosVOffset>7000</wp14:pctPosVOffset>
                      </wp:positionV>
                    </mc:Choice>
                    <mc:Fallback>
                      <wp:positionV relativeFrom="page">
                        <wp:posOffset>10101580</wp:posOffset>
                      </wp:positionV>
                    </mc:Fallback>
                  </mc:AlternateContent>
                  <wp:extent cx="368300" cy="274320"/>
                  <wp:effectExtent l="0" t="0" r="12700" b="11430"/>
                  <wp:wrapNone/>
                  <wp:docPr id="1" name="Carré corné 2"/>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ln>
                        </wps:spPr>
                        <wps:txbx>
                          <w:txbxContent>
                            <w:p w14:paraId="50EE341E">
                              <w:pPr>
                                <w:jc w:val="center"/>
                              </w:pPr>
                              <w:r>
                                <w:rPr>
                                  <w:sz w:val="22"/>
                                </w:rPr>
                                <w:fldChar w:fldCharType="begin"/>
                              </w:r>
                              <w:r>
                                <w:instrText xml:space="preserve">PAGE    \* MERGEFORMAT</w:instrText>
                              </w:r>
                              <w:r>
                                <w:rPr>
                                  <w:sz w:val="22"/>
                                </w:rPr>
                                <w:fldChar w:fldCharType="separate"/>
                              </w:r>
                              <w:r>
                                <w:rPr>
                                  <w:sz w:val="16"/>
                                  <w:szCs w:val="16"/>
                                </w:rPr>
                                <w:t>4</w:t>
                              </w:r>
                              <w:r>
                                <w:rPr>
                                  <w:sz w:val="16"/>
                                  <w:szCs w:val="16"/>
                                </w:rPr>
                                <w:fldChar w:fldCharType="end"/>
                              </w:r>
                            </w:p>
                          </w:txbxContent>
                        </wps:txbx>
                        <wps:bodyPr rot="0" vert="horz" wrap="square" lIns="91440" tIns="45720" rIns="91440" bIns="45720" anchor="t" anchorCtr="0" upright="1">
                          <a:noAutofit/>
                        </wps:bodyPr>
                      </wps:wsp>
                    </a:graphicData>
                  </a:graphic>
                </wp:anchor>
              </w:drawing>
            </mc:Choice>
            <mc:Fallback>
              <w:pict>
                <v:shape id="Carré corné 2" o:spid="_x0000_s1026" o:spt="65" type="#_x0000_t65" style="position:absolute;left:0pt;margin-left:559.85pt;margin-top:795.4pt;height:21.6pt;width:29pt;mso-position-horizontal-relative:page;mso-position-vertical-relative:page;z-index:251659264;mso-width-relative:page;mso-height-relative:page;" fillcolor="#FFFFFF" filled="t" stroked="t" coordsize="21600,21600" o:allowincell="f" o:gfxdata="UEsDBAoAAAAAAIdO4kAAAAAAAAAAAAAAAAAEAAAAZHJzL1BLAwQUAAAACACHTuJAiIAe29MAAAAD&#10;AQAADwAAAGRycy9kb3ducmV2LnhtbE2PwU7DMBBE70j8g7VIXBB1mkJpQzY9ICGOiII4u/GSpMTr&#10;YLtp6dez9AKXkUazmnlbrg6uVyOF2HlGmE4yUMS1tx03CG+vj9cLUDEZtqb3TAjfFGFVnZ+VprB+&#10;zy80rlOjpIRjYRDalIZC61i35Eyc+IFYsg8fnEliQ6NtMHspd73Os2yunelYFloz0ENL9ed65xD0&#10;sB239dMyf/dXX8+z+THo5fEO8fJimt2DSnRIf8fwiy/oUAnTxu/YRtUjyCPppJLdLsRtEG5mOeiq&#10;1P/Zqx9QSwMEFAAAAAgAh07iQDyjSo9MAgAApwQAAA4AAABkcnMvZTJvRG9jLnhtbK1U224TMRB9&#10;R+IfLL/Tza1tWGVTVYmKkApUKnyAY3uzBq/HjJ1syh/xHfwYY++mpIWHPpBIG8+OfWbOOeMsrg6t&#10;ZXuNwYCr+PhsxJl2EpRx24p/+XzzZs5ZiMIpYcHpij/owK+Wr18tOl/qCTRglUZGIC6Una94E6Mv&#10;iyLIRrcinIHXjpI1YCsihbgtFIqO0FtbTEaji6IDVB5B6hDo7bpP8gERXwIIdW2kXoPctdrFHhW1&#10;FZEohcb4wJe527rWMn6q66AjsxUnpjE/qQitN+lZLBei3KLwjZFDC+IlLTzj1ArjqOgj1FpEwXZo&#10;/oJqjUQIUMczCW3RE8mKEIvx6Jk2943wOnMhqYN/FD38P1j5cX+HzCiaBM6caMnwlUD89ZNJQEc/&#10;kyRR50NJO+/9HSaSwd+C/BaYg1Uj3FZfI0LXaKGosXHaXzw5kIJAR9mm+wCKKohdhKzWocY2AZIO&#10;7JBNeXg0RR8ik/RyejGfjsguSanJ5Ww6yaYVojwe9hjiOw0tS4uK12lA1Yq615iLiP1tiNkbNTAU&#10;6itndWvJ6b2wbDo7vziCDpsJ/gibCYM16sZYmwPcblYWGR2t+E3+ZM6ky+k261hH3Y8vz3MXT3Lh&#10;FGI+St9/QSDsnEpyitK6QdUkZG9IPGwOgzcbUA+kL0I/33S7adEA/uCso9muePi+E6g5s+8defR2&#10;PJuly5CD2fklScrwNLM5zQgnCarikbN+uYr9Bdp5NNuGKo0zQwfX5Gtt4nEA+q6Gvml+M5HhrqUL&#10;chrnXX/+X5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IiAHtvTAAAAAwEAAA8AAAAAAAAAAQAg&#10;AAAAIgAAAGRycy9kb3ducmV2LnhtbFBLAQIUABQAAAAIAIdO4kA8o0qPTAIAAKcEAAAOAAAAAAAA&#10;AAEAIAAAACIBAABkcnMvZTJvRG9jLnhtbFBLBQYAAAAABgAGAFkBAADgBQAAAAA=&#10;" adj="14135">
                  <v:fill on="t" focussize="0,0"/>
                  <v:stroke weight="0.25pt" color="#808080" joinstyle="round"/>
                  <v:imagedata o:title=""/>
                  <o:lock v:ext="edit" aspectratio="f"/>
                  <v:textbox>
                    <w:txbxContent>
                      <w:p w14:paraId="50EE341E">
                        <w:pPr>
                          <w:jc w:val="center"/>
                        </w:pPr>
                        <w:r>
                          <w:rPr>
                            <w:sz w:val="22"/>
                          </w:rPr>
                          <w:fldChar w:fldCharType="begin"/>
                        </w:r>
                        <w:r>
                          <w:instrText xml:space="preserve">PAGE    \* MERGEFORMAT</w:instrText>
                        </w:r>
                        <w:r>
                          <w:rPr>
                            <w:sz w:val="22"/>
                          </w:rPr>
                          <w:fldChar w:fldCharType="separate"/>
                        </w:r>
                        <w:r>
                          <w:rPr>
                            <w:sz w:val="16"/>
                            <w:szCs w:val="16"/>
                          </w:rPr>
                          <w:t>4</w:t>
                        </w:r>
                        <w:r>
                          <w:rPr>
                            <w:sz w:val="16"/>
                            <w:szCs w:val="16"/>
                          </w:rPr>
                          <w:fldChar w:fldCharType="end"/>
                        </w:r>
                      </w:p>
                    </w:txbxContent>
                  </v:textbox>
                </v:shape>
              </w:pict>
            </mc:Fallback>
          </mc:AlternateConten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AEE567">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8227CF">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78D72">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D423C">
    <w:pPr>
      <w:pStyle w:val="1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B0AB2">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026613"/>
    <w:multiLevelType w:val="multilevel"/>
    <w:tmpl w:val="25026613"/>
    <w:lvl w:ilvl="0" w:tentative="0">
      <w:start w:val="10"/>
      <w:numFmt w:val="bullet"/>
      <w:lvlText w:val="-"/>
      <w:lvlJc w:val="left"/>
      <w:pPr>
        <w:ind w:left="720" w:hanging="360"/>
      </w:pPr>
      <w:rPr>
        <w:rFonts w:hint="default" w:ascii="Tahoma" w:hAnsi="Tahoma" w:eastAsia="Tahoma" w:cs="Tahom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C3D1409"/>
    <w:multiLevelType w:val="multilevel"/>
    <w:tmpl w:val="4C3D140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7416514D"/>
    <w:multiLevelType w:val="multilevel"/>
    <w:tmpl w:val="7416514D"/>
    <w:lvl w:ilvl="0" w:tentative="0">
      <w:start w:val="1"/>
      <w:numFmt w:val="decimal"/>
      <w:lvlText w:val="%1."/>
      <w:lvlJc w:val="left"/>
      <w:pPr>
        <w:ind w:left="-762" w:hanging="360"/>
      </w:pPr>
      <w:rPr>
        <w:rFonts w:hint="default"/>
      </w:rPr>
    </w:lvl>
    <w:lvl w:ilvl="1" w:tentative="0">
      <w:start w:val="1"/>
      <w:numFmt w:val="lowerLetter"/>
      <w:lvlText w:val="%2."/>
      <w:lvlJc w:val="left"/>
      <w:pPr>
        <w:ind w:left="-42" w:hanging="360"/>
      </w:pPr>
    </w:lvl>
    <w:lvl w:ilvl="2" w:tentative="0">
      <w:start w:val="1"/>
      <w:numFmt w:val="lowerRoman"/>
      <w:lvlText w:val="%3."/>
      <w:lvlJc w:val="right"/>
      <w:pPr>
        <w:ind w:left="678" w:hanging="180"/>
      </w:pPr>
    </w:lvl>
    <w:lvl w:ilvl="3" w:tentative="0">
      <w:start w:val="1"/>
      <w:numFmt w:val="decimal"/>
      <w:lvlText w:val="%4."/>
      <w:lvlJc w:val="left"/>
      <w:pPr>
        <w:ind w:left="1398" w:hanging="360"/>
      </w:pPr>
    </w:lvl>
    <w:lvl w:ilvl="4" w:tentative="0">
      <w:start w:val="1"/>
      <w:numFmt w:val="lowerLetter"/>
      <w:lvlText w:val="%5."/>
      <w:lvlJc w:val="left"/>
      <w:pPr>
        <w:ind w:left="2118" w:hanging="360"/>
      </w:pPr>
    </w:lvl>
    <w:lvl w:ilvl="5" w:tentative="0">
      <w:start w:val="1"/>
      <w:numFmt w:val="lowerRoman"/>
      <w:lvlText w:val="%6."/>
      <w:lvlJc w:val="right"/>
      <w:pPr>
        <w:ind w:left="2838" w:hanging="180"/>
      </w:pPr>
    </w:lvl>
    <w:lvl w:ilvl="6" w:tentative="0">
      <w:start w:val="1"/>
      <w:numFmt w:val="decimal"/>
      <w:lvlText w:val="%7."/>
      <w:lvlJc w:val="left"/>
      <w:pPr>
        <w:ind w:left="3558" w:hanging="360"/>
      </w:pPr>
    </w:lvl>
    <w:lvl w:ilvl="7" w:tentative="0">
      <w:start w:val="1"/>
      <w:numFmt w:val="lowerLetter"/>
      <w:lvlText w:val="%8."/>
      <w:lvlJc w:val="left"/>
      <w:pPr>
        <w:ind w:left="4278" w:hanging="360"/>
      </w:pPr>
    </w:lvl>
    <w:lvl w:ilvl="8" w:tentative="0">
      <w:start w:val="1"/>
      <w:numFmt w:val="lowerRoman"/>
      <w:lvlText w:val="%9."/>
      <w:lvlJc w:val="right"/>
      <w:pPr>
        <w:ind w:left="4998"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967"/>
    <w:rsid w:val="00000325"/>
    <w:rsid w:val="000012ED"/>
    <w:rsid w:val="00007136"/>
    <w:rsid w:val="00007A15"/>
    <w:rsid w:val="00011CAD"/>
    <w:rsid w:val="00013C00"/>
    <w:rsid w:val="00013CCF"/>
    <w:rsid w:val="0001546F"/>
    <w:rsid w:val="00015D5A"/>
    <w:rsid w:val="00016829"/>
    <w:rsid w:val="00016E5F"/>
    <w:rsid w:val="00017888"/>
    <w:rsid w:val="0001798C"/>
    <w:rsid w:val="00017D70"/>
    <w:rsid w:val="00020D6D"/>
    <w:rsid w:val="000220D9"/>
    <w:rsid w:val="00022A02"/>
    <w:rsid w:val="00023A6F"/>
    <w:rsid w:val="0002444A"/>
    <w:rsid w:val="00025933"/>
    <w:rsid w:val="00025B0C"/>
    <w:rsid w:val="000267C5"/>
    <w:rsid w:val="00026AEA"/>
    <w:rsid w:val="00030572"/>
    <w:rsid w:val="00030596"/>
    <w:rsid w:val="000311F5"/>
    <w:rsid w:val="00031556"/>
    <w:rsid w:val="00034479"/>
    <w:rsid w:val="000351A2"/>
    <w:rsid w:val="00036F84"/>
    <w:rsid w:val="00041BE0"/>
    <w:rsid w:val="00041DC9"/>
    <w:rsid w:val="00042063"/>
    <w:rsid w:val="00045161"/>
    <w:rsid w:val="00047107"/>
    <w:rsid w:val="00051A2A"/>
    <w:rsid w:val="00051B5B"/>
    <w:rsid w:val="00053D94"/>
    <w:rsid w:val="0005413E"/>
    <w:rsid w:val="0005676C"/>
    <w:rsid w:val="00057CBF"/>
    <w:rsid w:val="000621EC"/>
    <w:rsid w:val="00062F1A"/>
    <w:rsid w:val="0006377D"/>
    <w:rsid w:val="000641B8"/>
    <w:rsid w:val="00066B51"/>
    <w:rsid w:val="00070DC2"/>
    <w:rsid w:val="00071470"/>
    <w:rsid w:val="00071C38"/>
    <w:rsid w:val="00073248"/>
    <w:rsid w:val="000739B8"/>
    <w:rsid w:val="00073DEC"/>
    <w:rsid w:val="000742CB"/>
    <w:rsid w:val="00075277"/>
    <w:rsid w:val="00077B7B"/>
    <w:rsid w:val="00080659"/>
    <w:rsid w:val="00081DE8"/>
    <w:rsid w:val="00081F24"/>
    <w:rsid w:val="00083078"/>
    <w:rsid w:val="0008358B"/>
    <w:rsid w:val="0008381A"/>
    <w:rsid w:val="00085888"/>
    <w:rsid w:val="00085F88"/>
    <w:rsid w:val="00090422"/>
    <w:rsid w:val="000904C6"/>
    <w:rsid w:val="00090F4A"/>
    <w:rsid w:val="00094474"/>
    <w:rsid w:val="000949CE"/>
    <w:rsid w:val="000A014C"/>
    <w:rsid w:val="000A13E7"/>
    <w:rsid w:val="000A173A"/>
    <w:rsid w:val="000A1BD0"/>
    <w:rsid w:val="000A2A0C"/>
    <w:rsid w:val="000A2E1D"/>
    <w:rsid w:val="000A3590"/>
    <w:rsid w:val="000A488A"/>
    <w:rsid w:val="000A49E2"/>
    <w:rsid w:val="000A5AB5"/>
    <w:rsid w:val="000A5CEF"/>
    <w:rsid w:val="000A6C70"/>
    <w:rsid w:val="000A73D5"/>
    <w:rsid w:val="000B177A"/>
    <w:rsid w:val="000B524D"/>
    <w:rsid w:val="000B58D0"/>
    <w:rsid w:val="000B7939"/>
    <w:rsid w:val="000C33BC"/>
    <w:rsid w:val="000C3B29"/>
    <w:rsid w:val="000C671F"/>
    <w:rsid w:val="000C6F00"/>
    <w:rsid w:val="000C78EE"/>
    <w:rsid w:val="000D1775"/>
    <w:rsid w:val="000D1784"/>
    <w:rsid w:val="000D1F76"/>
    <w:rsid w:val="000D20CE"/>
    <w:rsid w:val="000D2E61"/>
    <w:rsid w:val="000D3FB7"/>
    <w:rsid w:val="000D43D9"/>
    <w:rsid w:val="000D6273"/>
    <w:rsid w:val="000E0796"/>
    <w:rsid w:val="000E0C22"/>
    <w:rsid w:val="000E172E"/>
    <w:rsid w:val="000E2077"/>
    <w:rsid w:val="000E2793"/>
    <w:rsid w:val="000E39D4"/>
    <w:rsid w:val="000E563C"/>
    <w:rsid w:val="000E651C"/>
    <w:rsid w:val="000E7E2A"/>
    <w:rsid w:val="000F225F"/>
    <w:rsid w:val="000F439A"/>
    <w:rsid w:val="000F504B"/>
    <w:rsid w:val="000F6A77"/>
    <w:rsid w:val="000F794E"/>
    <w:rsid w:val="00101CEE"/>
    <w:rsid w:val="00104532"/>
    <w:rsid w:val="00105B82"/>
    <w:rsid w:val="00106709"/>
    <w:rsid w:val="00107C7F"/>
    <w:rsid w:val="00107F9E"/>
    <w:rsid w:val="001109EC"/>
    <w:rsid w:val="00111E38"/>
    <w:rsid w:val="00113798"/>
    <w:rsid w:val="00115CA3"/>
    <w:rsid w:val="00121159"/>
    <w:rsid w:val="00121AD4"/>
    <w:rsid w:val="00123C03"/>
    <w:rsid w:val="0012465A"/>
    <w:rsid w:val="00127805"/>
    <w:rsid w:val="00127B4B"/>
    <w:rsid w:val="00136C65"/>
    <w:rsid w:val="00137053"/>
    <w:rsid w:val="00137E82"/>
    <w:rsid w:val="0014119A"/>
    <w:rsid w:val="00141580"/>
    <w:rsid w:val="001422A4"/>
    <w:rsid w:val="001434F8"/>
    <w:rsid w:val="00143CC9"/>
    <w:rsid w:val="0014471D"/>
    <w:rsid w:val="00145BCE"/>
    <w:rsid w:val="001466D5"/>
    <w:rsid w:val="0015429C"/>
    <w:rsid w:val="001550A4"/>
    <w:rsid w:val="00155139"/>
    <w:rsid w:val="00155414"/>
    <w:rsid w:val="00156B5C"/>
    <w:rsid w:val="00165309"/>
    <w:rsid w:val="00165B6A"/>
    <w:rsid w:val="00167F72"/>
    <w:rsid w:val="0017010F"/>
    <w:rsid w:val="001726E0"/>
    <w:rsid w:val="0017395C"/>
    <w:rsid w:val="00180FA5"/>
    <w:rsid w:val="001828F3"/>
    <w:rsid w:val="00184E46"/>
    <w:rsid w:val="00185690"/>
    <w:rsid w:val="00187879"/>
    <w:rsid w:val="001916FD"/>
    <w:rsid w:val="00195EA9"/>
    <w:rsid w:val="001A2B35"/>
    <w:rsid w:val="001A349F"/>
    <w:rsid w:val="001A3DED"/>
    <w:rsid w:val="001A6818"/>
    <w:rsid w:val="001A6A56"/>
    <w:rsid w:val="001A7C55"/>
    <w:rsid w:val="001B0B25"/>
    <w:rsid w:val="001B1CB9"/>
    <w:rsid w:val="001B2A62"/>
    <w:rsid w:val="001B2F9C"/>
    <w:rsid w:val="001B3864"/>
    <w:rsid w:val="001B4F26"/>
    <w:rsid w:val="001B5DB2"/>
    <w:rsid w:val="001B5E06"/>
    <w:rsid w:val="001B68F2"/>
    <w:rsid w:val="001C04A2"/>
    <w:rsid w:val="001C1E8F"/>
    <w:rsid w:val="001C3A03"/>
    <w:rsid w:val="001C48C9"/>
    <w:rsid w:val="001C603A"/>
    <w:rsid w:val="001C6326"/>
    <w:rsid w:val="001D04D0"/>
    <w:rsid w:val="001D082A"/>
    <w:rsid w:val="001D2C96"/>
    <w:rsid w:val="001D37F8"/>
    <w:rsid w:val="001D48BA"/>
    <w:rsid w:val="001D5468"/>
    <w:rsid w:val="001D55A8"/>
    <w:rsid w:val="001D56BE"/>
    <w:rsid w:val="001D6EAD"/>
    <w:rsid w:val="001E5E72"/>
    <w:rsid w:val="001E6503"/>
    <w:rsid w:val="001F09C7"/>
    <w:rsid w:val="001F4D8B"/>
    <w:rsid w:val="002003D8"/>
    <w:rsid w:val="00204339"/>
    <w:rsid w:val="0020477E"/>
    <w:rsid w:val="00205490"/>
    <w:rsid w:val="00205582"/>
    <w:rsid w:val="00210C31"/>
    <w:rsid w:val="00211A16"/>
    <w:rsid w:val="002138D1"/>
    <w:rsid w:val="002150CA"/>
    <w:rsid w:val="0021543B"/>
    <w:rsid w:val="00215ED9"/>
    <w:rsid w:val="00216808"/>
    <w:rsid w:val="00221980"/>
    <w:rsid w:val="00223675"/>
    <w:rsid w:val="00224050"/>
    <w:rsid w:val="0022457F"/>
    <w:rsid w:val="00224733"/>
    <w:rsid w:val="00225084"/>
    <w:rsid w:val="002263AC"/>
    <w:rsid w:val="002273A7"/>
    <w:rsid w:val="00230397"/>
    <w:rsid w:val="00230D5C"/>
    <w:rsid w:val="002339C9"/>
    <w:rsid w:val="00233DB0"/>
    <w:rsid w:val="00234C57"/>
    <w:rsid w:val="00235FF4"/>
    <w:rsid w:val="00237135"/>
    <w:rsid w:val="00237353"/>
    <w:rsid w:val="00237A23"/>
    <w:rsid w:val="00242034"/>
    <w:rsid w:val="00242B5B"/>
    <w:rsid w:val="0024388E"/>
    <w:rsid w:val="00247283"/>
    <w:rsid w:val="00250494"/>
    <w:rsid w:val="00251452"/>
    <w:rsid w:val="00251F41"/>
    <w:rsid w:val="00252D63"/>
    <w:rsid w:val="002536A5"/>
    <w:rsid w:val="00253E25"/>
    <w:rsid w:val="002543C5"/>
    <w:rsid w:val="0025627E"/>
    <w:rsid w:val="00260238"/>
    <w:rsid w:val="00260907"/>
    <w:rsid w:val="00260D6C"/>
    <w:rsid w:val="00262965"/>
    <w:rsid w:val="00265418"/>
    <w:rsid w:val="00266E23"/>
    <w:rsid w:val="00267FAB"/>
    <w:rsid w:val="00270FF6"/>
    <w:rsid w:val="00271704"/>
    <w:rsid w:val="002726FC"/>
    <w:rsid w:val="0027454E"/>
    <w:rsid w:val="00275030"/>
    <w:rsid w:val="002754C4"/>
    <w:rsid w:val="002769F2"/>
    <w:rsid w:val="00276FE7"/>
    <w:rsid w:val="00277571"/>
    <w:rsid w:val="002814D6"/>
    <w:rsid w:val="00281ED4"/>
    <w:rsid w:val="002820F7"/>
    <w:rsid w:val="002822D8"/>
    <w:rsid w:val="00282359"/>
    <w:rsid w:val="00285D8A"/>
    <w:rsid w:val="00287201"/>
    <w:rsid w:val="00287F7D"/>
    <w:rsid w:val="0029098B"/>
    <w:rsid w:val="00291958"/>
    <w:rsid w:val="00292DDF"/>
    <w:rsid w:val="002942E0"/>
    <w:rsid w:val="00295048"/>
    <w:rsid w:val="00295E72"/>
    <w:rsid w:val="0029735B"/>
    <w:rsid w:val="002974DA"/>
    <w:rsid w:val="00297A25"/>
    <w:rsid w:val="002A0572"/>
    <w:rsid w:val="002A15C0"/>
    <w:rsid w:val="002A1673"/>
    <w:rsid w:val="002A18ED"/>
    <w:rsid w:val="002A2964"/>
    <w:rsid w:val="002A343D"/>
    <w:rsid w:val="002A4503"/>
    <w:rsid w:val="002A588D"/>
    <w:rsid w:val="002A6361"/>
    <w:rsid w:val="002A7967"/>
    <w:rsid w:val="002B289A"/>
    <w:rsid w:val="002B40B1"/>
    <w:rsid w:val="002B47B0"/>
    <w:rsid w:val="002B65B8"/>
    <w:rsid w:val="002B67C5"/>
    <w:rsid w:val="002B6DA5"/>
    <w:rsid w:val="002B739A"/>
    <w:rsid w:val="002C01F0"/>
    <w:rsid w:val="002C0326"/>
    <w:rsid w:val="002C1DED"/>
    <w:rsid w:val="002C21AC"/>
    <w:rsid w:val="002C51B7"/>
    <w:rsid w:val="002C6061"/>
    <w:rsid w:val="002C68BA"/>
    <w:rsid w:val="002C6D5B"/>
    <w:rsid w:val="002C7027"/>
    <w:rsid w:val="002C732B"/>
    <w:rsid w:val="002C740D"/>
    <w:rsid w:val="002D0D50"/>
    <w:rsid w:val="002D18E5"/>
    <w:rsid w:val="002D1EC2"/>
    <w:rsid w:val="002D210C"/>
    <w:rsid w:val="002D2D2C"/>
    <w:rsid w:val="002D30F5"/>
    <w:rsid w:val="002E0B24"/>
    <w:rsid w:val="002E1587"/>
    <w:rsid w:val="002E182D"/>
    <w:rsid w:val="002E1D11"/>
    <w:rsid w:val="002E3E76"/>
    <w:rsid w:val="002E4EDA"/>
    <w:rsid w:val="002E5778"/>
    <w:rsid w:val="002E7B9E"/>
    <w:rsid w:val="002F1CA0"/>
    <w:rsid w:val="002F5296"/>
    <w:rsid w:val="002F62F3"/>
    <w:rsid w:val="00300BDC"/>
    <w:rsid w:val="00303B96"/>
    <w:rsid w:val="00304A97"/>
    <w:rsid w:val="003073F5"/>
    <w:rsid w:val="00310745"/>
    <w:rsid w:val="00310D6D"/>
    <w:rsid w:val="00310EA0"/>
    <w:rsid w:val="00312894"/>
    <w:rsid w:val="00313327"/>
    <w:rsid w:val="00313BEF"/>
    <w:rsid w:val="003155DA"/>
    <w:rsid w:val="00315AB0"/>
    <w:rsid w:val="003171AD"/>
    <w:rsid w:val="0031759D"/>
    <w:rsid w:val="00317DC4"/>
    <w:rsid w:val="00320CB7"/>
    <w:rsid w:val="0032156B"/>
    <w:rsid w:val="0032283D"/>
    <w:rsid w:val="00322BCA"/>
    <w:rsid w:val="00322ED7"/>
    <w:rsid w:val="003236EF"/>
    <w:rsid w:val="0032521E"/>
    <w:rsid w:val="00330160"/>
    <w:rsid w:val="0034193B"/>
    <w:rsid w:val="00342345"/>
    <w:rsid w:val="00342857"/>
    <w:rsid w:val="0034366B"/>
    <w:rsid w:val="00344243"/>
    <w:rsid w:val="003449E3"/>
    <w:rsid w:val="00344B05"/>
    <w:rsid w:val="00344D02"/>
    <w:rsid w:val="003455FC"/>
    <w:rsid w:val="0034734B"/>
    <w:rsid w:val="00350CD4"/>
    <w:rsid w:val="00351E60"/>
    <w:rsid w:val="00352E32"/>
    <w:rsid w:val="003551FF"/>
    <w:rsid w:val="00355DD6"/>
    <w:rsid w:val="00355E56"/>
    <w:rsid w:val="00357A9E"/>
    <w:rsid w:val="00360F93"/>
    <w:rsid w:val="00362520"/>
    <w:rsid w:val="00363560"/>
    <w:rsid w:val="00364183"/>
    <w:rsid w:val="0036421F"/>
    <w:rsid w:val="0036610C"/>
    <w:rsid w:val="003665E6"/>
    <w:rsid w:val="00367813"/>
    <w:rsid w:val="00367DE7"/>
    <w:rsid w:val="00372C2E"/>
    <w:rsid w:val="003739F3"/>
    <w:rsid w:val="00374766"/>
    <w:rsid w:val="00374829"/>
    <w:rsid w:val="00381942"/>
    <w:rsid w:val="00382ACB"/>
    <w:rsid w:val="00382BB8"/>
    <w:rsid w:val="003832D6"/>
    <w:rsid w:val="0038342C"/>
    <w:rsid w:val="00384399"/>
    <w:rsid w:val="00384F15"/>
    <w:rsid w:val="0038618D"/>
    <w:rsid w:val="00386950"/>
    <w:rsid w:val="00386D83"/>
    <w:rsid w:val="003926BC"/>
    <w:rsid w:val="0039416D"/>
    <w:rsid w:val="00396918"/>
    <w:rsid w:val="00397928"/>
    <w:rsid w:val="003A007B"/>
    <w:rsid w:val="003A04F1"/>
    <w:rsid w:val="003A1C38"/>
    <w:rsid w:val="003A4548"/>
    <w:rsid w:val="003A4A9F"/>
    <w:rsid w:val="003A5371"/>
    <w:rsid w:val="003A7A64"/>
    <w:rsid w:val="003B0DAB"/>
    <w:rsid w:val="003B1AEA"/>
    <w:rsid w:val="003B2024"/>
    <w:rsid w:val="003B35E9"/>
    <w:rsid w:val="003B3786"/>
    <w:rsid w:val="003B462C"/>
    <w:rsid w:val="003B57A0"/>
    <w:rsid w:val="003B77B1"/>
    <w:rsid w:val="003C3677"/>
    <w:rsid w:val="003C5566"/>
    <w:rsid w:val="003C5604"/>
    <w:rsid w:val="003C5D7B"/>
    <w:rsid w:val="003C70F0"/>
    <w:rsid w:val="003C7C8D"/>
    <w:rsid w:val="003D1BA1"/>
    <w:rsid w:val="003D1FA2"/>
    <w:rsid w:val="003D297A"/>
    <w:rsid w:val="003D5408"/>
    <w:rsid w:val="003D54F0"/>
    <w:rsid w:val="003D7145"/>
    <w:rsid w:val="003E0B0A"/>
    <w:rsid w:val="003E0ED2"/>
    <w:rsid w:val="003E0EF1"/>
    <w:rsid w:val="003E0F04"/>
    <w:rsid w:val="003E3715"/>
    <w:rsid w:val="003E3A0D"/>
    <w:rsid w:val="003E3BE0"/>
    <w:rsid w:val="003E4867"/>
    <w:rsid w:val="003E4A4F"/>
    <w:rsid w:val="003E56BD"/>
    <w:rsid w:val="003E5EF5"/>
    <w:rsid w:val="003E71E9"/>
    <w:rsid w:val="003F12FB"/>
    <w:rsid w:val="003F1372"/>
    <w:rsid w:val="003F1B90"/>
    <w:rsid w:val="003F5759"/>
    <w:rsid w:val="003F5889"/>
    <w:rsid w:val="003F66D8"/>
    <w:rsid w:val="003F7385"/>
    <w:rsid w:val="00400734"/>
    <w:rsid w:val="0040128D"/>
    <w:rsid w:val="004021DF"/>
    <w:rsid w:val="00402226"/>
    <w:rsid w:val="00402715"/>
    <w:rsid w:val="0040781F"/>
    <w:rsid w:val="00410766"/>
    <w:rsid w:val="00410AD6"/>
    <w:rsid w:val="00410C83"/>
    <w:rsid w:val="00410D99"/>
    <w:rsid w:val="00410DB7"/>
    <w:rsid w:val="004115A3"/>
    <w:rsid w:val="0041326B"/>
    <w:rsid w:val="004137C5"/>
    <w:rsid w:val="00414EEB"/>
    <w:rsid w:val="00415250"/>
    <w:rsid w:val="00416866"/>
    <w:rsid w:val="00416C51"/>
    <w:rsid w:val="00417073"/>
    <w:rsid w:val="00417410"/>
    <w:rsid w:val="004177B5"/>
    <w:rsid w:val="00420153"/>
    <w:rsid w:val="004207EA"/>
    <w:rsid w:val="00420AB5"/>
    <w:rsid w:val="00420B6F"/>
    <w:rsid w:val="00422556"/>
    <w:rsid w:val="004230F7"/>
    <w:rsid w:val="004238E2"/>
    <w:rsid w:val="004238FF"/>
    <w:rsid w:val="0042485B"/>
    <w:rsid w:val="0042563A"/>
    <w:rsid w:val="00427A31"/>
    <w:rsid w:val="00430583"/>
    <w:rsid w:val="00433B85"/>
    <w:rsid w:val="004354D8"/>
    <w:rsid w:val="004370DF"/>
    <w:rsid w:val="0044216C"/>
    <w:rsid w:val="00444E40"/>
    <w:rsid w:val="004455A0"/>
    <w:rsid w:val="00445BDB"/>
    <w:rsid w:val="00446F96"/>
    <w:rsid w:val="00447B35"/>
    <w:rsid w:val="004504CC"/>
    <w:rsid w:val="00450EDA"/>
    <w:rsid w:val="00451604"/>
    <w:rsid w:val="00452C94"/>
    <w:rsid w:val="00453043"/>
    <w:rsid w:val="00453190"/>
    <w:rsid w:val="00453A80"/>
    <w:rsid w:val="00455B01"/>
    <w:rsid w:val="00455B75"/>
    <w:rsid w:val="00455E83"/>
    <w:rsid w:val="00467009"/>
    <w:rsid w:val="00467EE7"/>
    <w:rsid w:val="0047093E"/>
    <w:rsid w:val="00471252"/>
    <w:rsid w:val="004722D1"/>
    <w:rsid w:val="0047306B"/>
    <w:rsid w:val="00477084"/>
    <w:rsid w:val="00477547"/>
    <w:rsid w:val="004806B7"/>
    <w:rsid w:val="00485029"/>
    <w:rsid w:val="004874C3"/>
    <w:rsid w:val="00487B40"/>
    <w:rsid w:val="004928A8"/>
    <w:rsid w:val="00493DB9"/>
    <w:rsid w:val="00496B0E"/>
    <w:rsid w:val="0049725E"/>
    <w:rsid w:val="00497C30"/>
    <w:rsid w:val="004A4EED"/>
    <w:rsid w:val="004A6F3E"/>
    <w:rsid w:val="004B0082"/>
    <w:rsid w:val="004B026A"/>
    <w:rsid w:val="004B10DC"/>
    <w:rsid w:val="004B1D6D"/>
    <w:rsid w:val="004B2B68"/>
    <w:rsid w:val="004B580A"/>
    <w:rsid w:val="004B5849"/>
    <w:rsid w:val="004B6B6B"/>
    <w:rsid w:val="004B7ED3"/>
    <w:rsid w:val="004C2AF9"/>
    <w:rsid w:val="004C3581"/>
    <w:rsid w:val="004C6817"/>
    <w:rsid w:val="004C7644"/>
    <w:rsid w:val="004D1BEC"/>
    <w:rsid w:val="004D3458"/>
    <w:rsid w:val="004D3580"/>
    <w:rsid w:val="004D66A4"/>
    <w:rsid w:val="004D7205"/>
    <w:rsid w:val="004E06B9"/>
    <w:rsid w:val="004E308A"/>
    <w:rsid w:val="004E31E2"/>
    <w:rsid w:val="004E55F8"/>
    <w:rsid w:val="004E5600"/>
    <w:rsid w:val="004E5FCC"/>
    <w:rsid w:val="004E615C"/>
    <w:rsid w:val="004E6D91"/>
    <w:rsid w:val="004F0E3E"/>
    <w:rsid w:val="004F2324"/>
    <w:rsid w:val="004F67D7"/>
    <w:rsid w:val="004F68F2"/>
    <w:rsid w:val="004F7FEC"/>
    <w:rsid w:val="005004B4"/>
    <w:rsid w:val="00501EC6"/>
    <w:rsid w:val="00504777"/>
    <w:rsid w:val="00504A69"/>
    <w:rsid w:val="00506398"/>
    <w:rsid w:val="00506409"/>
    <w:rsid w:val="005066DF"/>
    <w:rsid w:val="005073D6"/>
    <w:rsid w:val="00507D7A"/>
    <w:rsid w:val="00511743"/>
    <w:rsid w:val="0051389D"/>
    <w:rsid w:val="0051396D"/>
    <w:rsid w:val="005164F2"/>
    <w:rsid w:val="005170F8"/>
    <w:rsid w:val="00517A98"/>
    <w:rsid w:val="00517F76"/>
    <w:rsid w:val="00520A5F"/>
    <w:rsid w:val="005219D1"/>
    <w:rsid w:val="00522DDE"/>
    <w:rsid w:val="00523ABF"/>
    <w:rsid w:val="00523BC2"/>
    <w:rsid w:val="0052408A"/>
    <w:rsid w:val="005253A2"/>
    <w:rsid w:val="00526C92"/>
    <w:rsid w:val="005276D8"/>
    <w:rsid w:val="005309C9"/>
    <w:rsid w:val="005323BE"/>
    <w:rsid w:val="0053246D"/>
    <w:rsid w:val="0053353F"/>
    <w:rsid w:val="00533A27"/>
    <w:rsid w:val="00534ACB"/>
    <w:rsid w:val="0053552E"/>
    <w:rsid w:val="005360B1"/>
    <w:rsid w:val="00537A4A"/>
    <w:rsid w:val="00540739"/>
    <w:rsid w:val="00542C57"/>
    <w:rsid w:val="00543046"/>
    <w:rsid w:val="0054527B"/>
    <w:rsid w:val="0054647A"/>
    <w:rsid w:val="005533DA"/>
    <w:rsid w:val="00556326"/>
    <w:rsid w:val="00557385"/>
    <w:rsid w:val="00560591"/>
    <w:rsid w:val="00561244"/>
    <w:rsid w:val="005634C0"/>
    <w:rsid w:val="00563DC8"/>
    <w:rsid w:val="005645D9"/>
    <w:rsid w:val="005650A8"/>
    <w:rsid w:val="005655D8"/>
    <w:rsid w:val="0056575B"/>
    <w:rsid w:val="005678E9"/>
    <w:rsid w:val="00570D75"/>
    <w:rsid w:val="00571269"/>
    <w:rsid w:val="00572A9E"/>
    <w:rsid w:val="0057347E"/>
    <w:rsid w:val="005757FC"/>
    <w:rsid w:val="0058042D"/>
    <w:rsid w:val="00580ADC"/>
    <w:rsid w:val="00583353"/>
    <w:rsid w:val="005857B1"/>
    <w:rsid w:val="0058650D"/>
    <w:rsid w:val="005875E7"/>
    <w:rsid w:val="00587D8B"/>
    <w:rsid w:val="00593630"/>
    <w:rsid w:val="00595DBC"/>
    <w:rsid w:val="005A0537"/>
    <w:rsid w:val="005A6576"/>
    <w:rsid w:val="005B032E"/>
    <w:rsid w:val="005B1634"/>
    <w:rsid w:val="005B1661"/>
    <w:rsid w:val="005B6DEE"/>
    <w:rsid w:val="005B7585"/>
    <w:rsid w:val="005B7788"/>
    <w:rsid w:val="005C3136"/>
    <w:rsid w:val="005C7680"/>
    <w:rsid w:val="005D0271"/>
    <w:rsid w:val="005D1743"/>
    <w:rsid w:val="005D1E76"/>
    <w:rsid w:val="005D30A2"/>
    <w:rsid w:val="005D3444"/>
    <w:rsid w:val="005D624A"/>
    <w:rsid w:val="005E07CB"/>
    <w:rsid w:val="005E26D7"/>
    <w:rsid w:val="005E3596"/>
    <w:rsid w:val="005E7E49"/>
    <w:rsid w:val="005E7FC0"/>
    <w:rsid w:val="005F030E"/>
    <w:rsid w:val="005F0B06"/>
    <w:rsid w:val="005F1E02"/>
    <w:rsid w:val="005F2400"/>
    <w:rsid w:val="005F5706"/>
    <w:rsid w:val="005F6D77"/>
    <w:rsid w:val="005F78D9"/>
    <w:rsid w:val="006003B7"/>
    <w:rsid w:val="00601164"/>
    <w:rsid w:val="006019AA"/>
    <w:rsid w:val="00606504"/>
    <w:rsid w:val="00606636"/>
    <w:rsid w:val="00607B8D"/>
    <w:rsid w:val="006112D9"/>
    <w:rsid w:val="00616C36"/>
    <w:rsid w:val="00616D72"/>
    <w:rsid w:val="006233D9"/>
    <w:rsid w:val="00625EE3"/>
    <w:rsid w:val="0062690D"/>
    <w:rsid w:val="00626AE5"/>
    <w:rsid w:val="00626E58"/>
    <w:rsid w:val="00627823"/>
    <w:rsid w:val="00627F29"/>
    <w:rsid w:val="0063191E"/>
    <w:rsid w:val="0063317B"/>
    <w:rsid w:val="0063344A"/>
    <w:rsid w:val="00633E5C"/>
    <w:rsid w:val="00634395"/>
    <w:rsid w:val="006355D9"/>
    <w:rsid w:val="00635E04"/>
    <w:rsid w:val="00636AAB"/>
    <w:rsid w:val="00637934"/>
    <w:rsid w:val="00637C30"/>
    <w:rsid w:val="00640776"/>
    <w:rsid w:val="006425D9"/>
    <w:rsid w:val="006455A0"/>
    <w:rsid w:val="00646549"/>
    <w:rsid w:val="00647E32"/>
    <w:rsid w:val="006515EA"/>
    <w:rsid w:val="00651E34"/>
    <w:rsid w:val="00652084"/>
    <w:rsid w:val="00655E0D"/>
    <w:rsid w:val="00657CC4"/>
    <w:rsid w:val="00665277"/>
    <w:rsid w:val="00665E0C"/>
    <w:rsid w:val="006665A3"/>
    <w:rsid w:val="00667BF2"/>
    <w:rsid w:val="00670430"/>
    <w:rsid w:val="00670A9A"/>
    <w:rsid w:val="00670D59"/>
    <w:rsid w:val="006723C6"/>
    <w:rsid w:val="00672C1D"/>
    <w:rsid w:val="0067333B"/>
    <w:rsid w:val="006736D5"/>
    <w:rsid w:val="00676ED3"/>
    <w:rsid w:val="0067FC17"/>
    <w:rsid w:val="0068072D"/>
    <w:rsid w:val="00681349"/>
    <w:rsid w:val="00681ADC"/>
    <w:rsid w:val="00683C4C"/>
    <w:rsid w:val="00686429"/>
    <w:rsid w:val="00687163"/>
    <w:rsid w:val="00687611"/>
    <w:rsid w:val="00687C80"/>
    <w:rsid w:val="0069101E"/>
    <w:rsid w:val="00691062"/>
    <w:rsid w:val="006914D4"/>
    <w:rsid w:val="006915C1"/>
    <w:rsid w:val="0069521D"/>
    <w:rsid w:val="00695447"/>
    <w:rsid w:val="006A0B1F"/>
    <w:rsid w:val="006A1736"/>
    <w:rsid w:val="006A2288"/>
    <w:rsid w:val="006A3119"/>
    <w:rsid w:val="006A4907"/>
    <w:rsid w:val="006A526C"/>
    <w:rsid w:val="006A7D95"/>
    <w:rsid w:val="006B0FE5"/>
    <w:rsid w:val="006B10F1"/>
    <w:rsid w:val="006B2AE5"/>
    <w:rsid w:val="006B4AD0"/>
    <w:rsid w:val="006B4E19"/>
    <w:rsid w:val="006B6D6A"/>
    <w:rsid w:val="006B6F7D"/>
    <w:rsid w:val="006C08AB"/>
    <w:rsid w:val="006C374C"/>
    <w:rsid w:val="006C42F8"/>
    <w:rsid w:val="006C48BB"/>
    <w:rsid w:val="006C741E"/>
    <w:rsid w:val="006C7A20"/>
    <w:rsid w:val="006C7DD0"/>
    <w:rsid w:val="006D46E8"/>
    <w:rsid w:val="006D5680"/>
    <w:rsid w:val="006D7E32"/>
    <w:rsid w:val="006E2429"/>
    <w:rsid w:val="006E6F98"/>
    <w:rsid w:val="006F2DDB"/>
    <w:rsid w:val="006F3EF6"/>
    <w:rsid w:val="006F4518"/>
    <w:rsid w:val="006F53F6"/>
    <w:rsid w:val="006F6B50"/>
    <w:rsid w:val="00700463"/>
    <w:rsid w:val="00701DB5"/>
    <w:rsid w:val="00702B12"/>
    <w:rsid w:val="007061B7"/>
    <w:rsid w:val="007062AE"/>
    <w:rsid w:val="007105D1"/>
    <w:rsid w:val="00711335"/>
    <w:rsid w:val="00711A66"/>
    <w:rsid w:val="00711B20"/>
    <w:rsid w:val="00712DC5"/>
    <w:rsid w:val="007148F1"/>
    <w:rsid w:val="00716CB9"/>
    <w:rsid w:val="00720D41"/>
    <w:rsid w:val="007215B2"/>
    <w:rsid w:val="00721B36"/>
    <w:rsid w:val="007229B5"/>
    <w:rsid w:val="00723352"/>
    <w:rsid w:val="007234A6"/>
    <w:rsid w:val="007243DF"/>
    <w:rsid w:val="0072480B"/>
    <w:rsid w:val="00725311"/>
    <w:rsid w:val="007259E9"/>
    <w:rsid w:val="00726A26"/>
    <w:rsid w:val="0072720F"/>
    <w:rsid w:val="00727419"/>
    <w:rsid w:val="00727652"/>
    <w:rsid w:val="00731EE3"/>
    <w:rsid w:val="0073218B"/>
    <w:rsid w:val="00733178"/>
    <w:rsid w:val="00734419"/>
    <w:rsid w:val="00735875"/>
    <w:rsid w:val="007362F7"/>
    <w:rsid w:val="007426AF"/>
    <w:rsid w:val="007448F0"/>
    <w:rsid w:val="00746328"/>
    <w:rsid w:val="0074679E"/>
    <w:rsid w:val="00750A1C"/>
    <w:rsid w:val="00751E0A"/>
    <w:rsid w:val="00752491"/>
    <w:rsid w:val="00752AF1"/>
    <w:rsid w:val="00753281"/>
    <w:rsid w:val="00753F0E"/>
    <w:rsid w:val="00754B78"/>
    <w:rsid w:val="0075585D"/>
    <w:rsid w:val="0075653E"/>
    <w:rsid w:val="007603CA"/>
    <w:rsid w:val="00761340"/>
    <w:rsid w:val="00761762"/>
    <w:rsid w:val="00762748"/>
    <w:rsid w:val="00763097"/>
    <w:rsid w:val="00763C56"/>
    <w:rsid w:val="00764C3C"/>
    <w:rsid w:val="007668E9"/>
    <w:rsid w:val="00767560"/>
    <w:rsid w:val="00767B5F"/>
    <w:rsid w:val="007721E4"/>
    <w:rsid w:val="0077427D"/>
    <w:rsid w:val="007752FC"/>
    <w:rsid w:val="00775DE4"/>
    <w:rsid w:val="00775DEE"/>
    <w:rsid w:val="0077716C"/>
    <w:rsid w:val="00777BF7"/>
    <w:rsid w:val="007805F5"/>
    <w:rsid w:val="00781627"/>
    <w:rsid w:val="00781920"/>
    <w:rsid w:val="00782FE8"/>
    <w:rsid w:val="007838E8"/>
    <w:rsid w:val="0078451F"/>
    <w:rsid w:val="007861F8"/>
    <w:rsid w:val="00786F3D"/>
    <w:rsid w:val="0078748A"/>
    <w:rsid w:val="00787DA4"/>
    <w:rsid w:val="00790103"/>
    <w:rsid w:val="007910FA"/>
    <w:rsid w:val="00791BF1"/>
    <w:rsid w:val="007944E7"/>
    <w:rsid w:val="00795770"/>
    <w:rsid w:val="00797A78"/>
    <w:rsid w:val="007A1923"/>
    <w:rsid w:val="007A2752"/>
    <w:rsid w:val="007A48EA"/>
    <w:rsid w:val="007A5E61"/>
    <w:rsid w:val="007B2CB9"/>
    <w:rsid w:val="007B386D"/>
    <w:rsid w:val="007B401E"/>
    <w:rsid w:val="007B410F"/>
    <w:rsid w:val="007B4657"/>
    <w:rsid w:val="007B57B9"/>
    <w:rsid w:val="007B58F5"/>
    <w:rsid w:val="007B6495"/>
    <w:rsid w:val="007B6668"/>
    <w:rsid w:val="007B73D0"/>
    <w:rsid w:val="007B7447"/>
    <w:rsid w:val="007B7A15"/>
    <w:rsid w:val="007C2AA3"/>
    <w:rsid w:val="007C463D"/>
    <w:rsid w:val="007C65D7"/>
    <w:rsid w:val="007D417C"/>
    <w:rsid w:val="007D4526"/>
    <w:rsid w:val="007D462A"/>
    <w:rsid w:val="007D72D1"/>
    <w:rsid w:val="007E2BB9"/>
    <w:rsid w:val="007E3147"/>
    <w:rsid w:val="007E6CCF"/>
    <w:rsid w:val="007E7A3C"/>
    <w:rsid w:val="007F1A5C"/>
    <w:rsid w:val="007F2915"/>
    <w:rsid w:val="007F3AD2"/>
    <w:rsid w:val="007F48D4"/>
    <w:rsid w:val="007F79BE"/>
    <w:rsid w:val="008004E2"/>
    <w:rsid w:val="00800709"/>
    <w:rsid w:val="0080138C"/>
    <w:rsid w:val="008029D9"/>
    <w:rsid w:val="0080419A"/>
    <w:rsid w:val="0080461A"/>
    <w:rsid w:val="008059EE"/>
    <w:rsid w:val="00805F11"/>
    <w:rsid w:val="00810567"/>
    <w:rsid w:val="00810793"/>
    <w:rsid w:val="00811C53"/>
    <w:rsid w:val="0081253D"/>
    <w:rsid w:val="00817866"/>
    <w:rsid w:val="008206A7"/>
    <w:rsid w:val="00823075"/>
    <w:rsid w:val="008236D8"/>
    <w:rsid w:val="00825955"/>
    <w:rsid w:val="008267AA"/>
    <w:rsid w:val="008315F0"/>
    <w:rsid w:val="00831964"/>
    <w:rsid w:val="00832E01"/>
    <w:rsid w:val="00833983"/>
    <w:rsid w:val="00834B7A"/>
    <w:rsid w:val="00834BD4"/>
    <w:rsid w:val="008362E7"/>
    <w:rsid w:val="00837868"/>
    <w:rsid w:val="008413F3"/>
    <w:rsid w:val="00842628"/>
    <w:rsid w:val="0084475C"/>
    <w:rsid w:val="008453D8"/>
    <w:rsid w:val="00850C95"/>
    <w:rsid w:val="00850EEF"/>
    <w:rsid w:val="0085104B"/>
    <w:rsid w:val="008511D8"/>
    <w:rsid w:val="008529E8"/>
    <w:rsid w:val="0085382A"/>
    <w:rsid w:val="008544D0"/>
    <w:rsid w:val="008545B0"/>
    <w:rsid w:val="008546E3"/>
    <w:rsid w:val="00854F35"/>
    <w:rsid w:val="00856E46"/>
    <w:rsid w:val="00857764"/>
    <w:rsid w:val="0086178D"/>
    <w:rsid w:val="0086275F"/>
    <w:rsid w:val="00862DED"/>
    <w:rsid w:val="00862F24"/>
    <w:rsid w:val="0086349F"/>
    <w:rsid w:val="00863895"/>
    <w:rsid w:val="00866BFF"/>
    <w:rsid w:val="008704E0"/>
    <w:rsid w:val="00870E93"/>
    <w:rsid w:val="008717C1"/>
    <w:rsid w:val="0087337E"/>
    <w:rsid w:val="008748F8"/>
    <w:rsid w:val="00876622"/>
    <w:rsid w:val="0087700C"/>
    <w:rsid w:val="00881292"/>
    <w:rsid w:val="0088170D"/>
    <w:rsid w:val="00881A5A"/>
    <w:rsid w:val="008851D8"/>
    <w:rsid w:val="008853EB"/>
    <w:rsid w:val="0088576C"/>
    <w:rsid w:val="00886077"/>
    <w:rsid w:val="00886626"/>
    <w:rsid w:val="00886A43"/>
    <w:rsid w:val="00886B8C"/>
    <w:rsid w:val="00890562"/>
    <w:rsid w:val="00890B68"/>
    <w:rsid w:val="00890D6E"/>
    <w:rsid w:val="00893A79"/>
    <w:rsid w:val="00893A87"/>
    <w:rsid w:val="00893CD8"/>
    <w:rsid w:val="008942AC"/>
    <w:rsid w:val="00894402"/>
    <w:rsid w:val="00894878"/>
    <w:rsid w:val="0089489C"/>
    <w:rsid w:val="008953FD"/>
    <w:rsid w:val="00896CF5"/>
    <w:rsid w:val="00896E0D"/>
    <w:rsid w:val="008A0286"/>
    <w:rsid w:val="008A32E6"/>
    <w:rsid w:val="008A3598"/>
    <w:rsid w:val="008A3A5C"/>
    <w:rsid w:val="008A54D6"/>
    <w:rsid w:val="008A5F29"/>
    <w:rsid w:val="008A7266"/>
    <w:rsid w:val="008A7787"/>
    <w:rsid w:val="008B06F0"/>
    <w:rsid w:val="008B402A"/>
    <w:rsid w:val="008B4A9E"/>
    <w:rsid w:val="008B5261"/>
    <w:rsid w:val="008C5C50"/>
    <w:rsid w:val="008C5CB0"/>
    <w:rsid w:val="008C6A3F"/>
    <w:rsid w:val="008D0788"/>
    <w:rsid w:val="008D0A21"/>
    <w:rsid w:val="008D11C8"/>
    <w:rsid w:val="008D137F"/>
    <w:rsid w:val="008D2F76"/>
    <w:rsid w:val="008D375D"/>
    <w:rsid w:val="008D53F5"/>
    <w:rsid w:val="008D6D23"/>
    <w:rsid w:val="008E0296"/>
    <w:rsid w:val="008E0412"/>
    <w:rsid w:val="008E0F82"/>
    <w:rsid w:val="008E1C6D"/>
    <w:rsid w:val="008F0A83"/>
    <w:rsid w:val="008F2844"/>
    <w:rsid w:val="008F2EDF"/>
    <w:rsid w:val="008F3BAA"/>
    <w:rsid w:val="008F45E9"/>
    <w:rsid w:val="008F48F1"/>
    <w:rsid w:val="008F653B"/>
    <w:rsid w:val="008F6D6B"/>
    <w:rsid w:val="008F7F90"/>
    <w:rsid w:val="00900D77"/>
    <w:rsid w:val="00901999"/>
    <w:rsid w:val="00901D32"/>
    <w:rsid w:val="0090349F"/>
    <w:rsid w:val="00905161"/>
    <w:rsid w:val="009051AE"/>
    <w:rsid w:val="009051B2"/>
    <w:rsid w:val="00905970"/>
    <w:rsid w:val="00906604"/>
    <w:rsid w:val="009100FC"/>
    <w:rsid w:val="00915494"/>
    <w:rsid w:val="009157E9"/>
    <w:rsid w:val="00915BCE"/>
    <w:rsid w:val="0091610D"/>
    <w:rsid w:val="0091671C"/>
    <w:rsid w:val="009167B9"/>
    <w:rsid w:val="00920FD3"/>
    <w:rsid w:val="00921A80"/>
    <w:rsid w:val="00922569"/>
    <w:rsid w:val="0092398D"/>
    <w:rsid w:val="00923BAF"/>
    <w:rsid w:val="009246ED"/>
    <w:rsid w:val="00925AF8"/>
    <w:rsid w:val="00925C55"/>
    <w:rsid w:val="00927B6B"/>
    <w:rsid w:val="009315A2"/>
    <w:rsid w:val="00932321"/>
    <w:rsid w:val="00932729"/>
    <w:rsid w:val="00932959"/>
    <w:rsid w:val="009330F8"/>
    <w:rsid w:val="00933574"/>
    <w:rsid w:val="0093478F"/>
    <w:rsid w:val="00934E68"/>
    <w:rsid w:val="00935CC8"/>
    <w:rsid w:val="00935F48"/>
    <w:rsid w:val="00936323"/>
    <w:rsid w:val="00936591"/>
    <w:rsid w:val="00936D68"/>
    <w:rsid w:val="009415EB"/>
    <w:rsid w:val="009423AE"/>
    <w:rsid w:val="00944401"/>
    <w:rsid w:val="00944AB0"/>
    <w:rsid w:val="00944D4E"/>
    <w:rsid w:val="009551C0"/>
    <w:rsid w:val="009551E0"/>
    <w:rsid w:val="0095672C"/>
    <w:rsid w:val="0095785E"/>
    <w:rsid w:val="00961CA8"/>
    <w:rsid w:val="0096304A"/>
    <w:rsid w:val="00963433"/>
    <w:rsid w:val="0096547B"/>
    <w:rsid w:val="00967744"/>
    <w:rsid w:val="009705D5"/>
    <w:rsid w:val="0097184B"/>
    <w:rsid w:val="0097258C"/>
    <w:rsid w:val="009819BF"/>
    <w:rsid w:val="009827B4"/>
    <w:rsid w:val="009834C3"/>
    <w:rsid w:val="00983525"/>
    <w:rsid w:val="00983773"/>
    <w:rsid w:val="009862AD"/>
    <w:rsid w:val="00987380"/>
    <w:rsid w:val="00987D70"/>
    <w:rsid w:val="0099100F"/>
    <w:rsid w:val="00992836"/>
    <w:rsid w:val="00993101"/>
    <w:rsid w:val="009948A7"/>
    <w:rsid w:val="009949E2"/>
    <w:rsid w:val="00997C72"/>
    <w:rsid w:val="00997E53"/>
    <w:rsid w:val="009A4860"/>
    <w:rsid w:val="009A4D7A"/>
    <w:rsid w:val="009A558F"/>
    <w:rsid w:val="009A67E6"/>
    <w:rsid w:val="009A70DB"/>
    <w:rsid w:val="009A7604"/>
    <w:rsid w:val="009A78CD"/>
    <w:rsid w:val="009A7D4E"/>
    <w:rsid w:val="009B3185"/>
    <w:rsid w:val="009B5C54"/>
    <w:rsid w:val="009C0AA2"/>
    <w:rsid w:val="009C1395"/>
    <w:rsid w:val="009C34EB"/>
    <w:rsid w:val="009C3B1F"/>
    <w:rsid w:val="009C3F1D"/>
    <w:rsid w:val="009C581E"/>
    <w:rsid w:val="009C5C11"/>
    <w:rsid w:val="009C5D9F"/>
    <w:rsid w:val="009C73BF"/>
    <w:rsid w:val="009C7A6C"/>
    <w:rsid w:val="009D0079"/>
    <w:rsid w:val="009D444C"/>
    <w:rsid w:val="009D5E7C"/>
    <w:rsid w:val="009D6B07"/>
    <w:rsid w:val="009D79CF"/>
    <w:rsid w:val="009D7F90"/>
    <w:rsid w:val="009E0BDB"/>
    <w:rsid w:val="009E179B"/>
    <w:rsid w:val="009E23A3"/>
    <w:rsid w:val="009E38C5"/>
    <w:rsid w:val="009E3D09"/>
    <w:rsid w:val="009E4C12"/>
    <w:rsid w:val="009E52E3"/>
    <w:rsid w:val="009E58D7"/>
    <w:rsid w:val="009E693F"/>
    <w:rsid w:val="009E6960"/>
    <w:rsid w:val="009E6D82"/>
    <w:rsid w:val="009F085E"/>
    <w:rsid w:val="009F1034"/>
    <w:rsid w:val="009F2F0A"/>
    <w:rsid w:val="009F38D1"/>
    <w:rsid w:val="009F52BC"/>
    <w:rsid w:val="009F52F0"/>
    <w:rsid w:val="009F74C6"/>
    <w:rsid w:val="009F77D8"/>
    <w:rsid w:val="00A012A3"/>
    <w:rsid w:val="00A01ADC"/>
    <w:rsid w:val="00A026E4"/>
    <w:rsid w:val="00A0506D"/>
    <w:rsid w:val="00A060D2"/>
    <w:rsid w:val="00A06616"/>
    <w:rsid w:val="00A07CFD"/>
    <w:rsid w:val="00A11D6B"/>
    <w:rsid w:val="00A132E0"/>
    <w:rsid w:val="00A144C7"/>
    <w:rsid w:val="00A1487B"/>
    <w:rsid w:val="00A15254"/>
    <w:rsid w:val="00A1571D"/>
    <w:rsid w:val="00A15C33"/>
    <w:rsid w:val="00A203C3"/>
    <w:rsid w:val="00A223E6"/>
    <w:rsid w:val="00A23887"/>
    <w:rsid w:val="00A2525A"/>
    <w:rsid w:val="00A26187"/>
    <w:rsid w:val="00A26F1E"/>
    <w:rsid w:val="00A32608"/>
    <w:rsid w:val="00A33D5F"/>
    <w:rsid w:val="00A33E4F"/>
    <w:rsid w:val="00A3433E"/>
    <w:rsid w:val="00A35F8B"/>
    <w:rsid w:val="00A36834"/>
    <w:rsid w:val="00A37D10"/>
    <w:rsid w:val="00A41A44"/>
    <w:rsid w:val="00A43A97"/>
    <w:rsid w:val="00A44C70"/>
    <w:rsid w:val="00A44F1D"/>
    <w:rsid w:val="00A460BD"/>
    <w:rsid w:val="00A472E2"/>
    <w:rsid w:val="00A47EBC"/>
    <w:rsid w:val="00A50B27"/>
    <w:rsid w:val="00A50D95"/>
    <w:rsid w:val="00A515A9"/>
    <w:rsid w:val="00A518A3"/>
    <w:rsid w:val="00A51B0A"/>
    <w:rsid w:val="00A52510"/>
    <w:rsid w:val="00A527CB"/>
    <w:rsid w:val="00A55166"/>
    <w:rsid w:val="00A55740"/>
    <w:rsid w:val="00A574C4"/>
    <w:rsid w:val="00A57984"/>
    <w:rsid w:val="00A61C36"/>
    <w:rsid w:val="00A61E60"/>
    <w:rsid w:val="00A629B5"/>
    <w:rsid w:val="00A63074"/>
    <w:rsid w:val="00A65218"/>
    <w:rsid w:val="00A66999"/>
    <w:rsid w:val="00A7033A"/>
    <w:rsid w:val="00A71861"/>
    <w:rsid w:val="00A71C0B"/>
    <w:rsid w:val="00A7393B"/>
    <w:rsid w:val="00A757CA"/>
    <w:rsid w:val="00A7595E"/>
    <w:rsid w:val="00A77983"/>
    <w:rsid w:val="00A8010F"/>
    <w:rsid w:val="00A81C91"/>
    <w:rsid w:val="00A83E3A"/>
    <w:rsid w:val="00A84E02"/>
    <w:rsid w:val="00A84E40"/>
    <w:rsid w:val="00A86194"/>
    <w:rsid w:val="00A863BF"/>
    <w:rsid w:val="00A90CDC"/>
    <w:rsid w:val="00A9158F"/>
    <w:rsid w:val="00A920C5"/>
    <w:rsid w:val="00A9485A"/>
    <w:rsid w:val="00AA05DF"/>
    <w:rsid w:val="00AA0D0E"/>
    <w:rsid w:val="00AA21EA"/>
    <w:rsid w:val="00AA23F1"/>
    <w:rsid w:val="00AA3976"/>
    <w:rsid w:val="00AA3C93"/>
    <w:rsid w:val="00AA463E"/>
    <w:rsid w:val="00AA6273"/>
    <w:rsid w:val="00AA633C"/>
    <w:rsid w:val="00AA7C69"/>
    <w:rsid w:val="00AB2F9F"/>
    <w:rsid w:val="00AB444C"/>
    <w:rsid w:val="00AB452E"/>
    <w:rsid w:val="00AB45BD"/>
    <w:rsid w:val="00AB7AEA"/>
    <w:rsid w:val="00AC0240"/>
    <w:rsid w:val="00AC112E"/>
    <w:rsid w:val="00AC1CB7"/>
    <w:rsid w:val="00AC31D4"/>
    <w:rsid w:val="00AC31E6"/>
    <w:rsid w:val="00AC3D90"/>
    <w:rsid w:val="00AC566E"/>
    <w:rsid w:val="00AC735C"/>
    <w:rsid w:val="00AD1A78"/>
    <w:rsid w:val="00AD553D"/>
    <w:rsid w:val="00AD7B16"/>
    <w:rsid w:val="00AD7D8F"/>
    <w:rsid w:val="00AE0614"/>
    <w:rsid w:val="00AE33FD"/>
    <w:rsid w:val="00AE4EEB"/>
    <w:rsid w:val="00AF0C03"/>
    <w:rsid w:val="00AF27F6"/>
    <w:rsid w:val="00AF31A6"/>
    <w:rsid w:val="00AF31AA"/>
    <w:rsid w:val="00AF4E09"/>
    <w:rsid w:val="00AF504D"/>
    <w:rsid w:val="00AF5603"/>
    <w:rsid w:val="00AF5A2D"/>
    <w:rsid w:val="00AF6A45"/>
    <w:rsid w:val="00AF6CC8"/>
    <w:rsid w:val="00B017E4"/>
    <w:rsid w:val="00B022C9"/>
    <w:rsid w:val="00B02519"/>
    <w:rsid w:val="00B03195"/>
    <w:rsid w:val="00B05902"/>
    <w:rsid w:val="00B05C1C"/>
    <w:rsid w:val="00B05C46"/>
    <w:rsid w:val="00B05EED"/>
    <w:rsid w:val="00B05F2D"/>
    <w:rsid w:val="00B07154"/>
    <w:rsid w:val="00B078B7"/>
    <w:rsid w:val="00B07F25"/>
    <w:rsid w:val="00B10DBA"/>
    <w:rsid w:val="00B125FF"/>
    <w:rsid w:val="00B1278A"/>
    <w:rsid w:val="00B12948"/>
    <w:rsid w:val="00B1300F"/>
    <w:rsid w:val="00B1416C"/>
    <w:rsid w:val="00B144B1"/>
    <w:rsid w:val="00B14BBC"/>
    <w:rsid w:val="00B151B8"/>
    <w:rsid w:val="00B152CE"/>
    <w:rsid w:val="00B16040"/>
    <w:rsid w:val="00B16D3D"/>
    <w:rsid w:val="00B17A61"/>
    <w:rsid w:val="00B2154E"/>
    <w:rsid w:val="00B23DFE"/>
    <w:rsid w:val="00B24CFE"/>
    <w:rsid w:val="00B263B2"/>
    <w:rsid w:val="00B26984"/>
    <w:rsid w:val="00B26E11"/>
    <w:rsid w:val="00B27E21"/>
    <w:rsid w:val="00B33CBF"/>
    <w:rsid w:val="00B369D3"/>
    <w:rsid w:val="00B42732"/>
    <w:rsid w:val="00B42D17"/>
    <w:rsid w:val="00B431C8"/>
    <w:rsid w:val="00B4371B"/>
    <w:rsid w:val="00B46BB1"/>
    <w:rsid w:val="00B50CEA"/>
    <w:rsid w:val="00B510C2"/>
    <w:rsid w:val="00B54C28"/>
    <w:rsid w:val="00B5536C"/>
    <w:rsid w:val="00B55E40"/>
    <w:rsid w:val="00B564D6"/>
    <w:rsid w:val="00B623C4"/>
    <w:rsid w:val="00B646E0"/>
    <w:rsid w:val="00B647A8"/>
    <w:rsid w:val="00B654A0"/>
    <w:rsid w:val="00B67ADC"/>
    <w:rsid w:val="00B718FD"/>
    <w:rsid w:val="00B71AC8"/>
    <w:rsid w:val="00B71DAE"/>
    <w:rsid w:val="00B72983"/>
    <w:rsid w:val="00B72A24"/>
    <w:rsid w:val="00B72D1D"/>
    <w:rsid w:val="00B744D2"/>
    <w:rsid w:val="00B7524F"/>
    <w:rsid w:val="00B770C3"/>
    <w:rsid w:val="00B810C5"/>
    <w:rsid w:val="00B8268D"/>
    <w:rsid w:val="00B8272D"/>
    <w:rsid w:val="00B831B7"/>
    <w:rsid w:val="00B87114"/>
    <w:rsid w:val="00B87F7F"/>
    <w:rsid w:val="00B9199D"/>
    <w:rsid w:val="00B92E1B"/>
    <w:rsid w:val="00B9424B"/>
    <w:rsid w:val="00B946A4"/>
    <w:rsid w:val="00B96A3D"/>
    <w:rsid w:val="00B96AB1"/>
    <w:rsid w:val="00B96AD9"/>
    <w:rsid w:val="00B96FDB"/>
    <w:rsid w:val="00B97520"/>
    <w:rsid w:val="00BA56F2"/>
    <w:rsid w:val="00BA5A2B"/>
    <w:rsid w:val="00BA5B51"/>
    <w:rsid w:val="00BA61BD"/>
    <w:rsid w:val="00BA6EB0"/>
    <w:rsid w:val="00BA7066"/>
    <w:rsid w:val="00BA7E5E"/>
    <w:rsid w:val="00BA7FF1"/>
    <w:rsid w:val="00BB08B2"/>
    <w:rsid w:val="00BB0BAE"/>
    <w:rsid w:val="00BB0D5A"/>
    <w:rsid w:val="00BB4033"/>
    <w:rsid w:val="00BB6F72"/>
    <w:rsid w:val="00BB7E78"/>
    <w:rsid w:val="00BC2666"/>
    <w:rsid w:val="00BC2B70"/>
    <w:rsid w:val="00BC3F6A"/>
    <w:rsid w:val="00BC4078"/>
    <w:rsid w:val="00BC43BE"/>
    <w:rsid w:val="00BC4B6E"/>
    <w:rsid w:val="00BC5118"/>
    <w:rsid w:val="00BC6AF5"/>
    <w:rsid w:val="00BC6F90"/>
    <w:rsid w:val="00BD42CE"/>
    <w:rsid w:val="00BD7454"/>
    <w:rsid w:val="00BD7F8E"/>
    <w:rsid w:val="00BE04BD"/>
    <w:rsid w:val="00BE18DE"/>
    <w:rsid w:val="00BE2EFD"/>
    <w:rsid w:val="00BE4BA6"/>
    <w:rsid w:val="00BE515E"/>
    <w:rsid w:val="00BE5E6D"/>
    <w:rsid w:val="00BE68DF"/>
    <w:rsid w:val="00BE6D83"/>
    <w:rsid w:val="00BE6D91"/>
    <w:rsid w:val="00BE6E7C"/>
    <w:rsid w:val="00BF03EA"/>
    <w:rsid w:val="00BF05D1"/>
    <w:rsid w:val="00BF16D9"/>
    <w:rsid w:val="00BF4EDA"/>
    <w:rsid w:val="00BF51E6"/>
    <w:rsid w:val="00BF5F92"/>
    <w:rsid w:val="00BF67DA"/>
    <w:rsid w:val="00C00FA4"/>
    <w:rsid w:val="00C012B1"/>
    <w:rsid w:val="00C019AE"/>
    <w:rsid w:val="00C01DF3"/>
    <w:rsid w:val="00C02BCD"/>
    <w:rsid w:val="00C03311"/>
    <w:rsid w:val="00C04193"/>
    <w:rsid w:val="00C04503"/>
    <w:rsid w:val="00C05429"/>
    <w:rsid w:val="00C058F4"/>
    <w:rsid w:val="00C058FD"/>
    <w:rsid w:val="00C105C5"/>
    <w:rsid w:val="00C10E96"/>
    <w:rsid w:val="00C11ED2"/>
    <w:rsid w:val="00C14231"/>
    <w:rsid w:val="00C14BED"/>
    <w:rsid w:val="00C1505F"/>
    <w:rsid w:val="00C200E3"/>
    <w:rsid w:val="00C21D32"/>
    <w:rsid w:val="00C240FA"/>
    <w:rsid w:val="00C24F8B"/>
    <w:rsid w:val="00C27DF8"/>
    <w:rsid w:val="00C31592"/>
    <w:rsid w:val="00C3335D"/>
    <w:rsid w:val="00C3457F"/>
    <w:rsid w:val="00C353B9"/>
    <w:rsid w:val="00C35B1D"/>
    <w:rsid w:val="00C35B9B"/>
    <w:rsid w:val="00C40691"/>
    <w:rsid w:val="00C40E6D"/>
    <w:rsid w:val="00C41FAA"/>
    <w:rsid w:val="00C44364"/>
    <w:rsid w:val="00C51E2D"/>
    <w:rsid w:val="00C55FBB"/>
    <w:rsid w:val="00C573A3"/>
    <w:rsid w:val="00C57EBF"/>
    <w:rsid w:val="00C600F7"/>
    <w:rsid w:val="00C61047"/>
    <w:rsid w:val="00C6112A"/>
    <w:rsid w:val="00C61352"/>
    <w:rsid w:val="00C63971"/>
    <w:rsid w:val="00C63FFA"/>
    <w:rsid w:val="00C6526E"/>
    <w:rsid w:val="00C7129F"/>
    <w:rsid w:val="00C727E1"/>
    <w:rsid w:val="00C72FB8"/>
    <w:rsid w:val="00C75653"/>
    <w:rsid w:val="00C80AD1"/>
    <w:rsid w:val="00C83910"/>
    <w:rsid w:val="00C8693F"/>
    <w:rsid w:val="00C87B2B"/>
    <w:rsid w:val="00C9060E"/>
    <w:rsid w:val="00C908E7"/>
    <w:rsid w:val="00C91FE2"/>
    <w:rsid w:val="00C92B79"/>
    <w:rsid w:val="00C94266"/>
    <w:rsid w:val="00C952C8"/>
    <w:rsid w:val="00C96114"/>
    <w:rsid w:val="00C9634D"/>
    <w:rsid w:val="00C97DC2"/>
    <w:rsid w:val="00CA1457"/>
    <w:rsid w:val="00CA32B3"/>
    <w:rsid w:val="00CA3577"/>
    <w:rsid w:val="00CA3D60"/>
    <w:rsid w:val="00CA5DAD"/>
    <w:rsid w:val="00CA5F17"/>
    <w:rsid w:val="00CB1542"/>
    <w:rsid w:val="00CB54D8"/>
    <w:rsid w:val="00CB75F7"/>
    <w:rsid w:val="00CC0986"/>
    <w:rsid w:val="00CC0CF9"/>
    <w:rsid w:val="00CC1302"/>
    <w:rsid w:val="00CC1CB7"/>
    <w:rsid w:val="00CC47FB"/>
    <w:rsid w:val="00CC673E"/>
    <w:rsid w:val="00CC7E7E"/>
    <w:rsid w:val="00CD005B"/>
    <w:rsid w:val="00CD0412"/>
    <w:rsid w:val="00CD04D5"/>
    <w:rsid w:val="00CD13DB"/>
    <w:rsid w:val="00CD18A6"/>
    <w:rsid w:val="00CD24CC"/>
    <w:rsid w:val="00CD2603"/>
    <w:rsid w:val="00CD2883"/>
    <w:rsid w:val="00CD31D0"/>
    <w:rsid w:val="00CD77A6"/>
    <w:rsid w:val="00CD7F25"/>
    <w:rsid w:val="00CE264E"/>
    <w:rsid w:val="00CE3277"/>
    <w:rsid w:val="00CE4014"/>
    <w:rsid w:val="00CE4921"/>
    <w:rsid w:val="00CE4C1E"/>
    <w:rsid w:val="00CE7C21"/>
    <w:rsid w:val="00CF1160"/>
    <w:rsid w:val="00CF1F37"/>
    <w:rsid w:val="00CF3F8B"/>
    <w:rsid w:val="00CF4B7E"/>
    <w:rsid w:val="00CF5737"/>
    <w:rsid w:val="00CF6167"/>
    <w:rsid w:val="00CF6236"/>
    <w:rsid w:val="00CF7715"/>
    <w:rsid w:val="00D05FB8"/>
    <w:rsid w:val="00D06E6A"/>
    <w:rsid w:val="00D07896"/>
    <w:rsid w:val="00D1102A"/>
    <w:rsid w:val="00D110DB"/>
    <w:rsid w:val="00D117A2"/>
    <w:rsid w:val="00D12204"/>
    <w:rsid w:val="00D12A41"/>
    <w:rsid w:val="00D13553"/>
    <w:rsid w:val="00D151A0"/>
    <w:rsid w:val="00D15D3B"/>
    <w:rsid w:val="00D16468"/>
    <w:rsid w:val="00D20D8E"/>
    <w:rsid w:val="00D21318"/>
    <w:rsid w:val="00D21678"/>
    <w:rsid w:val="00D21833"/>
    <w:rsid w:val="00D2372F"/>
    <w:rsid w:val="00D255EA"/>
    <w:rsid w:val="00D30574"/>
    <w:rsid w:val="00D31C5F"/>
    <w:rsid w:val="00D31CC4"/>
    <w:rsid w:val="00D3331D"/>
    <w:rsid w:val="00D338F0"/>
    <w:rsid w:val="00D33A39"/>
    <w:rsid w:val="00D3418B"/>
    <w:rsid w:val="00D359AC"/>
    <w:rsid w:val="00D35F21"/>
    <w:rsid w:val="00D40B2D"/>
    <w:rsid w:val="00D40D94"/>
    <w:rsid w:val="00D417B7"/>
    <w:rsid w:val="00D42018"/>
    <w:rsid w:val="00D446CA"/>
    <w:rsid w:val="00D44E0F"/>
    <w:rsid w:val="00D450FC"/>
    <w:rsid w:val="00D46ACC"/>
    <w:rsid w:val="00D47937"/>
    <w:rsid w:val="00D5172D"/>
    <w:rsid w:val="00D55094"/>
    <w:rsid w:val="00D56AD6"/>
    <w:rsid w:val="00D60506"/>
    <w:rsid w:val="00D62FEC"/>
    <w:rsid w:val="00D63A21"/>
    <w:rsid w:val="00D64D55"/>
    <w:rsid w:val="00D65B74"/>
    <w:rsid w:val="00D66B36"/>
    <w:rsid w:val="00D67BFD"/>
    <w:rsid w:val="00D7211F"/>
    <w:rsid w:val="00D736A3"/>
    <w:rsid w:val="00D74838"/>
    <w:rsid w:val="00D75547"/>
    <w:rsid w:val="00D75FF4"/>
    <w:rsid w:val="00D76F3F"/>
    <w:rsid w:val="00D81CD9"/>
    <w:rsid w:val="00D83564"/>
    <w:rsid w:val="00D85306"/>
    <w:rsid w:val="00D86228"/>
    <w:rsid w:val="00D87117"/>
    <w:rsid w:val="00D95878"/>
    <w:rsid w:val="00D96E0B"/>
    <w:rsid w:val="00DA2780"/>
    <w:rsid w:val="00DA2CC4"/>
    <w:rsid w:val="00DA323B"/>
    <w:rsid w:val="00DB0ED1"/>
    <w:rsid w:val="00DB37E4"/>
    <w:rsid w:val="00DB571D"/>
    <w:rsid w:val="00DB5E47"/>
    <w:rsid w:val="00DC0FAC"/>
    <w:rsid w:val="00DC172C"/>
    <w:rsid w:val="00DC2720"/>
    <w:rsid w:val="00DC4A20"/>
    <w:rsid w:val="00DC533E"/>
    <w:rsid w:val="00DC706F"/>
    <w:rsid w:val="00DC79ED"/>
    <w:rsid w:val="00DC7FE5"/>
    <w:rsid w:val="00DD06C6"/>
    <w:rsid w:val="00DD29DE"/>
    <w:rsid w:val="00DD36E9"/>
    <w:rsid w:val="00DD3E73"/>
    <w:rsid w:val="00DD3FF1"/>
    <w:rsid w:val="00DD53DE"/>
    <w:rsid w:val="00DD5D12"/>
    <w:rsid w:val="00DE0585"/>
    <w:rsid w:val="00DE10DE"/>
    <w:rsid w:val="00DE1149"/>
    <w:rsid w:val="00DE5A19"/>
    <w:rsid w:val="00DE6111"/>
    <w:rsid w:val="00DF07B3"/>
    <w:rsid w:val="00DF0AE7"/>
    <w:rsid w:val="00DF182B"/>
    <w:rsid w:val="00DF3F0E"/>
    <w:rsid w:val="00DF3FBD"/>
    <w:rsid w:val="00DF647F"/>
    <w:rsid w:val="00DF6D3E"/>
    <w:rsid w:val="00DF6E7B"/>
    <w:rsid w:val="00DF7908"/>
    <w:rsid w:val="00DF7D09"/>
    <w:rsid w:val="00E00260"/>
    <w:rsid w:val="00E02450"/>
    <w:rsid w:val="00E0439E"/>
    <w:rsid w:val="00E04A2B"/>
    <w:rsid w:val="00E05291"/>
    <w:rsid w:val="00E0573F"/>
    <w:rsid w:val="00E12890"/>
    <w:rsid w:val="00E13BD1"/>
    <w:rsid w:val="00E1403D"/>
    <w:rsid w:val="00E1617F"/>
    <w:rsid w:val="00E16DC6"/>
    <w:rsid w:val="00E202A2"/>
    <w:rsid w:val="00E21C20"/>
    <w:rsid w:val="00E22D13"/>
    <w:rsid w:val="00E234B7"/>
    <w:rsid w:val="00E25DC2"/>
    <w:rsid w:val="00E277DF"/>
    <w:rsid w:val="00E27952"/>
    <w:rsid w:val="00E301CA"/>
    <w:rsid w:val="00E308EC"/>
    <w:rsid w:val="00E30DA2"/>
    <w:rsid w:val="00E32008"/>
    <w:rsid w:val="00E32BD5"/>
    <w:rsid w:val="00E33F2D"/>
    <w:rsid w:val="00E36714"/>
    <w:rsid w:val="00E41091"/>
    <w:rsid w:val="00E44B49"/>
    <w:rsid w:val="00E450A8"/>
    <w:rsid w:val="00E45E5E"/>
    <w:rsid w:val="00E50341"/>
    <w:rsid w:val="00E51DC7"/>
    <w:rsid w:val="00E52844"/>
    <w:rsid w:val="00E536A9"/>
    <w:rsid w:val="00E55AD4"/>
    <w:rsid w:val="00E55D40"/>
    <w:rsid w:val="00E5639F"/>
    <w:rsid w:val="00E5712A"/>
    <w:rsid w:val="00E60013"/>
    <w:rsid w:val="00E64121"/>
    <w:rsid w:val="00E645C3"/>
    <w:rsid w:val="00E666B2"/>
    <w:rsid w:val="00E676C9"/>
    <w:rsid w:val="00E70C41"/>
    <w:rsid w:val="00E7152E"/>
    <w:rsid w:val="00E71B8F"/>
    <w:rsid w:val="00E72255"/>
    <w:rsid w:val="00E73960"/>
    <w:rsid w:val="00E73A2F"/>
    <w:rsid w:val="00E74546"/>
    <w:rsid w:val="00E75AF4"/>
    <w:rsid w:val="00E805C4"/>
    <w:rsid w:val="00E80864"/>
    <w:rsid w:val="00E842F9"/>
    <w:rsid w:val="00E87171"/>
    <w:rsid w:val="00E90532"/>
    <w:rsid w:val="00E92CC8"/>
    <w:rsid w:val="00E93273"/>
    <w:rsid w:val="00E94A3A"/>
    <w:rsid w:val="00E9610D"/>
    <w:rsid w:val="00E9668B"/>
    <w:rsid w:val="00E97D66"/>
    <w:rsid w:val="00EA0415"/>
    <w:rsid w:val="00EA1E20"/>
    <w:rsid w:val="00EA2CB4"/>
    <w:rsid w:val="00EA3CF4"/>
    <w:rsid w:val="00EA3D44"/>
    <w:rsid w:val="00EA5E83"/>
    <w:rsid w:val="00EA6A07"/>
    <w:rsid w:val="00EA6B38"/>
    <w:rsid w:val="00EA6C8C"/>
    <w:rsid w:val="00EA6E28"/>
    <w:rsid w:val="00EA71A7"/>
    <w:rsid w:val="00EA7923"/>
    <w:rsid w:val="00EAC6B8"/>
    <w:rsid w:val="00EB190D"/>
    <w:rsid w:val="00EB21A7"/>
    <w:rsid w:val="00EB4817"/>
    <w:rsid w:val="00EB4A33"/>
    <w:rsid w:val="00EB54DB"/>
    <w:rsid w:val="00EB5BBE"/>
    <w:rsid w:val="00EB7A8F"/>
    <w:rsid w:val="00EC0688"/>
    <w:rsid w:val="00EC115F"/>
    <w:rsid w:val="00EC2051"/>
    <w:rsid w:val="00EC52E3"/>
    <w:rsid w:val="00EC6898"/>
    <w:rsid w:val="00EC77DC"/>
    <w:rsid w:val="00ED2D3C"/>
    <w:rsid w:val="00ED42B9"/>
    <w:rsid w:val="00ED4C2D"/>
    <w:rsid w:val="00ED5423"/>
    <w:rsid w:val="00ED7C00"/>
    <w:rsid w:val="00ED7EA5"/>
    <w:rsid w:val="00EE11EE"/>
    <w:rsid w:val="00EE251C"/>
    <w:rsid w:val="00EE3A4B"/>
    <w:rsid w:val="00EE6828"/>
    <w:rsid w:val="00EE6AF8"/>
    <w:rsid w:val="00EF0686"/>
    <w:rsid w:val="00EF0CF1"/>
    <w:rsid w:val="00EF11D9"/>
    <w:rsid w:val="00EF277A"/>
    <w:rsid w:val="00EF2800"/>
    <w:rsid w:val="00EF4266"/>
    <w:rsid w:val="00EF447A"/>
    <w:rsid w:val="00EF52E0"/>
    <w:rsid w:val="00EF5AC4"/>
    <w:rsid w:val="00EF66B1"/>
    <w:rsid w:val="00F02DFD"/>
    <w:rsid w:val="00F05620"/>
    <w:rsid w:val="00F06E31"/>
    <w:rsid w:val="00F10565"/>
    <w:rsid w:val="00F11008"/>
    <w:rsid w:val="00F11B4F"/>
    <w:rsid w:val="00F130E6"/>
    <w:rsid w:val="00F139AB"/>
    <w:rsid w:val="00F14784"/>
    <w:rsid w:val="00F1608A"/>
    <w:rsid w:val="00F16874"/>
    <w:rsid w:val="00F16C35"/>
    <w:rsid w:val="00F17DA8"/>
    <w:rsid w:val="00F22369"/>
    <w:rsid w:val="00F22A21"/>
    <w:rsid w:val="00F2317B"/>
    <w:rsid w:val="00F25091"/>
    <w:rsid w:val="00F269B7"/>
    <w:rsid w:val="00F27B88"/>
    <w:rsid w:val="00F31A0A"/>
    <w:rsid w:val="00F32FF1"/>
    <w:rsid w:val="00F33FFA"/>
    <w:rsid w:val="00F34F1B"/>
    <w:rsid w:val="00F357B7"/>
    <w:rsid w:val="00F361B0"/>
    <w:rsid w:val="00F36DD0"/>
    <w:rsid w:val="00F37132"/>
    <w:rsid w:val="00F37BDC"/>
    <w:rsid w:val="00F43D9E"/>
    <w:rsid w:val="00F44E4C"/>
    <w:rsid w:val="00F45571"/>
    <w:rsid w:val="00F464A2"/>
    <w:rsid w:val="00F46773"/>
    <w:rsid w:val="00F47D7A"/>
    <w:rsid w:val="00F47F7C"/>
    <w:rsid w:val="00F50BD3"/>
    <w:rsid w:val="00F51D68"/>
    <w:rsid w:val="00F539FC"/>
    <w:rsid w:val="00F53E10"/>
    <w:rsid w:val="00F54F4B"/>
    <w:rsid w:val="00F55659"/>
    <w:rsid w:val="00F56F25"/>
    <w:rsid w:val="00F579F9"/>
    <w:rsid w:val="00F60086"/>
    <w:rsid w:val="00F60A4E"/>
    <w:rsid w:val="00F60C72"/>
    <w:rsid w:val="00F6386F"/>
    <w:rsid w:val="00F63EE6"/>
    <w:rsid w:val="00F654C4"/>
    <w:rsid w:val="00F657B5"/>
    <w:rsid w:val="00F65BDA"/>
    <w:rsid w:val="00F65F7A"/>
    <w:rsid w:val="00F66199"/>
    <w:rsid w:val="00F662B7"/>
    <w:rsid w:val="00F67AA7"/>
    <w:rsid w:val="00F729A3"/>
    <w:rsid w:val="00F73BE3"/>
    <w:rsid w:val="00F7460D"/>
    <w:rsid w:val="00F76BC9"/>
    <w:rsid w:val="00F775FE"/>
    <w:rsid w:val="00F8033F"/>
    <w:rsid w:val="00F81323"/>
    <w:rsid w:val="00F81458"/>
    <w:rsid w:val="00F81F31"/>
    <w:rsid w:val="00F82868"/>
    <w:rsid w:val="00F82D40"/>
    <w:rsid w:val="00F82FD7"/>
    <w:rsid w:val="00F84C8A"/>
    <w:rsid w:val="00F900A7"/>
    <w:rsid w:val="00F90204"/>
    <w:rsid w:val="00F909D2"/>
    <w:rsid w:val="00F90B32"/>
    <w:rsid w:val="00F920E1"/>
    <w:rsid w:val="00F9225B"/>
    <w:rsid w:val="00F928CA"/>
    <w:rsid w:val="00F95E05"/>
    <w:rsid w:val="00F96201"/>
    <w:rsid w:val="00F96723"/>
    <w:rsid w:val="00F9707E"/>
    <w:rsid w:val="00F975DA"/>
    <w:rsid w:val="00F97894"/>
    <w:rsid w:val="00FA05D8"/>
    <w:rsid w:val="00FA1F73"/>
    <w:rsid w:val="00FA25EB"/>
    <w:rsid w:val="00FA5497"/>
    <w:rsid w:val="00FA56B6"/>
    <w:rsid w:val="00FA67F1"/>
    <w:rsid w:val="00FA7033"/>
    <w:rsid w:val="00FA7513"/>
    <w:rsid w:val="00FA76AA"/>
    <w:rsid w:val="00FB0CD9"/>
    <w:rsid w:val="00FB12E3"/>
    <w:rsid w:val="00FB2F2E"/>
    <w:rsid w:val="00FB314C"/>
    <w:rsid w:val="00FB4572"/>
    <w:rsid w:val="00FB596B"/>
    <w:rsid w:val="00FB776F"/>
    <w:rsid w:val="00FB7F20"/>
    <w:rsid w:val="00FC0661"/>
    <w:rsid w:val="00FC077A"/>
    <w:rsid w:val="00FC1878"/>
    <w:rsid w:val="00FC26C0"/>
    <w:rsid w:val="00FC3E0F"/>
    <w:rsid w:val="00FC4AB1"/>
    <w:rsid w:val="00FC53FC"/>
    <w:rsid w:val="00FC54D4"/>
    <w:rsid w:val="00FC560B"/>
    <w:rsid w:val="00FC5723"/>
    <w:rsid w:val="00FC628B"/>
    <w:rsid w:val="00FC6AB3"/>
    <w:rsid w:val="00FC70A9"/>
    <w:rsid w:val="00FC7FCA"/>
    <w:rsid w:val="00FC7FED"/>
    <w:rsid w:val="00FD1681"/>
    <w:rsid w:val="00FD1C8F"/>
    <w:rsid w:val="00FD228C"/>
    <w:rsid w:val="00FD23C9"/>
    <w:rsid w:val="00FD28F5"/>
    <w:rsid w:val="00FE0548"/>
    <w:rsid w:val="00FE20BF"/>
    <w:rsid w:val="00FE234F"/>
    <w:rsid w:val="00FE3147"/>
    <w:rsid w:val="00FE3795"/>
    <w:rsid w:val="00FE3872"/>
    <w:rsid w:val="00FE3F25"/>
    <w:rsid w:val="00FE64FD"/>
    <w:rsid w:val="00FE69BC"/>
    <w:rsid w:val="00FE7DBF"/>
    <w:rsid w:val="00FF0885"/>
    <w:rsid w:val="00FF2DDD"/>
    <w:rsid w:val="00FF2FC5"/>
    <w:rsid w:val="00FF4365"/>
    <w:rsid w:val="00FF5083"/>
    <w:rsid w:val="00FF5348"/>
    <w:rsid w:val="00FF7FDB"/>
    <w:rsid w:val="01683AFF"/>
    <w:rsid w:val="01744FEF"/>
    <w:rsid w:val="03D55C0E"/>
    <w:rsid w:val="03DD0BE4"/>
    <w:rsid w:val="044F0055"/>
    <w:rsid w:val="049CE0E9"/>
    <w:rsid w:val="059EB68A"/>
    <w:rsid w:val="069C5F41"/>
    <w:rsid w:val="06AE42A3"/>
    <w:rsid w:val="0716403D"/>
    <w:rsid w:val="0778363E"/>
    <w:rsid w:val="07AE9BD3"/>
    <w:rsid w:val="08E7931E"/>
    <w:rsid w:val="0A6AD29A"/>
    <w:rsid w:val="0A934310"/>
    <w:rsid w:val="0AEC7782"/>
    <w:rsid w:val="0DD1CEBE"/>
    <w:rsid w:val="11895EEB"/>
    <w:rsid w:val="1279A325"/>
    <w:rsid w:val="12ECD799"/>
    <w:rsid w:val="12FD747D"/>
    <w:rsid w:val="13D8AD06"/>
    <w:rsid w:val="14648CA7"/>
    <w:rsid w:val="14CF90AC"/>
    <w:rsid w:val="150876C8"/>
    <w:rsid w:val="1651B910"/>
    <w:rsid w:val="17032FC3"/>
    <w:rsid w:val="173C7B81"/>
    <w:rsid w:val="18958002"/>
    <w:rsid w:val="1959AA2A"/>
    <w:rsid w:val="1A9421D4"/>
    <w:rsid w:val="1B41F95E"/>
    <w:rsid w:val="1B628166"/>
    <w:rsid w:val="1B8AEC5C"/>
    <w:rsid w:val="1B914550"/>
    <w:rsid w:val="1CF72F85"/>
    <w:rsid w:val="1D02760F"/>
    <w:rsid w:val="1EA9CA63"/>
    <w:rsid w:val="1FC3FE18"/>
    <w:rsid w:val="20119D08"/>
    <w:rsid w:val="20B9EC1A"/>
    <w:rsid w:val="2224A227"/>
    <w:rsid w:val="232AFA3C"/>
    <w:rsid w:val="233BD06C"/>
    <w:rsid w:val="23950682"/>
    <w:rsid w:val="250B5CE5"/>
    <w:rsid w:val="261AAFB2"/>
    <w:rsid w:val="2667F7D3"/>
    <w:rsid w:val="282F2787"/>
    <w:rsid w:val="28BA81BE"/>
    <w:rsid w:val="28F0CC91"/>
    <w:rsid w:val="295FC1A3"/>
    <w:rsid w:val="29AFD74D"/>
    <w:rsid w:val="2A2B4CDB"/>
    <w:rsid w:val="2A38CC54"/>
    <w:rsid w:val="2A493A95"/>
    <w:rsid w:val="2B26003A"/>
    <w:rsid w:val="2C338C9F"/>
    <w:rsid w:val="2C362F70"/>
    <w:rsid w:val="2CF3937A"/>
    <w:rsid w:val="2D0A5DF7"/>
    <w:rsid w:val="2E28514D"/>
    <w:rsid w:val="2EA80050"/>
    <w:rsid w:val="2FFDD88E"/>
    <w:rsid w:val="305B8BBD"/>
    <w:rsid w:val="30DE1F4C"/>
    <w:rsid w:val="30F64CF9"/>
    <w:rsid w:val="3179E3BA"/>
    <w:rsid w:val="3211989C"/>
    <w:rsid w:val="32C40E11"/>
    <w:rsid w:val="32CD95FE"/>
    <w:rsid w:val="33A92CB3"/>
    <w:rsid w:val="346C82F5"/>
    <w:rsid w:val="34C50331"/>
    <w:rsid w:val="35FCB2BD"/>
    <w:rsid w:val="36F90A3C"/>
    <w:rsid w:val="36F9912B"/>
    <w:rsid w:val="3744B5B0"/>
    <w:rsid w:val="38A21374"/>
    <w:rsid w:val="38AB9491"/>
    <w:rsid w:val="39269C09"/>
    <w:rsid w:val="39C0AE89"/>
    <w:rsid w:val="3A95A932"/>
    <w:rsid w:val="3AF8B4D1"/>
    <w:rsid w:val="3C02D4B0"/>
    <w:rsid w:val="3C9A2379"/>
    <w:rsid w:val="3CE8004C"/>
    <w:rsid w:val="3CE8CA95"/>
    <w:rsid w:val="3D946F72"/>
    <w:rsid w:val="3D9CE485"/>
    <w:rsid w:val="4069C2FC"/>
    <w:rsid w:val="413D0784"/>
    <w:rsid w:val="414DDDB4"/>
    <w:rsid w:val="41F4578B"/>
    <w:rsid w:val="420003B7"/>
    <w:rsid w:val="42F579C2"/>
    <w:rsid w:val="440C0221"/>
    <w:rsid w:val="446D3DE7"/>
    <w:rsid w:val="4562DB93"/>
    <w:rsid w:val="46084F83"/>
    <w:rsid w:val="46B8B8E6"/>
    <w:rsid w:val="47817695"/>
    <w:rsid w:val="47EF1B63"/>
    <w:rsid w:val="47F4E593"/>
    <w:rsid w:val="4A1F8A3B"/>
    <w:rsid w:val="4BAC9E5A"/>
    <w:rsid w:val="4BB2371F"/>
    <w:rsid w:val="4E058A58"/>
    <w:rsid w:val="4E8AE4AF"/>
    <w:rsid w:val="4F46B4B1"/>
    <w:rsid w:val="4F85A2A6"/>
    <w:rsid w:val="4F9B666C"/>
    <w:rsid w:val="5045A981"/>
    <w:rsid w:val="504F5C74"/>
    <w:rsid w:val="5101123D"/>
    <w:rsid w:val="51076B31"/>
    <w:rsid w:val="530FDEC1"/>
    <w:rsid w:val="538AEEAD"/>
    <w:rsid w:val="5404A44E"/>
    <w:rsid w:val="5657E579"/>
    <w:rsid w:val="56FB42BA"/>
    <w:rsid w:val="5909D1D5"/>
    <w:rsid w:val="59404F79"/>
    <w:rsid w:val="594515D1"/>
    <w:rsid w:val="594EC8C4"/>
    <w:rsid w:val="5A31B587"/>
    <w:rsid w:val="5AB48C21"/>
    <w:rsid w:val="5B59DEBC"/>
    <w:rsid w:val="5B5C8DFA"/>
    <w:rsid w:val="5BC3DD54"/>
    <w:rsid w:val="5CD8125D"/>
    <w:rsid w:val="5CE3B2F6"/>
    <w:rsid w:val="5D98B0B0"/>
    <w:rsid w:val="5DD75526"/>
    <w:rsid w:val="5E4A3F3B"/>
    <w:rsid w:val="5E5BB77B"/>
    <w:rsid w:val="5F095E8B"/>
    <w:rsid w:val="5FCDB188"/>
    <w:rsid w:val="612A7F47"/>
    <w:rsid w:val="61707255"/>
    <w:rsid w:val="6208A88E"/>
    <w:rsid w:val="622FE1B8"/>
    <w:rsid w:val="625C8111"/>
    <w:rsid w:val="646322A3"/>
    <w:rsid w:val="65BA4064"/>
    <w:rsid w:val="65CE589A"/>
    <w:rsid w:val="66528E99"/>
    <w:rsid w:val="669FA4E4"/>
    <w:rsid w:val="68318F81"/>
    <w:rsid w:val="687BE440"/>
    <w:rsid w:val="68AD20E3"/>
    <w:rsid w:val="68B4F19A"/>
    <w:rsid w:val="6A680BA0"/>
    <w:rsid w:val="6A7FB8B6"/>
    <w:rsid w:val="6AD38C9C"/>
    <w:rsid w:val="6B8E4FC2"/>
    <w:rsid w:val="6BFCC928"/>
    <w:rsid w:val="6C8CE610"/>
    <w:rsid w:val="6D3B3EC1"/>
    <w:rsid w:val="6D54DB77"/>
    <w:rsid w:val="6D67E54D"/>
    <w:rsid w:val="70E5ABEE"/>
    <w:rsid w:val="73BE597E"/>
    <w:rsid w:val="752E55CB"/>
    <w:rsid w:val="7538D78E"/>
    <w:rsid w:val="777E12D8"/>
    <w:rsid w:val="7862A210"/>
    <w:rsid w:val="786A8E9B"/>
    <w:rsid w:val="78EC6E30"/>
    <w:rsid w:val="7A6C756B"/>
    <w:rsid w:val="7A72CE5F"/>
    <w:rsid w:val="7CA9959F"/>
    <w:rsid w:val="7D83CB8E"/>
    <w:rsid w:val="7E89F74D"/>
    <w:rsid w:val="7F0AC9B0"/>
  </w:rsids>
  <m:mathPr>
    <m:mathFont m:val="Cambria Math"/>
    <m:brkBin m:val="before"/>
    <m:brkBinSub m:val="--"/>
    <m:smallFrac m:val="1"/>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qFormat="1" w:uiPriority="99" w:name="Balloon Text"/>
    <w:lsdException w:unhideWhenUsed="0" w:uiPriority="39" w:semiHidden="0" w:name="Table Grid"/>
    <w:lsdException w:qFormat="1" w:unhideWhenUsed="0" w:uiPriority="34" w:semiHidden="0" w:name="List Paragraph"/>
  </w:latentStyles>
  <w:style w:type="paragraph" w:default="1" w:styleId="1">
    <w:name w:val="Normal"/>
    <w:qFormat/>
    <w:uiPriority w:val="0"/>
    <w:pPr>
      <w:spacing w:after="160" w:line="240" w:lineRule="auto"/>
      <w:jc w:val="both"/>
    </w:pPr>
    <w:rPr>
      <w:rFonts w:ascii="Tahoma" w:hAnsi="Tahoma" w:eastAsiaTheme="minorHAnsi" w:cstheme="minorBidi"/>
      <w:sz w:val="24"/>
      <w:szCs w:val="22"/>
      <w:lang w:val="fr-FR" w:eastAsia="fr-FR" w:bidi="ar-SA"/>
    </w:rPr>
  </w:style>
  <w:style w:type="character" w:default="1" w:styleId="2">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character" w:styleId="3">
    <w:name w:val="Hyperlink"/>
    <w:basedOn w:val="2"/>
    <w:semiHidden/>
    <w:unhideWhenUsed/>
    <w:uiPriority w:val="99"/>
    <w:rPr>
      <w:color w:val="0000FF"/>
      <w:u w:val="single"/>
    </w:rPr>
  </w:style>
  <w:style w:type="character" w:styleId="4">
    <w:name w:val="annotation reference"/>
    <w:basedOn w:val="2"/>
    <w:semiHidden/>
    <w:unhideWhenUsed/>
    <w:qFormat/>
    <w:uiPriority w:val="99"/>
    <w:rPr>
      <w:sz w:val="16"/>
      <w:szCs w:val="16"/>
    </w:rPr>
  </w:style>
  <w:style w:type="paragraph" w:styleId="5">
    <w:name w:val="annotation subject"/>
    <w:basedOn w:val="6"/>
    <w:next w:val="6"/>
    <w:link w:val="22"/>
    <w:semiHidden/>
    <w:unhideWhenUsed/>
    <w:qFormat/>
    <w:uiPriority w:val="99"/>
    <w:rPr>
      <w:b/>
      <w:bCs/>
    </w:rPr>
  </w:style>
  <w:style w:type="paragraph" w:styleId="6">
    <w:name w:val="annotation text"/>
    <w:basedOn w:val="1"/>
    <w:link w:val="21"/>
    <w:unhideWhenUsed/>
    <w:uiPriority w:val="99"/>
    <w:rPr>
      <w:sz w:val="20"/>
      <w:szCs w:val="20"/>
    </w:rPr>
  </w:style>
  <w:style w:type="paragraph" w:styleId="7">
    <w:name w:val="Body Text Indent"/>
    <w:basedOn w:val="1"/>
    <w:link w:val="17"/>
    <w:uiPriority w:val="0"/>
    <w:pPr>
      <w:suppressAutoHyphens/>
      <w:spacing w:after="0"/>
      <w:ind w:left="708"/>
    </w:pPr>
    <w:rPr>
      <w:rFonts w:ascii="Times New Roman" w:hAnsi="Times New Roman" w:eastAsia="Times New Roman" w:cs="Calibri"/>
      <w:sz w:val="28"/>
      <w:szCs w:val="20"/>
      <w:lang w:eastAsia="ar-SA"/>
    </w:rPr>
  </w:style>
  <w:style w:type="paragraph" w:styleId="8">
    <w:name w:val="Body Text"/>
    <w:basedOn w:val="1"/>
    <w:link w:val="26"/>
    <w:semiHidden/>
    <w:unhideWhenUsed/>
    <w:qFormat/>
    <w:uiPriority w:val="99"/>
    <w:pPr>
      <w:spacing w:after="120"/>
    </w:pPr>
  </w:style>
  <w:style w:type="paragraph" w:styleId="9">
    <w:name w:val="Balloon Text"/>
    <w:basedOn w:val="1"/>
    <w:link w:val="20"/>
    <w:semiHidden/>
    <w:unhideWhenUsed/>
    <w:qFormat/>
    <w:uiPriority w:val="99"/>
    <w:pPr>
      <w:spacing w:after="0"/>
    </w:pPr>
    <w:rPr>
      <w:rFonts w:ascii="Segoe UI" w:hAnsi="Segoe UI" w:cs="Segoe UI"/>
      <w:sz w:val="18"/>
      <w:szCs w:val="18"/>
    </w:rPr>
  </w:style>
  <w:style w:type="paragraph" w:styleId="10">
    <w:name w:val="Normal (Web)"/>
    <w:basedOn w:val="1"/>
    <w:semiHidden/>
    <w:unhideWhenUsed/>
    <w:uiPriority w:val="99"/>
    <w:rPr>
      <w:rFonts w:ascii="Times New Roman" w:hAnsi="Times New Roman" w:cs="Times New Roman"/>
      <w:szCs w:val="24"/>
    </w:rPr>
  </w:style>
  <w:style w:type="paragraph" w:styleId="11">
    <w:name w:val="footer"/>
    <w:basedOn w:val="1"/>
    <w:link w:val="19"/>
    <w:unhideWhenUsed/>
    <w:qFormat/>
    <w:uiPriority w:val="99"/>
    <w:pPr>
      <w:tabs>
        <w:tab w:val="center" w:pos="4536"/>
        <w:tab w:val="right" w:pos="9072"/>
      </w:tabs>
      <w:spacing w:after="0"/>
    </w:pPr>
  </w:style>
  <w:style w:type="paragraph" w:styleId="12">
    <w:name w:val="header"/>
    <w:basedOn w:val="1"/>
    <w:link w:val="18"/>
    <w:unhideWhenUsed/>
    <w:qFormat/>
    <w:uiPriority w:val="99"/>
    <w:pPr>
      <w:tabs>
        <w:tab w:val="center" w:pos="4536"/>
        <w:tab w:val="right" w:pos="9072"/>
      </w:tabs>
      <w:spacing w:after="0"/>
    </w:pPr>
  </w:style>
  <w:style w:type="paragraph" w:styleId="14">
    <w:name w:val="List Paragraph"/>
    <w:basedOn w:val="1"/>
    <w:link w:val="25"/>
    <w:qFormat/>
    <w:uiPriority w:val="34"/>
    <w:pPr>
      <w:ind w:left="720"/>
      <w:contextualSpacing/>
    </w:pPr>
  </w:style>
  <w:style w:type="paragraph" w:customStyle="1" w:styleId="15">
    <w:name w:val="Arial"/>
    <w:basedOn w:val="1"/>
    <w:uiPriority w:val="0"/>
    <w:pPr>
      <w:autoSpaceDE w:val="0"/>
      <w:autoSpaceDN w:val="0"/>
      <w:adjustRightInd w:val="0"/>
      <w:spacing w:after="0"/>
      <w:jc w:val="center"/>
    </w:pPr>
    <w:rPr>
      <w:rFonts w:ascii="Arial" w:hAnsi="Arial" w:eastAsia="Times New Roman" w:cs="Times New Roman"/>
    </w:rPr>
  </w:style>
  <w:style w:type="paragraph" w:customStyle="1" w:styleId="16">
    <w:name w:val="Default"/>
    <w:uiPriority w:val="0"/>
    <w:pPr>
      <w:widowControl w:val="0"/>
      <w:autoSpaceDE w:val="0"/>
      <w:autoSpaceDN w:val="0"/>
      <w:adjustRightInd w:val="0"/>
      <w:spacing w:after="0" w:line="240" w:lineRule="auto"/>
    </w:pPr>
    <w:rPr>
      <w:rFonts w:ascii="Times New Roman" w:hAnsi="Times New Roman" w:eastAsia="Times New Roman" w:cs="Times New Roman"/>
      <w:color w:val="000000"/>
      <w:sz w:val="24"/>
      <w:szCs w:val="24"/>
      <w:lang w:val="fr-FR" w:eastAsia="fr-FR" w:bidi="ar-SA"/>
    </w:rPr>
  </w:style>
  <w:style w:type="character" w:customStyle="1" w:styleId="17">
    <w:name w:val="Retrait corps de texte Car"/>
    <w:basedOn w:val="2"/>
    <w:link w:val="7"/>
    <w:uiPriority w:val="0"/>
    <w:rPr>
      <w:rFonts w:ascii="Times New Roman" w:hAnsi="Times New Roman" w:eastAsia="Times New Roman" w:cs="Calibri"/>
      <w:sz w:val="28"/>
      <w:szCs w:val="20"/>
      <w:lang w:eastAsia="ar-SA"/>
    </w:rPr>
  </w:style>
  <w:style w:type="character" w:customStyle="1" w:styleId="18">
    <w:name w:val="En-tête Car"/>
    <w:basedOn w:val="2"/>
    <w:link w:val="12"/>
    <w:uiPriority w:val="99"/>
  </w:style>
  <w:style w:type="character" w:customStyle="1" w:styleId="19">
    <w:name w:val="Pied de page Car"/>
    <w:basedOn w:val="2"/>
    <w:link w:val="11"/>
    <w:qFormat/>
    <w:uiPriority w:val="99"/>
  </w:style>
  <w:style w:type="character" w:customStyle="1" w:styleId="20">
    <w:name w:val="Texte de bulles Car"/>
    <w:basedOn w:val="2"/>
    <w:link w:val="9"/>
    <w:semiHidden/>
    <w:qFormat/>
    <w:uiPriority w:val="99"/>
    <w:rPr>
      <w:rFonts w:ascii="Segoe UI" w:hAnsi="Segoe UI" w:cs="Segoe UI"/>
      <w:sz w:val="18"/>
      <w:szCs w:val="18"/>
    </w:rPr>
  </w:style>
  <w:style w:type="character" w:customStyle="1" w:styleId="21">
    <w:name w:val="Commentaire Car"/>
    <w:basedOn w:val="2"/>
    <w:link w:val="6"/>
    <w:qFormat/>
    <w:uiPriority w:val="99"/>
    <w:rPr>
      <w:sz w:val="20"/>
      <w:szCs w:val="20"/>
    </w:rPr>
  </w:style>
  <w:style w:type="character" w:customStyle="1" w:styleId="22">
    <w:name w:val="Objet du commentaire Car"/>
    <w:basedOn w:val="21"/>
    <w:link w:val="5"/>
    <w:semiHidden/>
    <w:uiPriority w:val="99"/>
    <w:rPr>
      <w:b/>
      <w:bCs/>
      <w:sz w:val="20"/>
      <w:szCs w:val="20"/>
    </w:rPr>
  </w:style>
  <w:style w:type="table" w:styleId="23">
    <w:name w:val="Table Grid"/>
    <w:basedOn w:val="13"/>
    <w:uiPriority w:val="39"/>
    <w:pPr>
      <w:spacing w:after="0" w:line="240" w:lineRule="auto"/>
    </w:pPr>
    <w:rPr>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4">
    <w:name w:val="Revision"/>
    <w:hidden/>
    <w:semiHidden/>
    <w:uiPriority w:val="99"/>
    <w:pPr>
      <w:spacing w:after="0" w:line="240" w:lineRule="auto"/>
    </w:pPr>
    <w:rPr>
      <w:rFonts w:asciiTheme="minorHAnsi" w:hAnsiTheme="minorHAnsi" w:eastAsiaTheme="minorHAnsi" w:cstheme="minorBidi"/>
      <w:sz w:val="22"/>
      <w:szCs w:val="22"/>
      <w:lang w:val="fr-FR" w:eastAsia="fr-FR" w:bidi="ar-SA"/>
    </w:rPr>
  </w:style>
  <w:style w:type="character" w:customStyle="1" w:styleId="25">
    <w:name w:val="Paragraphe de liste Car"/>
    <w:link w:val="14"/>
    <w:qFormat/>
    <w:uiPriority w:val="34"/>
    <w:rPr>
      <w:rFonts w:ascii="Tahoma" w:hAnsi="Tahoma"/>
      <w:sz w:val="24"/>
    </w:rPr>
  </w:style>
  <w:style w:type="character" w:customStyle="1" w:styleId="26">
    <w:name w:val="Corps de texte Car"/>
    <w:basedOn w:val="2"/>
    <w:link w:val="8"/>
    <w:semiHidden/>
    <w:qFormat/>
    <w:uiPriority w:val="99"/>
    <w:rPr>
      <w:rFonts w:ascii="Tahoma" w:hAnsi="Tahoma"/>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5.xml"/><Relationship Id="rId18" Type="http://schemas.openxmlformats.org/officeDocument/2006/relationships/customXml" Target="../customXml/item4.xml"/><Relationship Id="rId17" Type="http://schemas.openxmlformats.org/officeDocument/2006/relationships/customXml" Target="../customXml/item3.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A0E17DFE830ED244AA505B8FF6E7B6CB" ma:contentTypeVersion="5" ma:contentTypeDescription="Crée un document." ma:contentTypeScope="" ma:versionID="7b3164aacc76be3629e40876b5525f97">
  <xsd:schema xmlns:xsd="http://www.w3.org/2001/XMLSchema" xmlns:xs="http://www.w3.org/2001/XMLSchema" xmlns:p="http://schemas.microsoft.com/office/2006/metadata/properties" xmlns:ns3="9154ae8a-6bef-4ce5-8eec-bdad7bc0a7af" targetNamespace="http://schemas.microsoft.com/office/2006/metadata/properties" ma:root="true" ma:fieldsID="86a346c5c303fa417734265e256521d3" ns3:_="">
    <xsd:import namespace="9154ae8a-6bef-4ce5-8eec-bdad7bc0a7a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54ae8a-6bef-4ce5-8eec-bdad7bc0a7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A98CEFE-EE57-48A4-8E3A-DACC1C4E4CFB}">
  <ds:schemaRefs/>
</ds:datastoreItem>
</file>

<file path=customXml/itemProps3.xml><?xml version="1.0" encoding="utf-8"?>
<ds:datastoreItem xmlns:ds="http://schemas.openxmlformats.org/officeDocument/2006/customXml" ds:itemID="{571EDE0D-49A0-47F8-B3E6-7B32A64DE66D}">
  <ds:schemaRefs/>
</ds:datastoreItem>
</file>

<file path=customXml/itemProps4.xml><?xml version="1.0" encoding="utf-8"?>
<ds:datastoreItem xmlns:ds="http://schemas.openxmlformats.org/officeDocument/2006/customXml" ds:itemID="{5FCFE3EC-F8BE-4941-A18E-342D56998277}">
  <ds:schemaRefs/>
</ds:datastoreItem>
</file>

<file path=customXml/itemProps5.xml><?xml version="1.0" encoding="utf-8"?>
<ds:datastoreItem xmlns:ds="http://schemas.openxmlformats.org/officeDocument/2006/customXml" ds:itemID="{AF2E4411-7CA7-45E7-A8FD-0510AD323D30}">
  <ds:schemaRefs/>
</ds:datastoreItem>
</file>

<file path=docProps/app.xml><?xml version="1.0" encoding="utf-8"?>
<Properties xmlns="http://schemas.openxmlformats.org/officeDocument/2006/extended-properties" xmlns:vt="http://schemas.openxmlformats.org/officeDocument/2006/docPropsVTypes">
  <Template>Normal</Template>
  <Pages>6</Pages>
  <Words>1935</Words>
  <Characters>10644</Characters>
  <Lines>88</Lines>
  <Paragraphs>25</Paragraphs>
  <TotalTime>7</TotalTime>
  <ScaleCrop>false</ScaleCrop>
  <LinksUpToDate>false</LinksUpToDate>
  <CharactersWithSpaces>12554</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2025-08-29T09:12:00Z</dcterms:created>
  <dc:creator>Insa SADIO</dc:creator>
  <cp:lastModifiedBy>Pape Mamadou Badji</cp:lastModifiedBy>
  <cp:lastPrinted>2022-03-21T12:24:00Z</cp:lastPrinted>
  <dcterms:modified xsi:type="dcterms:W3CDTF">2025-09-11T15:13:28Z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0x010100A0E17DFE830ED244AA505B8FF6E7B6CB</vt:lpwstr>
  </property>
  <property fmtid="{D5CDD505-2E9C-101B-9397-08002B2CF9AE}" pid="3" name="KSOProductBuildVer">
    <vt:lpwstr>1036-12.2.0.22549</vt:lpwstr>
  </property>
  <property fmtid="{D5CDD505-2E9C-101B-9397-08002B2CF9AE}" pid="4" name="ICV">
    <vt:lpwstr>C3954D5F29444C478E28AACBF33FD948_13</vt:lpwstr>
  </property>
</Properties>
</file>