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A4A"/>
          <w:sz w:val="36"/>
          <w:szCs w:val="36"/>
        </w:rPr>
        <w:t xml:space="preserve">Care Transition Efficiency &amp; Placement Outcome Analytics</w:t>
      </w:r>
    </w:p>
    <w:p>
      <w:pPr>
        <w:spacing w:after="120"/>
      </w:pPr>
      <w:r>
        <w:rPr>
          <w:b/>
          <w:bCs/>
          <w:color w:val="C0432A"/>
          <w:sz w:val="26"/>
          <w:szCs w:val="26"/>
        </w:rPr>
        <w:t xml:space="preserve">Executive Summary</w:t>
      </w:r>
    </w:p>
    <w:p>
      <w:pPr>
        <w:spacing w:after="40"/>
      </w:pPr>
      <w:r>
        <w:rPr>
          <w:color w:val="5B6B8C"/>
          <w:sz w:val="20"/>
          <w:szCs w:val="20"/>
        </w:rPr>
        <w:t xml:space="preserve">Prepared for: U.S. Department of Health and Human Services, Office of Refugee Resettlement</w:t>
      </w:r>
    </w:p>
    <w:p>
      <w:pPr>
        <w:spacing w:after="280"/>
      </w:pPr>
      <w:r>
        <w:rPr>
          <w:color w:val="5B6B8C"/>
          <w:sz w:val="20"/>
          <w:szCs w:val="20"/>
        </w:rPr>
        <w:t xml:space="preserve">Reporting period: January 12, 2023 – December 21, 2025 (720 daily records)</w:t>
      </w:r>
    </w:p>
    <w:p>
      <w:pPr>
        <w:pStyle w:val="Heading1"/>
      </w:pPr>
      <w:r>
        <w:t xml:space="preserve">Purpose</w:t>
      </w:r>
    </w:p>
    <w:p>
      <w:pPr>
        <w:spacing w:after="160"/>
      </w:pPr>
      <w:r>
        <w:t xml:space="preserve">Right now, public reporting on the UAC Program tells us how many children are in custody at any given moment — but not how efficiently they're actually moving through the system, from CBP apprehension to HHS care to eventual reunification with a sponsor. This analysis was built to close that gap. We introduced five process-efficiency indicators and ran them against three years of daily data to surface findings that can actually inform decisions, not just describe a snapshot.</w:t>
      </w:r>
    </w:p>
    <w:p>
      <w:pPr>
        <w:pStyle w:val="Heading1"/>
      </w:pPr>
      <w:r>
        <w:t xml:space="preserve">KPI Scorecard — Full Period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C0432A"/>
                <w:sz w:val="30"/>
                <w:szCs w:val="30"/>
              </w:rPr>
              <w:t xml:space="preserve">69.1%</w:t>
            </w:r>
          </w:p>
          <w:p>
            <w:pPr>
              <w:jc w:val="center"/>
            </w:pPr>
            <w:r>
              <w:rPr>
                <w:color w:val="5B6B8C"/>
                <w:sz w:val="16"/>
                <w:szCs w:val="16"/>
              </w:rPr>
              <w:t xml:space="preserve">Transfer Efficiency</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157A5C"/>
                <w:sz w:val="30"/>
                <w:szCs w:val="30"/>
              </w:rPr>
              <w:t xml:space="preserve">2.37%</w:t>
            </w:r>
          </w:p>
          <w:p>
            <w:pPr>
              <w:jc w:val="center"/>
            </w:pPr>
            <w:r>
              <w:rPr>
                <w:color w:val="5B6B8C"/>
                <w:sz w:val="16"/>
                <w:szCs w:val="16"/>
              </w:rPr>
              <w:t xml:space="preserve">Discharge Effectiveness</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1B2A4A"/>
                <w:sz w:val="30"/>
                <w:szCs w:val="30"/>
              </w:rPr>
              <w:t xml:space="preserve">1.64×</w:t>
            </w:r>
          </w:p>
          <w:p>
            <w:pPr>
              <w:jc w:val="center"/>
            </w:pPr>
            <w:r>
              <w:rPr>
                <w:color w:val="5B6B8C"/>
                <w:sz w:val="16"/>
                <w:szCs w:val="16"/>
              </w:rPr>
              <w:t xml:space="preserve">Pipeline Throughput</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157A5C"/>
                <w:sz w:val="30"/>
                <w:szCs w:val="30"/>
              </w:rPr>
              <w:t xml:space="preserve">−80</w:t>
            </w:r>
          </w:p>
          <w:p>
            <w:pPr>
              <w:jc w:val="center"/>
            </w:pPr>
            <w:r>
              <w:rPr>
                <w:color w:val="5B6B8C"/>
                <w:sz w:val="16"/>
                <w:szCs w:val="16"/>
              </w:rPr>
              <w:t xml:space="preserve">Avg. Daily Backlog</w:t>
            </w:r>
          </w:p>
        </w:tc>
        <w:tc>
          <w:tcPr>
            <w:tcW w:type="dxa" w:w="1872"/>
            <w:tcBorders>
              <w:top w:val="single" w:color="CCCCCC" w:sz="1"/>
              <w:left w:val="single" w:color="CCCCCC" w:sz="1"/>
              <w:bottom w:val="single" w:color="CCCCCC" w:sz="1"/>
              <w:right w:val="single" w:color="CCCCCC" w:sz="1"/>
            </w:tcBorders>
            <w:tcMar>
              <w:top w:type="dxa" w:w="160"/>
              <w:left w:type="dxa" w:w="100"/>
              <w:bottom w:type="dxa" w:w="160"/>
              <w:right w:type="dxa" w:w="100"/>
            </w:tcMar>
          </w:tcPr>
          <w:p>
            <w:pPr>
              <w:jc w:val="center"/>
            </w:pPr>
            <w:r>
              <w:rPr>
                <w:b/>
                <w:bCs/>
                <w:color w:val="1B2A4A"/>
                <w:sz w:val="30"/>
                <w:szCs w:val="30"/>
              </w:rPr>
              <w:t xml:space="preserve">0.0056</w:t>
            </w:r>
          </w:p>
          <w:p>
            <w:pPr>
              <w:jc w:val="center"/>
            </w:pPr>
            <w:r>
              <w:rPr>
                <w:color w:val="5B6B8C"/>
                <w:sz w:val="16"/>
                <w:szCs w:val="16"/>
              </w:rPr>
              <w:t xml:space="preserve">Outcome Stability (σ)</w:t>
            </w:r>
          </w:p>
        </w:tc>
      </w:tr>
    </w:tbl>
    <w:p>
      <w:pPr>
        <w:spacing w:after="100"/>
      </w:pPr>
      <w:r>
        <w:t xml:space="preserve"/>
      </w:r>
    </w:p>
    <w:p>
      <w:pPr>
        <w:pStyle w:val="Heading1"/>
      </w:pPr>
      <w:r>
        <w:t xml:space="preserve">Key Findings</w:t>
      </w:r>
    </w:p>
    <w:p>
      <w:pPr>
        <w:pStyle w:val="Heading2"/>
      </w:pPr>
      <w:r>
        <w:t xml:space="preserve">1. The caseload dropped a lot — and it's because exits kept outpacing entries</w:t>
      </w:r>
    </w:p>
    <w:p>
      <w:pPr>
        <w:spacing w:after="160"/>
      </w:pPr>
      <w:r>
        <w:t xml:space="preserve">HHS's active caseload fell from a peak of 11,516 children in December 2023 down to roughly 2,000–2,500 by late 2025 — more than an 80% decline. That happened because pipeline throughput stayed above 1.0× in every single year we looked at (2023: 2.00×, 2024: 1.26×, 2025: 1.70×). In other words, the system was consistently clearing more children than it was taking in.</w:t>
      </w:r>
    </w:p>
    <w:p>
      <w:pPr>
        <w:pStyle w:val="Heading2"/>
      </w:pPr>
      <w:r>
        <w:t xml:space="preserve">2. There's a persistent ~31% gap between CBP and HHS</w:t>
      </w:r>
    </w:p>
    <w:p>
      <w:pPr>
        <w:spacing w:after="160"/>
      </w:pPr>
      <w:r>
        <w:t xml:space="preserve">Transfer Efficiency averaged 69.1% across the full three years. Put simply: on a typical day, about three out of every ten children sitting in CBP custody don't get moved to HHS care that same day. And since this number held steady year after year, it doesn't look like a one-off — it looks like a structural bottleneck worth investigating.</w:t>
      </w:r>
    </w:p>
    <w:p>
      <w:pPr>
        <w:pStyle w:val="Heading2"/>
      </w:pPr>
      <w:r>
        <w:t xml:space="preserve">3. Backlogs show up occasionally — they don't build up chronically</w:t>
      </w:r>
    </w:p>
    <w:p>
      <w:pPr>
        <w:spacing w:after="160"/>
      </w:pPr>
      <w:r>
        <w:t xml:space="preserve">Only 128 of the 720 days we studied (about 18%) had intake outpacing discharges, and just 3 days ever crossed a 100-child net backlog. The system seems to handle the occasional surge well, without letting cases pile up unresolved over weeks at a time.</w:t>
      </w:r>
    </w:p>
    <w:p>
      <w:pPr>
        <w:pStyle w:val="Heading2"/>
      </w:pPr>
      <w:r>
        <w:t xml:space="preserve">4. Placement outcomes are remarkably stable</w:t>
      </w:r>
    </w:p>
    <w:p>
      <w:pPr>
        <w:spacing w:after="160"/>
      </w:pPr>
      <w:r>
        <w:t xml:space="preserve">The Outcome Stability Score averaged just 0.0056, and we didn't find any sustained periods where reunification rates suddenly collapsed. Day to day, the discharge process has stayed predictable, even while the overall caseload swung dramatically over the three years.</w:t>
      </w:r>
    </w:p>
    <w:p>
      <w:pPr>
        <w:pStyle w:val="Heading2"/>
      </w:pPr>
      <w:r>
        <w:t xml:space="preserve">5. Weekdays and weekends perform about the same</w:t>
      </w:r>
    </w:p>
    <w:p>
      <w:pPr>
        <w:spacing w:after="160"/>
      </w:pPr>
      <w:r>
        <w:t xml:space="preserve">Transfer efficiency (68.9% weekday vs. 70.0% weekend) and discharge effectiveness (2.27% vs. 2.84%) are close enough that the day of the week doesn't seem to matter much — which suggests current 7-day staffing is doing its job.</w:t>
      </w:r>
    </w:p>
    <w:p>
      <w:pPr>
        <w:pStyle w:val="Heading1"/>
      </w:pPr>
      <w:r>
        <w:t xml:space="preserve">Recommendations</w:t>
      </w:r>
    </w:p>
    <w:p>
      <w:pPr>
        <w:pStyle w:val="ListParagraph"/>
        <w:numPr>
          <w:ilvl w:val="0"/>
          <w:numId w:val="2"/>
        </w:numPr>
        <w:spacing w:after="100"/>
      </w:pPr>
      <w:r>
        <w:t xml:space="preserve">Make the 69.1% transfer-efficiency ceiling a priority to investigate — it's the most persistent inefficiency we found, and likely the highest-leverage place to focus process improvements.</w:t>
      </w:r>
    </w:p>
    <w:p>
      <w:pPr>
        <w:pStyle w:val="ListParagraph"/>
        <w:numPr>
          <w:ilvl w:val="0"/>
          <w:numId w:val="2"/>
        </w:numPr>
        <w:spacing w:after="100"/>
      </w:pPr>
      <w:r>
        <w:t xml:space="preserve">Start tracking Backlog Accumulation Rate as a standing early-warning metric. The 17 days that crossed a 50-child threshold in this period give a useful baseline for building a real alert system.</w:t>
      </w:r>
    </w:p>
    <w:p>
      <w:pPr>
        <w:pStyle w:val="ListParagraph"/>
        <w:numPr>
          <w:ilvl w:val="0"/>
          <w:numId w:val="2"/>
        </w:numPr>
        <w:spacing w:after="100"/>
      </w:pPr>
      <w:r>
        <w:t xml:space="preserve">Keep staffing levels even across all seven days rather than shifting more resources to weekdays — the data doesn't show a meaningful weekday/weekend performance gap to justify that.</w:t>
      </w:r>
    </w:p>
    <w:p>
      <w:pPr>
        <w:pStyle w:val="ListParagraph"/>
        <w:numPr>
          <w:ilvl w:val="0"/>
          <w:numId w:val="2"/>
        </w:numPr>
        <w:spacing w:after="100"/>
      </w:pPr>
      <w:r>
        <w:t xml:space="preserve">Build discharge-capacity buffers that don't rely solely on same-day intake numbers, since intake and discharge are only moderately correlated (r = 0.63) — there will be days the relationship just doesn't hold.</w:t>
      </w:r>
    </w:p>
    <w:p>
      <w:pPr>
        <w:pStyle w:val="ListParagraph"/>
        <w:numPr>
          <w:ilvl w:val="0"/>
          <w:numId w:val="2"/>
        </w:numPr>
        <w:spacing w:after="100"/>
      </w:pPr>
      <w:r>
        <w:t xml:space="preserve">Keep watching the Outcome Stability Score as a leading indicator of how case management is doing. It's been low and steady so far — any future uptick is worth a closer look.</w:t>
      </w:r>
    </w:p>
    <w:p>
      <w:pPr>
        <w:pStyle w:val="Heading1"/>
      </w:pPr>
      <w:r>
        <w:t xml:space="preserve">Bottom Line</w:t>
      </w:r>
    </w:p>
    <w:p>
      <w:pPr>
        <w:spacing w:after="160"/>
      </w:pPr>
      <w:r>
        <w:rPr>
          <w:b/>
          <w:bCs/>
        </w:rPr>
        <w:t xml:space="preserve">Across 2023–2025, the UAC care pipeline consistently cleared more cases than it took in, and placement outcomes stayed stable throughout. The clearest opportunity for improvement sits at the CBP-to-HHS handoff, where transfer efficiency has held below 70% for three years running.</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6"/>
        <w:szCs w:val="16"/>
      </w:rPr>
      <w:t xml:space="preserve">Page </w:t>
    </w:r>
    <w:r>
      <w:rPr>
        <w:color w:val="5B6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6"/>
        <w:szCs w:val="16"/>
      </w:rPr>
      <w:t xml:space="preserve">Executive Summary — UAC Care Transition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B2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2026-06-17T02:59:34.237Z</dcterms:created>
  <dcterms:modified xsi:type="dcterms:W3CDTF">2026-06-17T02:59:34.238Z</dcterms:modified>
</cp:coreProperties>
</file>

<file path=docProps/custom.xml><?xml version="1.0" encoding="utf-8"?>
<Properties xmlns="http://schemas.openxmlformats.org/officeDocument/2006/custom-properties" xmlns:vt="http://schemas.openxmlformats.org/officeDocument/2006/docPropsVTypes"/>
</file>