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A4A"/>
          <w:sz w:val="36"/>
          <w:szCs w:val="36"/>
        </w:rPr>
        <w:t xml:space="preserve">Predictive Forecasting of Care Load &amp; Placement Demand</w:t>
      </w:r>
    </w:p>
    <w:p>
      <w:pPr>
        <w:spacing w:after="120"/>
      </w:pPr>
      <w:r>
        <w:rPr>
          <w:b/>
          <w:bCs/>
          <w:color w:val="C0432A"/>
          <w:sz w:val="26"/>
          <w:szCs w:val="26"/>
        </w:rPr>
        <w:t xml:space="preserve">Executive Summary</w:t>
      </w:r>
    </w:p>
    <w:p>
      <w:pPr>
        <w:spacing w:after="40"/>
      </w:pPr>
      <w:r>
        <w:rPr>
          <w:color w:val="5B6B8C"/>
          <w:sz w:val="20"/>
          <w:szCs w:val="20"/>
        </w:rPr>
        <w:t xml:space="preserve">Prepared for: U.S. Department of Health and Human Services, Office of Refugee Resettlement</w:t>
      </w:r>
    </w:p>
    <w:p>
      <w:pPr>
        <w:spacing w:after="40"/>
      </w:pPr>
      <w:r>
        <w:rPr>
          <w:color w:val="5B6B8C"/>
          <w:sz w:val="20"/>
          <w:szCs w:val="20"/>
        </w:rPr>
        <w:t xml:space="preserve">Dataset period: January 12, 2023 – December 21, 2025  |  1,075 daily records (720 reported + 355 interpolated)</w:t>
      </w:r>
    </w:p>
    <w:p>
      <w:pPr>
        <w:spacing w:after="280"/>
      </w:pPr>
      <w:r>
        <w:rPr>
          <w:color w:val="5B6B8C"/>
          <w:sz w:val="20"/>
          <w:szCs w:val="20"/>
        </w:rPr>
        <w:t xml:space="preserve">Models compared: Naive · Moving Average · Exponential Smoothing · Random Forest · Gradient Boosting</w:t>
      </w:r>
    </w:p>
    <w:p>
      <w:pPr>
        <w:pStyle w:val="Heading1"/>
      </w:pPr>
      <w:r>
        <w:t xml:space="preserve">Purpose</w:t>
      </w:r>
    </w:p>
    <w:p>
      <w:pPr>
        <w:spacing w:after="160"/>
      </w:pPr>
      <w:r>
        <w:t xml:space="preserve">The UAC Program has three years of high-quality daily data — but no forward-looking capability. Decisions about staffing, bed capacity, and resource allocation were made reactively, after problems appeared, rather than proactively. This project fixes that gap by building five forecasting models on the same dataset and deploying the best-performing ones in a live dashboard that gives planners up to 90 days of advance visibility into expected care load and discharge demand.</w:t>
      </w:r>
    </w:p>
    <w:p>
      <w:pPr>
        <w:pStyle w:val="Heading1"/>
      </w:pPr>
      <w:r>
        <w:t xml:space="preserve">Model Performance Scorecard — HHS Care Load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157A5C"/>
                <w:sz w:val="32"/>
                <w:szCs w:val="32"/>
              </w:rPr>
              <w:t xml:space="preserve">97.86%</w:t>
            </w:r>
          </w:p>
          <w:p>
            <w:pPr>
              <w:jc w:val="center"/>
            </w:pPr>
            <w:r>
              <w:rPr>
                <w:color w:val="5B6B8C"/>
                <w:sz w:val="16"/>
                <w:szCs w:val="16"/>
              </w:rPr>
              <w:t xml:space="preserve">Random Forest
(Best model)</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1B2A4A"/>
                <w:sz w:val="32"/>
                <w:szCs w:val="32"/>
              </w:rPr>
              <w:t xml:space="preserve">97.72%</w:t>
            </w:r>
          </w:p>
          <w:p>
            <w:pPr>
              <w:jc w:val="center"/>
            </w:pPr>
            <w:r>
              <w:rPr>
                <w:color w:val="5B6B8C"/>
                <w:sz w:val="16"/>
                <w:szCs w:val="16"/>
              </w:rPr>
              <w:t xml:space="preserve">Gradient
Boosting</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5B6B8C"/>
                <w:sz w:val="32"/>
                <w:szCs w:val="32"/>
              </w:rPr>
              <w:t xml:space="preserve">89.90%</w:t>
            </w:r>
          </w:p>
          <w:p>
            <w:pPr>
              <w:jc w:val="center"/>
            </w:pPr>
            <w:r>
              <w:rPr>
                <w:color w:val="5B6B8C"/>
                <w:sz w:val="16"/>
                <w:szCs w:val="16"/>
              </w:rPr>
              <w:t xml:space="preserve">Moving
Average</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5B6B8C"/>
                <w:sz w:val="32"/>
                <w:szCs w:val="32"/>
              </w:rPr>
              <w:t xml:space="preserve">89.21%</w:t>
            </w:r>
          </w:p>
          <w:p>
            <w:pPr>
              <w:jc w:val="center"/>
            </w:pPr>
            <w:r>
              <w:rPr>
                <w:color w:val="5B6B8C"/>
                <w:sz w:val="16"/>
                <w:szCs w:val="16"/>
              </w:rPr>
              <w:t xml:space="preserve">Naive
Baseline</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C0432A"/>
                <w:sz w:val="32"/>
                <w:szCs w:val="32"/>
              </w:rPr>
              <w:t xml:space="preserve">61.49%</w:t>
            </w:r>
          </w:p>
          <w:p>
            <w:pPr>
              <w:jc w:val="center"/>
            </w:pPr>
            <w:r>
              <w:rPr>
                <w:color w:val="5B6B8C"/>
                <w:sz w:val="16"/>
                <w:szCs w:val="16"/>
              </w:rPr>
              <w:t xml:space="preserve">Exp.
Smoothing</w:t>
            </w:r>
          </w:p>
        </w:tc>
      </w:tr>
    </w:tbl>
    <w:p>
      <w:pPr>
        <w:spacing w:after="100"/>
      </w:pPr>
    </w:p>
    <w:p>
      <w:pPr>
        <w:pStyle w:val="Heading1"/>
      </w:pPr>
      <w:r>
        <w:t xml:space="preserve">Key Findings</w:t>
      </w:r>
    </w:p>
    <w:p>
      <w:pPr>
        <w:pStyle w:val="Heading2"/>
      </w:pPr>
      <w:r>
        <w:t xml:space="preserve">1. Machine learning is not just slightly better — it's in a different league</w:t>
      </w:r>
    </w:p>
    <w:p>
      <w:pPr>
        <w:spacing w:after="160"/>
      </w:pPr>
      <w:r>
        <w:t xml:space="preserve">Random Forest achieved 97.86% accuracy on care load forecasting. The best statistical baseline (Moving Average) reached 89.90%. That 8-percentage-point gap sounds small, but in daily operational terms it means ML predictions were off by an average of 45 people versus 214 people for the moving average — nearly 5 times more precise. The story is similar on discharge forecasting: Random Forest at 76.23% versus Moving Average at 53.30%.</w:t>
      </w:r>
    </w:p>
    <w:p>
      <w:pPr>
        <w:pStyle w:val="Heading2"/>
      </w:pPr>
      <w:r>
        <w:t xml:space="preserve">2. The data shifted dramatically — and ML models adapted, statistical models did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left"/>
            </w:pPr>
            <w:r>
              <w:rPr>
                <w:b/>
                <w:bCs/>
                <w:color w:val="FFFFFF"/>
              </w:rPr>
              <w:t xml:space="preserve">Year</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left"/>
            </w:pPr>
            <w:r>
              <w:rPr>
                <w:b/>
                <w:bCs/>
                <w:color w:val="FFFFFF"/>
              </w:rPr>
              <w:t xml:space="preserve">Avg HHS Load</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left"/>
            </w:pPr>
            <w:r>
              <w:rPr>
                <w:b/>
                <w:bCs/>
                <w:color w:val="FFFFFF"/>
              </w:rPr>
              <w:t xml:space="preserve">Avg Daily Discharges</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left"/>
            </w:pPr>
            <w:r>
              <w:rPr>
                <w:b/>
                <w:bCs/>
                <w:color w:val="FFFFFF"/>
              </w:rPr>
              <w:t xml:space="preserve">Avg Daily Intake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2023</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8,608</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303 / day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115 / day</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2024</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7,020</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215 / day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147 / day</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2025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2,537</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29 / day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rPr>
              <w:t xml:space="preserve">13 / day</w:t>
            </w:r>
          </w:p>
        </w:tc>
      </w:tr>
    </w:tbl>
    <w:p>
      <w:pPr>
        <w:spacing w:after="100"/>
      </w:pPr>
    </w:p>
    <w:p>
      <w:pPr>
        <w:spacing w:after="160"/>
      </w:pPr>
      <w:r>
        <w:t xml:space="preserve">HHS care load fell 70% from 2023 to 2025. Daily discharges fell 90%. This structural shift is what caused Exponential Smoothing to score only 61.49% — its trend component extrapolated the wrong direction. Random Forest's lag and rolling features gave it enough context to track the shift in real time.</w:t>
      </w:r>
    </w:p>
    <w:p>
      <w:pPr>
        <w:pStyle w:val="Heading2"/>
      </w:pPr>
      <w:r>
        <w:t xml:space="preserve">3. Discharge forecasting is harder — and that's expected</w:t>
      </w:r>
    </w:p>
    <w:p>
      <w:pPr>
        <w:spacing w:after="160"/>
      </w:pPr>
      <w:r>
        <w:t xml:space="preserve">Daily discharges had a mean of just 29 people in 2025 (down from 303 in 2023), with high day-to-day volatility. No model forecasts a near-zero volatile series with the same precision as a smooth declining trend. Random Forest's MAE of 2.0 people per day is a strong result given this difficulty, but planners should treat discharge forecasts as directional signals rather than precise daily counts.</w:t>
      </w:r>
    </w:p>
    <w:p>
      <w:pPr>
        <w:pStyle w:val="Heading2"/>
      </w:pPr>
      <w:r>
        <w:t xml:space="preserve">4. The surge warning system adds operational value</w:t>
      </w:r>
    </w:p>
    <w:p>
      <w:pPr>
        <w:spacing w:after="160"/>
      </w:pPr>
      <w:r>
        <w:t xml:space="preserve">The dashboard includes a configurable surge alert. Set to 8,000 people, it provides meaningful lead time — the current trajectory (2,537 average in 2025) would need to triple before triggering. That gives planners a genuine early-warning window rather than a false alarm system.</w:t>
      </w:r>
    </w:p>
    <w:p>
      <w:pPr>
        <w:pStyle w:val="Heading1"/>
      </w:pPr>
      <w:r>
        <w:t xml:space="preserve">Recommendations</w:t>
      </w:r>
    </w:p>
    <w:p>
      <w:pPr>
        <w:pStyle w:val="ListParagraph"/>
        <w:numPr>
          <w:ilvl w:val="0"/>
          <w:numId w:val="2"/>
        </w:numPr>
        <w:spacing w:after="100"/>
      </w:pPr>
      <w:r>
        <w:t xml:space="preserve">Deploy Random Forest as the primary forecasting model for HHS care load. Its 97.86% accuracy and reliable confidence intervals make it operationally ready.</w:t>
      </w:r>
    </w:p>
    <w:p>
      <w:pPr>
        <w:pStyle w:val="ListParagraph"/>
        <w:numPr>
          <w:ilvl w:val="0"/>
          <w:numId w:val="2"/>
        </w:numPr>
        <w:spacing w:after="100"/>
      </w:pPr>
      <w:r>
        <w:t xml:space="preserve">Retrain the model at least quarterly. The 70% load decline from 2023 to 2025 shows this data can shift fast. A model trained on stale data will lose accuracy before error metrics catch up.</w:t>
      </w:r>
    </w:p>
    <w:p>
      <w:pPr>
        <w:pStyle w:val="ListParagraph"/>
        <w:numPr>
          <w:ilvl w:val="0"/>
          <w:numId w:val="2"/>
        </w:numPr>
        <w:spacing w:after="100"/>
      </w:pPr>
      <w:r>
        <w:t xml:space="preserve">Use the 30-day forecast horizon for staffing decisions — long enough to act on, short enough to be reliable. Use 7-day forecasts for daily operational planning.</w:t>
      </w:r>
    </w:p>
    <w:p>
      <w:pPr>
        <w:pStyle w:val="ListParagraph"/>
        <w:numPr>
          <w:ilvl w:val="0"/>
          <w:numId w:val="2"/>
        </w:numPr>
        <w:spacing w:after="100"/>
      </w:pPr>
      <w:r>
        <w:t xml:space="preserve">Treat discharge forecasts as trend direction signals. The 76.23% accuracy is useful for knowing if placements are accelerating or slowing, but not precise enough for day-level head counts.</w:t>
      </w:r>
    </w:p>
    <w:p>
      <w:pPr>
        <w:pStyle w:val="ListParagraph"/>
        <w:numPr>
          <w:ilvl w:val="0"/>
          <w:numId w:val="2"/>
        </w:numPr>
        <w:spacing w:after="100"/>
      </w:pPr>
      <w:r>
        <w:t xml:space="preserve">Connect this forecasting system with the Project 1 KPI dashboard for a complete picture — one tells you how the pipeline performed, the other tells you what's coming.</w:t>
      </w:r>
    </w:p>
    <w:p>
      <w:pPr>
        <w:pStyle w:val="Heading1"/>
      </w:pPr>
      <w:r>
        <w:t xml:space="preserve">Bottom Line</w:t>
      </w:r>
    </w:p>
    <w:p>
      <w:pPr>
        <w:spacing w:after="160"/>
      </w:pPr>
      <w:r>
        <w:rPr>
          <w:b/>
          <w:bCs/>
        </w:rPr>
        <w:t xml:space="preserve">Random Forest forecasts HHS care load with 97.86% accuracy — nearly 5 times more precise than simple statistical baselines. The system is live, deployed, and ready to give HHS planners up to 90 days of advance warning. The biggest opportunity now is making this forecasting capability a standing operational tool rather than a one-off analysis.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6"/>
        <w:szCs w:val="16"/>
      </w:rPr>
      <w:t xml:space="preserve">Page </w:t>
    </w:r>
    <w:r>
      <w:rPr>
        <w:color w:val="5B6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6"/>
        <w:szCs w:val="16"/>
      </w:rPr>
      <w:t xml:space="preserve">Executive Summary — UAC Predictive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b/>
      <w:bCs/>
      <w:color w:val="1B2A4A"/>
      <w:sz w:val="30"/>
      <w:szCs w:val="30"/>
    </w:rPr>
  </w:style>
  <w:style w:type="paragraph" w:styleId="Heading2">
    <w:name w:val="Heading 2"/>
    <w:basedOn w:val="Normal"/>
    <w:next w:val="Normal"/>
    <w:qFormat/>
    <w:pPr>
      <w:spacing w:after="140" w:before="240"/>
      <w:outlineLvl w:val="1"/>
    </w:pPr>
    <w:rPr>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2026-09-16T02:59:09.919Z</dcterms:created>
  <dcterms:modified xsi:type="dcterms:W3CDTF">2026-09-16T02:59:09.920Z</dcterms:modified>
</cp:coreProperties>
</file>

<file path=docProps/custom.xml><?xml version="1.0" encoding="utf-8"?>
<Properties xmlns="http://schemas.openxmlformats.org/officeDocument/2006/custom-properties" xmlns:vt="http://schemas.openxmlformats.org/officeDocument/2006/docPropsVTypes"/>
</file>