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center"/>
      </w:pPr>
      <w:r>
        <w:rPr>
          <w:rFonts w:ascii="Arial" w:cs="Arial" w:eastAsia="Arial" w:hAnsi="Arial"/>
          <w:b/>
          <w:bCs/>
          <w:color w:val="2B2940"/>
          <w:sz w:val="56"/>
          <w:szCs w:val="56"/>
        </w:rPr>
        <w:t xml:space="preserve">NAVIA</w:t>
      </w:r>
    </w:p>
    <w:p>
      <w:pPr>
        <w:spacing w:after="240"/>
        <w:jc w:val="center"/>
      </w:pPr>
      <w:r>
        <w:rPr>
          <w:rFonts w:ascii="Arial" w:cs="Arial" w:eastAsia="Arial" w:hAnsi="Arial"/>
          <w:i/>
          <w:iCs/>
          <w:color w:val="3E3A7A"/>
          <w:sz w:val="32"/>
          <w:szCs w:val="32"/>
        </w:rPr>
        <w:t xml:space="preserve">Trademark Brief for Counsel</w:t>
      </w:r>
    </w:p>
    <w:p>
      <w:pPr>
        <w:spacing w:after="80"/>
        <w:jc w:val="center"/>
      </w:pPr>
      <w:r>
        <w:rPr>
          <w:rFonts w:ascii="Arial" w:cs="Arial" w:eastAsia="Arial" w:hAnsi="Arial"/>
          <w:color w:val="8E7BB8"/>
          <w:sz w:val="20"/>
          <w:szCs w:val="20"/>
        </w:rPr>
        <w:t xml:space="preserve">Confidential · For Legal Review Only</w:t>
      </w:r>
    </w:p>
    <w:p>
      <w:pPr>
        <w:spacing w:after="600"/>
        <w:jc w:val="center"/>
      </w:pPr>
      <w:r>
        <w:rPr>
          <w:rFonts w:ascii="Arial" w:cs="Arial" w:eastAsia="Arial" w:hAnsi="Arial"/>
          <w:color w:val="6B6B7D"/>
          <w:sz w:val="20"/>
          <w:szCs w:val="20"/>
        </w:rPr>
        <w:t xml:space="preserve">Version 0.1 · April 15, 2026</w:t>
      </w:r>
    </w:p>
    <w:p>
      <w:pPr>
        <w:pStyle w:val="Heading1"/>
        <w:spacing w:after="180" w:before="360"/>
      </w:pPr>
      <w:r>
        <w:rPr>
          <w:rFonts w:ascii="Arial" w:cs="Arial" w:eastAsia="Arial" w:hAnsi="Arial"/>
          <w:b/>
          <w:bCs/>
          <w:color w:val="2B2940"/>
          <w:sz w:val="32"/>
          <w:szCs w:val="32"/>
        </w:rPr>
        <w:t xml:space="preserve">1. Purpose of this brief</w:t>
      </w:r>
    </w:p>
    <w:p>
      <w:pPr>
        <w:spacing w:after="140"/>
      </w:pPr>
      <w:r>
        <w:rPr>
          <w:rFonts w:ascii="Arial" w:cs="Arial" w:eastAsia="Arial" w:hAnsi="Arial"/>
          <w:sz w:val="22"/>
          <w:szCs w:val="22"/>
        </w:rPr>
        <w:t xml:space="preserve">This document presents the full commercial scope of Navia so that counsel can conduct a comprehensive trademark clearance search across every Nice class in which Navia intends to use the mark, assess risk against prior art already surfaced in a preliminary search, and recommend a filing strategy.</w:t>
      </w:r>
    </w:p>
    <w:p>
      <w:pPr>
        <w:spacing w:after="140"/>
      </w:pPr>
      <w:r>
        <w:rPr>
          <w:rFonts w:ascii="Arial" w:cs="Arial" w:eastAsia="Arial" w:hAnsi="Arial"/>
          <w:sz w:val="22"/>
          <w:szCs w:val="22"/>
        </w:rPr>
        <w:t xml:space="preserve">Navia is a quiet presence for every phase of a woman's life. Not a tracker, not a chatbot, not a coach. A presence that acts on signals before a woman has to ask. The scope below covers every commercial manifestation planned for the next 36 months: the iOS app, editorial and multimedia content, a voice pipeline, private circles, an expert network, a virtual wallet, a physical companion card, and a small set of live events.</w:t>
      </w:r>
    </w:p>
    <w:p>
      <w:pPr>
        <w:spacing w:after="140"/>
      </w:pPr>
      <w:r>
        <w:rPr>
          <w:rFonts w:ascii="Arial" w:cs="Arial" w:eastAsia="Arial" w:hAnsi="Arial"/>
          <w:sz w:val="22"/>
          <w:szCs w:val="22"/>
        </w:rPr>
        <w:t xml:space="preserve">A preliminary USPTO search surfaced four existing NAVIA marks. Two are classified HIGH risk. Section 5 documents what is known today. Section 6 lists the open questions counsel is engaged to answer.</w:t>
      </w:r>
    </w:p>
    <w:p>
      <w:pPr>
        <w:pStyle w:val="Heading1"/>
        <w:spacing w:after="180" w:before="360"/>
      </w:pPr>
      <w:r>
        <w:rPr>
          <w:rFonts w:ascii="Arial" w:cs="Arial" w:eastAsia="Arial" w:hAnsi="Arial"/>
          <w:b/>
          <w:bCs/>
          <w:color w:val="2B2940"/>
          <w:sz w:val="32"/>
          <w:szCs w:val="32"/>
        </w:rPr>
        <w:t xml:space="preserve">2. Company and founder</w:t>
      </w:r>
    </w:p>
    <w:p>
      <w:pPr>
        <w:spacing w:after="100"/>
      </w:pPr>
      <w:r>
        <w:rPr>
          <w:rFonts w:ascii="Arial" w:cs="Arial" w:eastAsia="Arial" w:hAnsi="Arial"/>
          <w:b/>
          <w:bCs/>
          <w:sz w:val="22"/>
          <w:szCs w:val="22"/>
        </w:rPr>
        <w:t xml:space="preserve">Entity. </w:t>
      </w:r>
      <w:r>
        <w:rPr>
          <w:rFonts w:ascii="Arial" w:cs="Arial" w:eastAsia="Arial" w:hAnsi="Arial"/>
          <w:sz w:val="22"/>
          <w:szCs w:val="22"/>
        </w:rPr>
        <w:t xml:space="preserve">Navia (US entity to be confirmed with counsel; formation in progress).</w:t>
      </w:r>
    </w:p>
    <w:p>
      <w:pPr>
        <w:spacing w:after="100"/>
      </w:pPr>
      <w:r>
        <w:rPr>
          <w:rFonts w:ascii="Arial" w:cs="Arial" w:eastAsia="Arial" w:hAnsi="Arial"/>
          <w:b/>
          <w:bCs/>
          <w:sz w:val="22"/>
          <w:szCs w:val="22"/>
        </w:rPr>
        <w:t xml:space="preserve">Founder. </w:t>
      </w:r>
      <w:r>
        <w:rPr>
          <w:rFonts w:ascii="Arial" w:cs="Arial" w:eastAsia="Arial" w:hAnsi="Arial"/>
          <w:sz w:val="22"/>
          <w:szCs w:val="22"/>
        </w:rPr>
        <w:t xml:space="preserve">Sebastien Assohou. Holistic health expert. EB-1 visa pathway underway.</w:t>
      </w:r>
    </w:p>
    <w:p>
      <w:pPr>
        <w:spacing w:after="100"/>
      </w:pPr>
      <w:r>
        <w:rPr>
          <w:rFonts w:ascii="Arial" w:cs="Arial" w:eastAsia="Arial" w:hAnsi="Arial"/>
          <w:b/>
          <w:bCs/>
          <w:sz w:val="22"/>
          <w:szCs w:val="22"/>
        </w:rPr>
        <w:t xml:space="preserve">Domain. </w:t>
      </w:r>
      <w:r>
        <w:rPr>
          <w:rFonts w:ascii="Arial" w:cs="Arial" w:eastAsia="Arial" w:hAnsi="Arial"/>
          <w:sz w:val="22"/>
          <w:szCs w:val="22"/>
        </w:rPr>
        <w:t xml:space="preserve">bynavia.com (primary, secured via Namecheap).</w:t>
      </w:r>
    </w:p>
    <w:p>
      <w:pPr>
        <w:spacing w:after="100"/>
      </w:pPr>
      <w:r>
        <w:rPr>
          <w:rFonts w:ascii="Arial" w:cs="Arial" w:eastAsia="Arial" w:hAnsi="Arial"/>
          <w:b/>
          <w:bCs/>
          <w:sz w:val="22"/>
          <w:szCs w:val="22"/>
        </w:rPr>
        <w:t xml:space="preserve">Email. </w:t>
      </w:r>
      <w:r>
        <w:rPr>
          <w:rFonts w:ascii="Arial" w:cs="Arial" w:eastAsia="Arial" w:hAnsi="Arial"/>
          <w:sz w:val="22"/>
          <w:szCs w:val="22"/>
        </w:rPr>
        <w:t xml:space="preserve">contact@bynavia.com and hello@bynavia.com.</w:t>
      </w:r>
    </w:p>
    <w:p>
      <w:pPr>
        <w:spacing w:after="100"/>
      </w:pPr>
      <w:r>
        <w:rPr>
          <w:rFonts w:ascii="Arial" w:cs="Arial" w:eastAsia="Arial" w:hAnsi="Arial"/>
          <w:b/>
          <w:bCs/>
          <w:sz w:val="22"/>
          <w:szCs w:val="22"/>
        </w:rPr>
        <w:t xml:space="preserve">Hosting. </w:t>
      </w:r>
      <w:r>
        <w:rPr>
          <w:rFonts w:ascii="Arial" w:cs="Arial" w:eastAsia="Arial" w:hAnsi="Arial"/>
          <w:sz w:val="22"/>
          <w:szCs w:val="22"/>
        </w:rPr>
        <w:t xml:space="preserve">Vercel (website), Cloudflare Workers (edge API for voice pipeline).</w:t>
      </w:r>
    </w:p>
    <w:p>
      <w:pPr>
        <w:spacing w:after="100"/>
      </w:pPr>
      <w:r>
        <w:rPr>
          <w:rFonts w:ascii="Arial" w:cs="Arial" w:eastAsia="Arial" w:hAnsi="Arial"/>
          <w:b/>
          <w:bCs/>
          <w:sz w:val="22"/>
          <w:szCs w:val="22"/>
        </w:rPr>
        <w:t xml:space="preserve">Primary market. </w:t>
      </w:r>
      <w:r>
        <w:rPr>
          <w:rFonts w:ascii="Arial" w:cs="Arial" w:eastAsia="Arial" w:hAnsi="Arial"/>
          <w:sz w:val="22"/>
          <w:szCs w:val="22"/>
        </w:rPr>
        <w:t xml:space="preserve">United States.</w:t>
      </w:r>
    </w:p>
    <w:p>
      <w:pPr>
        <w:spacing w:after="100"/>
      </w:pPr>
      <w:r>
        <w:rPr>
          <w:rFonts w:ascii="Arial" w:cs="Arial" w:eastAsia="Arial" w:hAnsi="Arial"/>
          <w:b/>
          <w:bCs/>
          <w:sz w:val="22"/>
          <w:szCs w:val="22"/>
        </w:rPr>
        <w:t xml:space="preserve">Secondary markets. </w:t>
      </w:r>
      <w:r>
        <w:rPr>
          <w:rFonts w:ascii="Arial" w:cs="Arial" w:eastAsia="Arial" w:hAnsi="Arial"/>
          <w:sz w:val="22"/>
          <w:szCs w:val="22"/>
        </w:rPr>
        <w:t xml:space="preserve">European Union, with France as an initial anchor.</w:t>
      </w:r>
    </w:p>
    <w:p>
      <w:pPr>
        <w:spacing w:after="100"/>
      </w:pPr>
      <w:r>
        <w:rPr>
          <w:rFonts w:ascii="Arial" w:cs="Arial" w:eastAsia="Arial" w:hAnsi="Arial"/>
          <w:b/>
          <w:bCs/>
          <w:sz w:val="22"/>
          <w:szCs w:val="22"/>
        </w:rPr>
        <w:t xml:space="preserve">Long-term ambition. </w:t>
      </w:r>
      <w:r>
        <w:rPr>
          <w:rFonts w:ascii="Arial" w:cs="Arial" w:eastAsia="Arial" w:hAnsi="Arial"/>
          <w:sz w:val="22"/>
          <w:szCs w:val="22"/>
        </w:rPr>
        <w:t xml:space="preserve">Global, phased.</w:t>
      </w:r>
    </w:p>
    <w:p>
      <w:pPr>
        <w:pStyle w:val="Heading1"/>
        <w:spacing w:after="180" w:before="360"/>
      </w:pPr>
      <w:r>
        <w:rPr>
          <w:rFonts w:ascii="Arial" w:cs="Arial" w:eastAsia="Arial" w:hAnsi="Arial"/>
          <w:b/>
          <w:bCs/>
          <w:color w:val="2B2940"/>
          <w:sz w:val="32"/>
          <w:szCs w:val="32"/>
        </w:rPr>
        <w:t xml:space="preserve">3. The mark</w:t>
      </w:r>
    </w:p>
    <w:p>
      <w:pPr>
        <w:pStyle w:val="Heading2"/>
        <w:spacing w:after="140" w:before="280"/>
      </w:pPr>
      <w:r>
        <w:rPr>
          <w:rFonts w:ascii="Arial" w:cs="Arial" w:eastAsia="Arial" w:hAnsi="Arial"/>
          <w:b/>
          <w:bCs/>
          <w:color w:val="3E3A7A"/>
          <w:sz w:val="26"/>
          <w:szCs w:val="26"/>
        </w:rPr>
        <w:t xml:space="preserve">3.1 Word mark</w:t>
      </w:r>
    </w:p>
    <w:p>
      <w:pPr>
        <w:spacing w:after="140"/>
      </w:pPr>
      <w:r>
        <w:rPr>
          <w:rFonts w:ascii="Arial" w:cs="Arial" w:eastAsia="Arial" w:hAnsi="Arial"/>
          <w:sz w:val="22"/>
          <w:szCs w:val="22"/>
        </w:rPr>
        <w:t xml:space="preserve">NAVIA, standard characters.</w:t>
      </w:r>
    </w:p>
    <w:p>
      <w:pPr>
        <w:pStyle w:val="Heading2"/>
        <w:spacing w:after="140" w:before="280"/>
      </w:pPr>
      <w:r>
        <w:rPr>
          <w:rFonts w:ascii="Arial" w:cs="Arial" w:eastAsia="Arial" w:hAnsi="Arial"/>
          <w:b/>
          <w:bCs/>
          <w:color w:val="3E3A7A"/>
          <w:sz w:val="26"/>
          <w:szCs w:val="26"/>
        </w:rPr>
        <w:t xml:space="preserve">3.2 Stylized mark</w:t>
      </w:r>
    </w:p>
    <w:p>
      <w:pPr>
        <w:spacing w:after="140"/>
      </w:pPr>
      <w:r>
        <w:rPr>
          <w:rFonts w:ascii="Arial" w:cs="Arial" w:eastAsia="Arial" w:hAnsi="Arial"/>
          <w:sz w:val="22"/>
          <w:szCs w:val="22"/>
        </w:rPr>
        <w:t xml:space="preserve">A soft lunar moon replaces the dot of the lowercase i in the wordmark "Navia". The moon is rendered as a small circle with a subtle halo, matched to the indigo and aube palette of the brand. The stylized mark is the primary visual signature across the app, the website, and all brand materials. A logo file will be provided to counsel on request.</w:t>
      </w:r>
    </w:p>
    <w:p>
      <w:pPr>
        <w:pStyle w:val="Heading2"/>
        <w:spacing w:after="140" w:before="280"/>
      </w:pPr>
      <w:r>
        <w:rPr>
          <w:rFonts w:ascii="Arial" w:cs="Arial" w:eastAsia="Arial" w:hAnsi="Arial"/>
          <w:b/>
          <w:bCs/>
          <w:color w:val="3E3A7A"/>
          <w:sz w:val="26"/>
          <w:szCs w:val="26"/>
        </w:rPr>
        <w:t xml:space="preserve">3.3 Typography</w:t>
      </w:r>
    </w:p>
    <w:p>
      <w:pPr>
        <w:spacing w:after="140"/>
      </w:pPr>
      <w:r>
        <w:rPr>
          <w:rFonts w:ascii="Arial" w:cs="Arial" w:eastAsia="Arial" w:hAnsi="Arial"/>
          <w:sz w:val="22"/>
          <w:szCs w:val="22"/>
        </w:rPr>
        <w:t xml:space="preserve">Fraunces (serif, display, with italic variants) and Inter (sans-serif, body). Both fonts are self-hostable and serve as the typographic identity of the mark in commercial use.</w:t>
      </w:r>
    </w:p>
    <w:p>
      <w:pPr>
        <w:pStyle w:val="Heading2"/>
        <w:spacing w:after="140" w:before="280"/>
      </w:pPr>
      <w:r>
        <w:rPr>
          <w:rFonts w:ascii="Arial" w:cs="Arial" w:eastAsia="Arial" w:hAnsi="Arial"/>
          <w:b/>
          <w:bCs/>
          <w:color w:val="3E3A7A"/>
          <w:sz w:val="26"/>
          <w:szCs w:val="26"/>
        </w:rPr>
        <w:t xml:space="preserve">3.4 Taglines under evaluation</w:t>
      </w:r>
    </w:p>
    <w:p>
      <w:pPr>
        <w:spacing w:after="140"/>
      </w:pPr>
      <w:r>
        <w:rPr>
          <w:rFonts w:ascii="Arial" w:cs="Arial" w:eastAsia="Arial" w:hAnsi="Arial"/>
          <w:sz w:val="22"/>
          <w:szCs w:val="22"/>
        </w:rPr>
        <w:t xml:space="preserve">“A quiet presence for every phase of a woman's life”. Other candidate taglines will be shared once short-listed for protection.</w:t>
      </w:r>
    </w:p>
    <w:p>
      <w:pPr>
        <w:pStyle w:val="Heading2"/>
        <w:spacing w:after="140" w:before="280"/>
      </w:pPr>
      <w:r>
        <w:rPr>
          <w:rFonts w:ascii="Arial" w:cs="Arial" w:eastAsia="Arial" w:hAnsi="Arial"/>
          <w:b/>
          <w:bCs/>
          <w:color w:val="3E3A7A"/>
          <w:sz w:val="26"/>
          <w:szCs w:val="26"/>
        </w:rPr>
        <w:t xml:space="preserve">3.5 Social handles</w:t>
      </w:r>
    </w:p>
    <w:p>
      <w:pPr>
        <w:spacing w:after="140"/>
      </w:pPr>
      <w:r>
        <w:rPr>
          <w:rFonts w:ascii="Arial" w:cs="Arial" w:eastAsia="Arial" w:hAnsi="Arial"/>
          <w:sz w:val="22"/>
          <w:szCs w:val="22"/>
        </w:rPr>
        <w:t xml:space="preserve">Handle availability under @bynavia and @navia will be confirmed during the clearance phase. Counsel's guidance on defensive handle registrations is welcome.</w:t>
      </w:r>
    </w:p>
    <w:p>
      <w:pPr>
        <w:pStyle w:val="Heading1"/>
        <w:spacing w:after="180" w:before="360"/>
      </w:pPr>
      <w:r>
        <w:rPr>
          <w:rFonts w:ascii="Arial" w:cs="Arial" w:eastAsia="Arial" w:hAnsi="Arial"/>
          <w:b/>
          <w:bCs/>
          <w:color w:val="2B2940"/>
          <w:sz w:val="32"/>
          <w:szCs w:val="32"/>
        </w:rPr>
        <w:t xml:space="preserve">4. Goods and services by Nice class</w:t>
      </w:r>
    </w:p>
    <w:p>
      <w:pPr>
        <w:spacing w:after="140"/>
      </w:pPr>
      <w:r>
        <w:rPr>
          <w:rFonts w:ascii="Arial" w:cs="Arial" w:eastAsia="Arial" w:hAnsi="Arial"/>
          <w:sz w:val="22"/>
          <w:szCs w:val="22"/>
        </w:rPr>
        <w:t xml:space="preserve">The table below summarizes Navia's planned use in commerce, organized by the Nice Classification. Priority is Navia's internal judgment and should be refined against counsel's clearance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100"/>
        <w:gridCol w:w="960"/>
      </w:tblGrid>
      <w:tr>
        <w:trPr>
          <w:tblHeader/>
        </w:trPr>
        <w:tc>
          <w:tcPr>
            <w:tcW w:type="dxa" w:w="900"/>
            <w:tcBorders>
              <w:top w:val="single" w:color="CCCCCC" w:sz="4"/>
              <w:left w:val="single" w:color="CCCCCC" w:sz="4"/>
              <w:bottom w:val="single" w:color="CCCCCC" w:sz="4"/>
              <w:right w:val="single" w:color="CCCCCC" w:sz="4"/>
            </w:tcBorders>
            <w:shd w:fill="2B2940" w:val="clear"/>
            <w:tcMar>
              <w:top w:type="dxa" w:w="100"/>
              <w:left w:type="dxa" w:w="140"/>
              <w:bottom w:type="dxa" w:w="100"/>
              <w:right w:type="dxa" w:w="140"/>
            </w:tcMar>
          </w:tcPr>
          <w:p>
            <w:r>
              <w:rPr>
                <w:rFonts w:ascii="Arial" w:cs="Arial" w:eastAsia="Arial" w:hAnsi="Arial"/>
                <w:b/>
                <w:bCs/>
                <w:color w:val="FFFFFF"/>
                <w:sz w:val="20"/>
                <w:szCs w:val="20"/>
              </w:rPr>
              <w:t xml:space="preserve">Class</w:t>
            </w:r>
          </w:p>
        </w:tc>
        <w:tc>
          <w:tcPr>
            <w:tcW w:type="dxa" w:w="2400"/>
            <w:tcBorders>
              <w:top w:val="single" w:color="CCCCCC" w:sz="4"/>
              <w:left w:val="single" w:color="CCCCCC" w:sz="4"/>
              <w:bottom w:val="single" w:color="CCCCCC" w:sz="4"/>
              <w:right w:val="single" w:color="CCCCCC" w:sz="4"/>
            </w:tcBorders>
            <w:shd w:fill="2B2940"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5100"/>
            <w:tcBorders>
              <w:top w:val="single" w:color="CCCCCC" w:sz="4"/>
              <w:left w:val="single" w:color="CCCCCC" w:sz="4"/>
              <w:bottom w:val="single" w:color="CCCCCC" w:sz="4"/>
              <w:right w:val="single" w:color="CCCCCC" w:sz="4"/>
            </w:tcBorders>
            <w:shd w:fill="2B2940" w:val="clear"/>
            <w:tcMar>
              <w:top w:type="dxa" w:w="100"/>
              <w:left w:type="dxa" w:w="140"/>
              <w:bottom w:type="dxa" w:w="100"/>
              <w:right w:type="dxa" w:w="140"/>
            </w:tcMar>
          </w:tcPr>
          <w:p>
            <w:r>
              <w:rPr>
                <w:rFonts w:ascii="Arial" w:cs="Arial" w:eastAsia="Arial" w:hAnsi="Arial"/>
                <w:b/>
                <w:bCs/>
                <w:color w:val="FFFFFF"/>
                <w:sz w:val="20"/>
                <w:szCs w:val="20"/>
              </w:rPr>
              <w:t xml:space="preserve">Navia activity in commerce</w:t>
            </w:r>
          </w:p>
        </w:tc>
        <w:tc>
          <w:tcPr>
            <w:tcW w:type="dxa" w:w="960"/>
            <w:tcBorders>
              <w:top w:val="single" w:color="CCCCCC" w:sz="4"/>
              <w:left w:val="single" w:color="CCCCCC" w:sz="4"/>
              <w:bottom w:val="single" w:color="CCCCCC" w:sz="4"/>
              <w:right w:val="single" w:color="CCCCCC" w:sz="4"/>
            </w:tcBorders>
            <w:shd w:fill="2B2940"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900"/>
            <w:tcBorders>
              <w:top w:val="single" w:color="CCCCCC" w:sz="4"/>
              <w:left w:val="single" w:color="CCCCCC" w:sz="4"/>
              <w:bottom w:val="single" w:color="CCCCCC" w:sz="4"/>
              <w:right w:val="single" w:color="CCCCCC" w:sz="4"/>
            </w:tcBorders>
            <w:shd w:fill="F5F0E6" w:val="clear"/>
            <w:tcMar>
              <w:top w:type="dxa" w:w="100"/>
              <w:left w:type="dxa" w:w="140"/>
              <w:bottom w:type="dxa" w:w="100"/>
              <w:right w:type="dxa" w:w="140"/>
            </w:tcMar>
          </w:tcPr>
          <w:p>
            <w:r>
              <w:rPr>
                <w:rFonts w:ascii="Arial" w:cs="Arial" w:eastAsia="Arial" w:hAnsi="Arial"/>
                <w:b/>
                <w:bCs/>
                <w:sz w:val="20"/>
                <w:szCs w:val="20"/>
              </w:rPr>
              <w:t xml:space="preserve">9</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Mobile software</w:t>
            </w:r>
          </w:p>
        </w:tc>
        <w:tc>
          <w:tcPr>
            <w:tcW w:type="dxa" w:w="5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Downloadable iOS application providing an AI-powered wellness and emotional presence for women. Voice-interactive software. Cycle, fertility, pregnancy, postpartum, and menopause tracking features integrated into the app.</w:t>
            </w:r>
          </w:p>
        </w:tc>
        <w:tc>
          <w:tcPr>
            <w:tcW w:type="dxa" w:w="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bCs/>
                <w:color w:val="B5294A"/>
                <w:sz w:val="20"/>
                <w:szCs w:val="20"/>
              </w:rPr>
              <w:t xml:space="preserve">HIGH</w:t>
            </w:r>
          </w:p>
        </w:tc>
      </w:tr>
      <w:tr>
        <w:tc>
          <w:tcPr>
            <w:tcW w:type="dxa" w:w="900"/>
            <w:tcBorders>
              <w:top w:val="single" w:color="CCCCCC" w:sz="4"/>
              <w:left w:val="single" w:color="CCCCCC" w:sz="4"/>
              <w:bottom w:val="single" w:color="CCCCCC" w:sz="4"/>
              <w:right w:val="single" w:color="CCCCCC" w:sz="4"/>
            </w:tcBorders>
            <w:shd w:fill="F5F0E6" w:val="clear"/>
            <w:tcMar>
              <w:top w:type="dxa" w:w="100"/>
              <w:left w:type="dxa" w:w="140"/>
              <w:bottom w:type="dxa" w:w="100"/>
              <w:right w:type="dxa" w:w="140"/>
            </w:tcMar>
          </w:tcPr>
          <w:p>
            <w:r>
              <w:rPr>
                <w:rFonts w:ascii="Arial" w:cs="Arial" w:eastAsia="Arial" w:hAnsi="Arial"/>
                <w:b/>
                <w:bCs/>
                <w:sz w:val="20"/>
                <w:szCs w:val="20"/>
              </w:rPr>
              <w:t xml:space="preserve">42</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SaaS, platform hosting</w:t>
            </w:r>
          </w:p>
        </w:tc>
        <w:tc>
          <w:tcPr>
            <w:tcW w:type="dxa" w:w="5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Cloud-hosted AI platform for women's wellness. Voice pipeline architecture. Encrypted data storage. Health synthesis export to healthcare providers. Per-user model personalization. This is the class where the two prior NAVIA marks sit and the most sensitive filing.</w:t>
            </w:r>
          </w:p>
        </w:tc>
        <w:tc>
          <w:tcPr>
            <w:tcW w:type="dxa" w:w="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bCs/>
                <w:color w:val="B5294A"/>
                <w:sz w:val="20"/>
                <w:szCs w:val="20"/>
              </w:rPr>
              <w:t xml:space="preserve">HIGH</w:t>
            </w:r>
          </w:p>
        </w:tc>
      </w:tr>
      <w:tr>
        <w:tc>
          <w:tcPr>
            <w:tcW w:type="dxa" w:w="900"/>
            <w:tcBorders>
              <w:top w:val="single" w:color="CCCCCC" w:sz="4"/>
              <w:left w:val="single" w:color="CCCCCC" w:sz="4"/>
              <w:bottom w:val="single" w:color="CCCCCC" w:sz="4"/>
              <w:right w:val="single" w:color="CCCCCC" w:sz="4"/>
            </w:tcBorders>
            <w:shd w:fill="F5F0E6" w:val="clear"/>
            <w:tcMar>
              <w:top w:type="dxa" w:w="100"/>
              <w:left w:type="dxa" w:w="140"/>
              <w:bottom w:type="dxa" w:w="100"/>
              <w:right w:type="dxa" w:w="140"/>
            </w:tcMar>
          </w:tcPr>
          <w:p>
            <w:r>
              <w:rPr>
                <w:rFonts w:ascii="Arial" w:cs="Arial" w:eastAsia="Arial" w:hAnsi="Arial"/>
                <w:b/>
                <w:bCs/>
                <w:sz w:val="20"/>
                <w:szCs w:val="20"/>
              </w:rPr>
              <w:t xml:space="preserve">41</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Editorial and educational content</w:t>
            </w:r>
          </w:p>
        </w:tc>
        <w:tc>
          <w:tcPr>
            <w:tcW w:type="dxa" w:w="5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Long-form articles on perinatal health, cycles, menopause, motherhood. Podcast series with licensed specialists. Short-form video fragments for moments of need. YouTube interview series. Online and potentially live educational events.</w:t>
            </w:r>
          </w:p>
        </w:tc>
        <w:tc>
          <w:tcPr>
            <w:tcW w:type="dxa" w:w="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bCs/>
                <w:color w:val="B5294A"/>
                <w:sz w:val="20"/>
                <w:szCs w:val="20"/>
              </w:rPr>
              <w:t xml:space="preserve">HIGH</w:t>
            </w:r>
          </w:p>
        </w:tc>
      </w:tr>
      <w:tr>
        <w:tc>
          <w:tcPr>
            <w:tcW w:type="dxa" w:w="900"/>
            <w:tcBorders>
              <w:top w:val="single" w:color="CCCCCC" w:sz="4"/>
              <w:left w:val="single" w:color="CCCCCC" w:sz="4"/>
              <w:bottom w:val="single" w:color="CCCCCC" w:sz="4"/>
              <w:right w:val="single" w:color="CCCCCC" w:sz="4"/>
            </w:tcBorders>
            <w:shd w:fill="F5F0E6" w:val="clear"/>
            <w:tcMar>
              <w:top w:type="dxa" w:w="100"/>
              <w:left w:type="dxa" w:w="140"/>
              <w:bottom w:type="dxa" w:w="100"/>
              <w:right w:type="dxa" w:w="140"/>
            </w:tcMar>
          </w:tcPr>
          <w:p>
            <w:r>
              <w:rPr>
                <w:rFonts w:ascii="Arial" w:cs="Arial" w:eastAsia="Arial" w:hAnsi="Arial"/>
                <w:b/>
                <w:bCs/>
                <w:sz w:val="20"/>
                <w:szCs w:val="20"/>
              </w:rPr>
              <w:t xml:space="preserve">44</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Wellness and medical-adjacent services</w:t>
            </w:r>
          </w:p>
        </w:tc>
        <w:tc>
          <w:tcPr>
            <w:tcW w:type="dxa" w:w="5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Non-clinical emotional and wellness support. Expert network referrals to psychiatrists, gynecologists, endocrinologists, perinatal coaches, pediatric first responders, relational psychologists, family therapists, and stress physiologists. Asynchronous expert access in paid tiers.</w:t>
            </w:r>
          </w:p>
        </w:tc>
        <w:tc>
          <w:tcPr>
            <w:tcW w:type="dxa" w:w="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bCs/>
                <w:color w:val="B5294A"/>
                <w:sz w:val="20"/>
                <w:szCs w:val="20"/>
              </w:rPr>
              <w:t xml:space="preserve">HIGH</w:t>
            </w:r>
          </w:p>
        </w:tc>
      </w:tr>
      <w:tr>
        <w:tc>
          <w:tcPr>
            <w:tcW w:type="dxa" w:w="900"/>
            <w:tcBorders>
              <w:top w:val="single" w:color="CCCCCC" w:sz="4"/>
              <w:left w:val="single" w:color="CCCCCC" w:sz="4"/>
              <w:bottom w:val="single" w:color="CCCCCC" w:sz="4"/>
              <w:right w:val="single" w:color="CCCCCC" w:sz="4"/>
            </w:tcBorders>
            <w:shd w:fill="F5F0E6" w:val="clear"/>
            <w:tcMar>
              <w:top w:type="dxa" w:w="100"/>
              <w:left w:type="dxa" w:w="140"/>
              <w:bottom w:type="dxa" w:w="100"/>
              <w:right w:type="dxa" w:w="140"/>
            </w:tcMar>
          </w:tcPr>
          <w:p>
            <w:r>
              <w:rPr>
                <w:rFonts w:ascii="Arial" w:cs="Arial" w:eastAsia="Arial" w:hAnsi="Arial"/>
                <w:b/>
                <w:bCs/>
                <w:sz w:val="20"/>
                <w:szCs w:val="20"/>
              </w:rPr>
              <w:t xml:space="preserve">45</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Personal and community services</w:t>
            </w:r>
          </w:p>
        </w:tc>
        <w:tc>
          <w:tcPr>
            <w:tcW w:type="dxa" w:w="5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Private social circles invited by QR code. Peer support environments. Community moderation and dignity-centered interpersonal services.</w:t>
            </w:r>
          </w:p>
        </w:tc>
        <w:tc>
          <w:tcPr>
            <w:tcW w:type="dxa" w:w="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bCs/>
                <w:color w:val="C97A3A"/>
                <w:sz w:val="20"/>
                <w:szCs w:val="20"/>
              </w:rPr>
              <w:t xml:space="preserve">MEDIUM</w:t>
            </w:r>
          </w:p>
        </w:tc>
      </w:tr>
      <w:tr>
        <w:tc>
          <w:tcPr>
            <w:tcW w:type="dxa" w:w="900"/>
            <w:tcBorders>
              <w:top w:val="single" w:color="CCCCCC" w:sz="4"/>
              <w:left w:val="single" w:color="CCCCCC" w:sz="4"/>
              <w:bottom w:val="single" w:color="CCCCCC" w:sz="4"/>
              <w:right w:val="single" w:color="CCCCCC" w:sz="4"/>
            </w:tcBorders>
            <w:shd w:fill="F5F0E6" w:val="clear"/>
            <w:tcMar>
              <w:top w:type="dxa" w:w="100"/>
              <w:left w:type="dxa" w:w="140"/>
              <w:bottom w:type="dxa" w:w="100"/>
              <w:right w:type="dxa" w:w="140"/>
            </w:tcMar>
          </w:tcPr>
          <w:p>
            <w:r>
              <w:rPr>
                <w:rFonts w:ascii="Arial" w:cs="Arial" w:eastAsia="Arial" w:hAnsi="Arial"/>
                <w:b/>
                <w:bCs/>
                <w:sz w:val="20"/>
                <w:szCs w:val="20"/>
              </w:rPr>
              <w:t xml:space="preserve">36</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Financial services</w:t>
            </w:r>
          </w:p>
        </w:tc>
        <w:tc>
          <w:tcPr>
            <w:tcW w:type="dxa" w:w="5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Virtual wallet inside the Navia app. Navia Points reward system. Gift economy mechanics. Stripe-based payment processing. Physical companion prepaid card planned for a later phase.</w:t>
            </w:r>
          </w:p>
        </w:tc>
        <w:tc>
          <w:tcPr>
            <w:tcW w:type="dxa" w:w="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bCs/>
                <w:color w:val="C97A3A"/>
                <w:sz w:val="20"/>
                <w:szCs w:val="20"/>
              </w:rPr>
              <w:t xml:space="preserve">MEDIUM</w:t>
            </w:r>
          </w:p>
        </w:tc>
      </w:tr>
      <w:tr>
        <w:tc>
          <w:tcPr>
            <w:tcW w:type="dxa" w:w="900"/>
            <w:tcBorders>
              <w:top w:val="single" w:color="CCCCCC" w:sz="4"/>
              <w:left w:val="single" w:color="CCCCCC" w:sz="4"/>
              <w:bottom w:val="single" w:color="CCCCCC" w:sz="4"/>
              <w:right w:val="single" w:color="CCCCCC" w:sz="4"/>
            </w:tcBorders>
            <w:shd w:fill="F5F0E6" w:val="clear"/>
            <w:tcMar>
              <w:top w:type="dxa" w:w="100"/>
              <w:left w:type="dxa" w:w="140"/>
              <w:bottom w:type="dxa" w:w="100"/>
              <w:right w:type="dxa" w:w="140"/>
            </w:tcMar>
          </w:tcPr>
          <w:p>
            <w:r>
              <w:rPr>
                <w:rFonts w:ascii="Arial" w:cs="Arial" w:eastAsia="Arial" w:hAnsi="Arial"/>
                <w:b/>
                <w:bCs/>
                <w:sz w:val="20"/>
                <w:szCs w:val="20"/>
              </w:rPr>
              <w:t xml:space="preserve">38</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Telecommunications</w:t>
            </w:r>
          </w:p>
        </w:tc>
        <w:tc>
          <w:tcPr>
            <w:tcW w:type="dxa" w:w="5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Voice and potential video interaction between the user and the Navia presence. Messaging infrastructure within private circles. Real-time audio processing pipeline.</w:t>
            </w:r>
          </w:p>
        </w:tc>
        <w:tc>
          <w:tcPr>
            <w:tcW w:type="dxa" w:w="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bCs/>
                <w:color w:val="C97A3A"/>
                <w:sz w:val="20"/>
                <w:szCs w:val="20"/>
              </w:rPr>
              <w:t xml:space="preserve">MEDIUM</w:t>
            </w:r>
          </w:p>
        </w:tc>
      </w:tr>
      <w:tr>
        <w:tc>
          <w:tcPr>
            <w:tcW w:type="dxa" w:w="900"/>
            <w:tcBorders>
              <w:top w:val="single" w:color="CCCCCC" w:sz="4"/>
              <w:left w:val="single" w:color="CCCCCC" w:sz="4"/>
              <w:bottom w:val="single" w:color="CCCCCC" w:sz="4"/>
              <w:right w:val="single" w:color="CCCCCC" w:sz="4"/>
            </w:tcBorders>
            <w:shd w:fill="F5F0E6" w:val="clear"/>
            <w:tcMar>
              <w:top w:type="dxa" w:w="100"/>
              <w:left w:type="dxa" w:w="140"/>
              <w:bottom w:type="dxa" w:w="100"/>
              <w:right w:type="dxa" w:w="140"/>
            </w:tcMar>
          </w:tcPr>
          <w:p>
            <w:r>
              <w:rPr>
                <w:rFonts w:ascii="Arial" w:cs="Arial" w:eastAsia="Arial" w:hAnsi="Arial"/>
                <w:b/>
                <w:bCs/>
                <w:sz w:val="20"/>
                <w:szCs w:val="20"/>
              </w:rPr>
              <w:t xml:space="preserve">35</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Business and affiliate services</w:t>
            </w:r>
          </w:p>
        </w:tc>
        <w:tc>
          <w:tcPr>
            <w:tcW w:type="dxa" w:w="5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Partnerships with specialist cabinets. Expert referral program. Potential sponsored content and affiliate arrangements in later phases.</w:t>
            </w:r>
          </w:p>
        </w:tc>
        <w:tc>
          <w:tcPr>
            <w:tcW w:type="dxa" w:w="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bCs/>
                <w:color w:val="2E7D5B"/>
                <w:sz w:val="20"/>
                <w:szCs w:val="20"/>
              </w:rPr>
              <w:t xml:space="preserve">LOW</w:t>
            </w:r>
          </w:p>
        </w:tc>
      </w:tr>
      <w:tr>
        <w:tc>
          <w:tcPr>
            <w:tcW w:type="dxa" w:w="900"/>
            <w:tcBorders>
              <w:top w:val="single" w:color="CCCCCC" w:sz="4"/>
              <w:left w:val="single" w:color="CCCCCC" w:sz="4"/>
              <w:bottom w:val="single" w:color="CCCCCC" w:sz="4"/>
              <w:right w:val="single" w:color="CCCCCC" w:sz="4"/>
            </w:tcBorders>
            <w:shd w:fill="F5F0E6" w:val="clear"/>
            <w:tcMar>
              <w:top w:type="dxa" w:w="100"/>
              <w:left w:type="dxa" w:w="140"/>
              <w:bottom w:type="dxa" w:w="100"/>
              <w:right w:type="dxa" w:w="140"/>
            </w:tcMar>
          </w:tcPr>
          <w:p>
            <w:r>
              <w:rPr>
                <w:rFonts w:ascii="Arial" w:cs="Arial" w:eastAsia="Arial" w:hAnsi="Arial"/>
                <w:b/>
                <w:bCs/>
                <w:sz w:val="20"/>
                <w:szCs w:val="20"/>
              </w:rPr>
              <w:t xml:space="preserve">16</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Printed materials</w:t>
            </w:r>
          </w:p>
        </w:tc>
        <w:tc>
          <w:tcPr>
            <w:tcW w:type="dxa" w:w="5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Possible journals, books, and brand-aligned printed companions in later phases. Not a day-one filing concern.</w:t>
            </w:r>
          </w:p>
        </w:tc>
        <w:tc>
          <w:tcPr>
            <w:tcW w:type="dxa" w:w="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bCs/>
                <w:color w:val="2E7D5B"/>
                <w:sz w:val="20"/>
                <w:szCs w:val="20"/>
              </w:rPr>
              <w:t xml:space="preserve">LOW</w:t>
            </w:r>
          </w:p>
        </w:tc>
      </w:tr>
    </w:tbl>
    <w:p>
      <w:pPr>
        <w:spacing w:after="200"/>
      </w:pPr>
      <w:r>
        <w:rPr>
          <w:rFonts w:ascii="Arial" w:cs="Arial" w:eastAsia="Arial" w:hAnsi="Arial"/>
          <w:sz w:val="18"/>
          <w:szCs w:val="18"/>
        </w:rPr>
        <w:t xml:space="preserve"> </w:t>
      </w:r>
    </w:p>
    <w:p>
      <w:pPr>
        <w:spacing w:after="140"/>
      </w:pPr>
      <w:r>
        <w:rPr>
          <w:rFonts w:ascii="Arial" w:cs="Arial" w:eastAsia="Arial" w:hAnsi="Arial"/>
          <w:sz w:val="22"/>
          <w:szCs w:val="22"/>
        </w:rPr>
        <w:t xml:space="preserve">Day-one filing candidates: Class 9, Class 42, Class 41, Class 44. These cover the app, the hosted platform, the editorial layer, and the wellness services that will be live at launch.</w:t>
      </w:r>
    </w:p>
    <w:p>
      <w:pPr>
        <w:spacing w:after="140"/>
      </w:pPr>
      <w:r>
        <w:rPr>
          <w:rFonts w:ascii="Arial" w:cs="Arial" w:eastAsia="Arial" w:hAnsi="Arial"/>
          <w:sz w:val="22"/>
          <w:szCs w:val="22"/>
        </w:rPr>
        <w:t xml:space="preserve">Phase 2 filings: Class 45 (circles), Class 36 (wallet), Class 38 (voice telecom), once the associated product modules are nearing release.</w:t>
      </w:r>
    </w:p>
    <w:p>
      <w:pPr>
        <w:spacing w:after="140"/>
      </w:pPr>
      <w:r>
        <w:rPr>
          <w:rFonts w:ascii="Arial" w:cs="Arial" w:eastAsia="Arial" w:hAnsi="Arial"/>
          <w:sz w:val="22"/>
          <w:szCs w:val="22"/>
        </w:rPr>
        <w:t xml:space="preserve">Opportunistic filings: Class 35, Class 16, and any additional classes counsel recommends for defensive coverage.</w:t>
      </w:r>
    </w:p>
    <w:p>
      <w:pPr>
        <w:pStyle w:val="Heading1"/>
        <w:spacing w:after="180" w:before="360"/>
      </w:pPr>
      <w:r>
        <w:rPr>
          <w:rFonts w:ascii="Arial" w:cs="Arial" w:eastAsia="Arial" w:hAnsi="Arial"/>
          <w:b/>
          <w:bCs/>
          <w:color w:val="2B2940"/>
          <w:sz w:val="32"/>
          <w:szCs w:val="32"/>
        </w:rPr>
        <w:t xml:space="preserve">5. Prior art already identified</w:t>
      </w:r>
    </w:p>
    <w:p>
      <w:pPr>
        <w:spacing w:after="140"/>
      </w:pPr>
      <w:r>
        <w:rPr>
          <w:rFonts w:ascii="Arial" w:cs="Arial" w:eastAsia="Arial" w:hAnsi="Arial"/>
          <w:sz w:val="22"/>
          <w:szCs w:val="22"/>
        </w:rPr>
        <w:t xml:space="preserve">A preliminary USPTO search surfaced four existing NAVIA marks. The two HIGH-risk entries below are the principal concern and should drive the initial comprehensive clearance.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900"/>
        <w:gridCol w:w="900"/>
        <w:gridCol w:w="2560"/>
      </w:tblGrid>
      <w:tr>
        <w:trPr>
          <w:tblHeader/>
        </w:trPr>
        <w:tc>
          <w:tcPr>
            <w:tcW w:type="dxa" w:w="2200"/>
            <w:tcBorders>
              <w:top w:val="single" w:color="CCCCCC" w:sz="4"/>
              <w:left w:val="single" w:color="CCCCCC" w:sz="4"/>
              <w:bottom w:val="single" w:color="CCCCCC" w:sz="4"/>
              <w:right w:val="single" w:color="CCCCCC" w:sz="4"/>
            </w:tcBorders>
            <w:shd w:fill="2B2940"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1400"/>
            <w:tcBorders>
              <w:top w:val="single" w:color="CCCCCC" w:sz="4"/>
              <w:left w:val="single" w:color="CCCCCC" w:sz="4"/>
              <w:bottom w:val="single" w:color="CCCCCC" w:sz="4"/>
              <w:right w:val="single" w:color="CCCCCC" w:sz="4"/>
            </w:tcBorders>
            <w:shd w:fill="2B2940" w:val="clear"/>
            <w:tcMar>
              <w:top w:type="dxa" w:w="100"/>
              <w:left w:type="dxa" w:w="140"/>
              <w:bottom w:type="dxa" w:w="100"/>
              <w:right w:type="dxa" w:w="140"/>
            </w:tcMar>
          </w:tcPr>
          <w:p>
            <w:r>
              <w:rPr>
                <w:rFonts w:ascii="Arial" w:cs="Arial" w:eastAsia="Arial" w:hAnsi="Arial"/>
                <w:b/>
                <w:bCs/>
                <w:color w:val="FFFFFF"/>
                <w:sz w:val="20"/>
                <w:szCs w:val="20"/>
              </w:rPr>
              <w:t xml:space="preserve">Mark</w:t>
            </w:r>
          </w:p>
        </w:tc>
        <w:tc>
          <w:tcPr>
            <w:tcW w:type="dxa" w:w="1400"/>
            <w:tcBorders>
              <w:top w:val="single" w:color="CCCCCC" w:sz="4"/>
              <w:left w:val="single" w:color="CCCCCC" w:sz="4"/>
              <w:bottom w:val="single" w:color="CCCCCC" w:sz="4"/>
              <w:right w:val="single" w:color="CCCCCC" w:sz="4"/>
            </w:tcBorders>
            <w:shd w:fill="2B2940" w:val="clear"/>
            <w:tcMar>
              <w:top w:type="dxa" w:w="100"/>
              <w:left w:type="dxa" w:w="140"/>
              <w:bottom w:type="dxa" w:w="100"/>
              <w:right w:type="dxa" w:w="140"/>
            </w:tcMar>
          </w:tcPr>
          <w:p>
            <w:r>
              <w:rPr>
                <w:rFonts w:ascii="Arial" w:cs="Arial" w:eastAsia="Arial" w:hAnsi="Arial"/>
                <w:b/>
                <w:bCs/>
                <w:color w:val="FFFFFF"/>
                <w:sz w:val="20"/>
                <w:szCs w:val="20"/>
              </w:rPr>
              <w:t xml:space="preserve">Serial</w:t>
            </w:r>
          </w:p>
        </w:tc>
        <w:tc>
          <w:tcPr>
            <w:tcW w:type="dxa" w:w="900"/>
            <w:tcBorders>
              <w:top w:val="single" w:color="CCCCCC" w:sz="4"/>
              <w:left w:val="single" w:color="CCCCCC" w:sz="4"/>
              <w:bottom w:val="single" w:color="CCCCCC" w:sz="4"/>
              <w:right w:val="single" w:color="CCCCCC" w:sz="4"/>
            </w:tcBorders>
            <w:shd w:fill="2B2940" w:val="clear"/>
            <w:tcMar>
              <w:top w:type="dxa" w:w="100"/>
              <w:left w:type="dxa" w:w="140"/>
              <w:bottom w:type="dxa" w:w="100"/>
              <w:right w:type="dxa" w:w="140"/>
            </w:tcMar>
          </w:tcPr>
          <w:p>
            <w:r>
              <w:rPr>
                <w:rFonts w:ascii="Arial" w:cs="Arial" w:eastAsia="Arial" w:hAnsi="Arial"/>
                <w:b/>
                <w:bCs/>
                <w:color w:val="FFFFFF"/>
                <w:sz w:val="20"/>
                <w:szCs w:val="20"/>
              </w:rPr>
              <w:t xml:space="preserve">Class</w:t>
            </w:r>
          </w:p>
        </w:tc>
        <w:tc>
          <w:tcPr>
            <w:tcW w:type="dxa" w:w="900"/>
            <w:tcBorders>
              <w:top w:val="single" w:color="CCCCCC" w:sz="4"/>
              <w:left w:val="single" w:color="CCCCCC" w:sz="4"/>
              <w:bottom w:val="single" w:color="CCCCCC" w:sz="4"/>
              <w:right w:val="single" w:color="CCCCCC" w:sz="4"/>
            </w:tcBorders>
            <w:shd w:fill="2B2940"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2560"/>
            <w:tcBorders>
              <w:top w:val="single" w:color="CCCCCC" w:sz="4"/>
              <w:left w:val="single" w:color="CCCCCC" w:sz="4"/>
              <w:bottom w:val="single" w:color="CCCCCC" w:sz="4"/>
              <w:right w:val="single" w:color="CCCCCC" w:sz="4"/>
            </w:tcBorders>
            <w:shd w:fill="2B2940"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Central Logic, Inc.</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NAVIA</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88494307</w:t>
            </w:r>
          </w:p>
        </w:tc>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42</w:t>
            </w:r>
          </w:p>
        </w:tc>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bCs/>
                <w:color w:val="B5294A"/>
                <w:sz w:val="20"/>
                <w:szCs w:val="20"/>
              </w:rPr>
              <w:t xml:space="preserve">HIGH</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Healthcare SaaS platform. Directly overlapping class. Principal clearance blocker to analyze.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Connection-coaches LLC</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NAVIA AI</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99640250</w:t>
            </w:r>
          </w:p>
        </w:tc>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42</w:t>
            </w:r>
          </w:p>
        </w:tc>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bCs/>
                <w:color w:val="B5294A"/>
                <w:sz w:val="20"/>
                <w:szCs w:val="20"/>
              </w:rPr>
              <w:t xml:space="preserve">HIGH</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Mobile app hosting. Class 42 again, with AI coaching use case adjacent to Navia's positioning.</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Navia Benefit Solutions</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NAVIA</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Common law</w:t>
            </w:r>
          </w:p>
        </w:tc>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healthcare benefits</w:t>
            </w:r>
          </w:p>
        </w:tc>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bCs/>
                <w:color w:val="C97A3A"/>
                <w:sz w:val="20"/>
                <w:szCs w:val="20"/>
              </w:rPr>
              <w:t xml:space="preserve">MEDIUM</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National benefits administrator, acquired March 2026. Common law rights in healthcare-adjacent commerce. Overlap with Navia's health synthesis features.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sz w:val="20"/>
                <w:szCs w:val="20"/>
              </w:rPr>
              <w:t xml:space="preserve">Additional NAVIA mark</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NAVIA</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To be confirmed</w:t>
            </w:r>
          </w:p>
        </w:tc>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TBD</w:t>
            </w:r>
          </w:p>
        </w:tc>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bCs/>
                <w:color w:val="C97A3A"/>
                <w:sz w:val="20"/>
                <w:szCs w:val="20"/>
              </w:rPr>
              <w:t xml:space="preserve">MEDIUM</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0"/>
                <w:szCs w:val="20"/>
              </w:rPr>
              <w:t xml:space="preserve">Fourth mark identified during preliminary search. Details to be reviewed with counsel during comprehensive search.</w:t>
            </w:r>
          </w:p>
        </w:tc>
      </w:tr>
    </w:tbl>
    <w:p>
      <w:pPr>
        <w:spacing w:after="200"/>
      </w:pPr>
      <w:r>
        <w:rPr>
          <w:rFonts w:ascii="Arial" w:cs="Arial" w:eastAsia="Arial" w:hAnsi="Arial"/>
          <w:sz w:val="18"/>
          <w:szCs w:val="18"/>
        </w:rPr>
        <w:t xml:space="preserve"> </w:t>
      </w:r>
    </w:p>
    <w:p>
      <w:pPr>
        <w:spacing w:after="140"/>
      </w:pPr>
      <w:r>
        <w:rPr>
          <w:rFonts w:ascii="Arial" w:cs="Arial" w:eastAsia="Arial" w:hAnsi="Arial"/>
          <w:sz w:val="22"/>
          <w:szCs w:val="22"/>
        </w:rPr>
        <w:t xml:space="preserve">Beyond USPTO, counsel should extend the search to common law databases (state-level, business directories), domain registries (.com, .ai, .health), and major social platforms to map unregistered use.</w:t>
      </w:r>
    </w:p>
    <w:p>
      <w:pPr>
        <w:pStyle w:val="Heading1"/>
        <w:spacing w:after="180" w:before="360"/>
      </w:pPr>
      <w:r>
        <w:rPr>
          <w:rFonts w:ascii="Arial" w:cs="Arial" w:eastAsia="Arial" w:hAnsi="Arial"/>
          <w:b/>
          <w:bCs/>
          <w:color w:val="2B2940"/>
          <w:sz w:val="32"/>
          <w:szCs w:val="32"/>
        </w:rPr>
        <w:t xml:space="preserve">6. Open questions for counsel</w:t>
      </w:r>
    </w:p>
    <w:p>
      <w:pPr>
        <w:pStyle w:val="ListParagraph"/>
        <w:numPr>
          <w:ilvl w:val="0"/>
          <w:numId w:val="2"/>
        </w:numPr>
        <w:spacing w:after="80"/>
      </w:pPr>
      <w:r>
        <w:rPr>
          <w:rFonts w:ascii="Arial" w:cs="Arial" w:eastAsia="Arial" w:hAnsi="Arial"/>
          <w:sz w:val="22"/>
          <w:szCs w:val="22"/>
        </w:rPr>
        <w:t xml:space="preserve">Can NAVIA be registered in Class 42 given the two HIGH-risk prior marks, potentially with a narrower carve-out focused on women's wellness and emotional support?</w:t>
      </w:r>
    </w:p>
    <w:p>
      <w:pPr>
        <w:pStyle w:val="ListParagraph"/>
        <w:numPr>
          <w:ilvl w:val="0"/>
          <w:numId w:val="2"/>
        </w:numPr>
        <w:spacing w:after="80"/>
      </w:pPr>
      <w:r>
        <w:rPr>
          <w:rFonts w:ascii="Arial" w:cs="Arial" w:eastAsia="Arial" w:hAnsi="Arial"/>
          <w:sz w:val="22"/>
          <w:szCs w:val="22"/>
        </w:rPr>
        <w:t xml:space="preserve">Does a stylized filing (wordmark plus moon glyph) materially improve distinctiveness and clearance odds, or should we file the standard-character word mark first?</w:t>
      </w:r>
    </w:p>
    <w:p>
      <w:pPr>
        <w:pStyle w:val="ListParagraph"/>
        <w:numPr>
          <w:ilvl w:val="0"/>
          <w:numId w:val="2"/>
        </w:numPr>
        <w:spacing w:after="80"/>
      </w:pPr>
      <w:r>
        <w:rPr>
          <w:rFonts w:ascii="Arial" w:cs="Arial" w:eastAsia="Arial" w:hAnsi="Arial"/>
          <w:sz w:val="22"/>
          <w:szCs w:val="22"/>
        </w:rPr>
        <w:t xml:space="preserve">Is an intent-to-use (ITU) filing the right vehicle to establish priority while the app is in pre-launch?</w:t>
      </w:r>
    </w:p>
    <w:p>
      <w:pPr>
        <w:pStyle w:val="ListParagraph"/>
        <w:numPr>
          <w:ilvl w:val="0"/>
          <w:numId w:val="2"/>
        </w:numPr>
        <w:spacing w:after="80"/>
      </w:pPr>
      <w:r>
        <w:rPr>
          <w:rFonts w:ascii="Arial" w:cs="Arial" w:eastAsia="Arial" w:hAnsi="Arial"/>
          <w:sz w:val="22"/>
          <w:szCs w:val="22"/>
        </w:rPr>
        <w:t xml:space="preserve">At what point in the clearance process should a Plan B brand name workstream be initiated, and what signals would trigger it?</w:t>
      </w:r>
    </w:p>
    <w:p>
      <w:pPr>
        <w:pStyle w:val="ListParagraph"/>
        <w:numPr>
          <w:ilvl w:val="0"/>
          <w:numId w:val="2"/>
        </w:numPr>
        <w:spacing w:after="80"/>
      </w:pPr>
      <w:r>
        <w:rPr>
          <w:rFonts w:ascii="Arial" w:cs="Arial" w:eastAsia="Arial" w:hAnsi="Arial"/>
          <w:sz w:val="22"/>
          <w:szCs w:val="22"/>
        </w:rPr>
        <w:t xml:space="preserve">What is the recommended geographic sequence? United States first, then European Union via Madrid Protocol, or a parallel EUIPO filing?</w:t>
      </w:r>
    </w:p>
    <w:p>
      <w:pPr>
        <w:pStyle w:val="ListParagraph"/>
        <w:numPr>
          <w:ilvl w:val="0"/>
          <w:numId w:val="2"/>
        </w:numPr>
        <w:spacing w:after="80"/>
      </w:pPr>
      <w:r>
        <w:rPr>
          <w:rFonts w:ascii="Arial" w:cs="Arial" w:eastAsia="Arial" w:hAnsi="Arial"/>
          <w:sz w:val="22"/>
          <w:szCs w:val="22"/>
        </w:rPr>
        <w:t xml:space="preserve">Which defensive classes should be added to the initial filing to discourage squatting, particularly around the wallet and physical card modules?</w:t>
      </w:r>
    </w:p>
    <w:p>
      <w:pPr>
        <w:pStyle w:val="ListParagraph"/>
        <w:numPr>
          <w:ilvl w:val="0"/>
          <w:numId w:val="2"/>
        </w:numPr>
        <w:spacing w:after="80"/>
      </w:pPr>
      <w:r>
        <w:rPr>
          <w:rFonts w:ascii="Arial" w:cs="Arial" w:eastAsia="Arial" w:hAnsi="Arial"/>
          <w:sz w:val="22"/>
          <w:szCs w:val="22"/>
        </w:rPr>
        <w:t xml:space="preserve">What are the projected costs and timelines for: comprehensive clearance search, standard character filing in three classes, stylized filing, international extension via Madrid, and opposition response if a HIGH-risk holder objects?</w:t>
      </w:r>
    </w:p>
    <w:p>
      <w:pPr>
        <w:pStyle w:val="ListParagraph"/>
        <w:numPr>
          <w:ilvl w:val="0"/>
          <w:numId w:val="2"/>
        </w:numPr>
        <w:spacing w:after="80"/>
      </w:pPr>
      <w:r>
        <w:rPr>
          <w:rFonts w:ascii="Arial" w:cs="Arial" w:eastAsia="Arial" w:hAnsi="Arial"/>
          <w:sz w:val="22"/>
          <w:szCs w:val="22"/>
        </w:rPr>
        <w:t xml:space="preserve">Are there risks associated with Navia Benefit Solutions' common law footprint that warrant a consent agreement outreach or a carve-out in our goods and services description?</w:t>
      </w:r>
    </w:p>
    <w:p>
      <w:pPr>
        <w:pStyle w:val="Heading1"/>
        <w:spacing w:after="180" w:before="360"/>
      </w:pPr>
      <w:r>
        <w:rPr>
          <w:rFonts w:ascii="Arial" w:cs="Arial" w:eastAsia="Arial" w:hAnsi="Arial"/>
          <w:b/>
          <w:bCs/>
          <w:color w:val="2B2940"/>
          <w:sz w:val="32"/>
          <w:szCs w:val="32"/>
        </w:rPr>
        <w:t xml:space="preserve">7. Product and content taxonomy</w:t>
      </w:r>
    </w:p>
    <w:p>
      <w:pPr>
        <w:spacing w:after="140"/>
      </w:pPr>
      <w:r>
        <w:rPr>
          <w:rFonts w:ascii="Arial" w:cs="Arial" w:eastAsia="Arial" w:hAnsi="Arial"/>
          <w:sz w:val="22"/>
          <w:szCs w:val="22"/>
        </w:rPr>
        <w:t xml:space="preserve">The following short descriptions give counsel a clearer sense of how the mark will actually appear in commerce. Each line anchors a Nice class entry in Section 4.</w:t>
      </w:r>
    </w:p>
    <w:p>
      <w:pPr>
        <w:pStyle w:val="Heading2"/>
        <w:spacing w:after="140" w:before="280"/>
      </w:pPr>
      <w:r>
        <w:rPr>
          <w:rFonts w:ascii="Arial" w:cs="Arial" w:eastAsia="Arial" w:hAnsi="Arial"/>
          <w:b/>
          <w:bCs/>
          <w:color w:val="3E3A7A"/>
          <w:sz w:val="26"/>
          <w:szCs w:val="26"/>
        </w:rPr>
        <w:t xml:space="preserve">7.1 The app</w:t>
      </w:r>
    </w:p>
    <w:p>
      <w:pPr>
        <w:spacing w:after="140"/>
      </w:pPr>
      <w:r>
        <w:rPr>
          <w:rFonts w:ascii="Arial" w:cs="Arial" w:eastAsia="Arial" w:hAnsi="Arial"/>
          <w:sz w:val="22"/>
          <w:szCs w:val="22"/>
        </w:rPr>
        <w:t xml:space="preserve">An iOS native application built in Swift and SwiftUI, with an encrypted local database (SQLCipher) and an edge API (Cloudflare Workers). The app hosts the Navia presence, a voice-first interaction layer, and three editorial formats. Classes 9, 42.</w:t>
      </w:r>
    </w:p>
    <w:p>
      <w:pPr>
        <w:pStyle w:val="Heading2"/>
        <w:spacing w:after="140" w:before="280"/>
      </w:pPr>
      <w:r>
        <w:rPr>
          <w:rFonts w:ascii="Arial" w:cs="Arial" w:eastAsia="Arial" w:hAnsi="Arial"/>
          <w:b/>
          <w:bCs/>
          <w:color w:val="3E3A7A"/>
          <w:sz w:val="26"/>
          <w:szCs w:val="26"/>
        </w:rPr>
        <w:t xml:space="preserve">7.2 Editorial content</w:t>
      </w:r>
    </w:p>
    <w:p>
      <w:pPr>
        <w:spacing w:after="140"/>
      </w:pPr>
      <w:r>
        <w:rPr>
          <w:rFonts w:ascii="Arial" w:cs="Arial" w:eastAsia="Arial" w:hAnsi="Arial"/>
          <w:sz w:val="22"/>
          <w:szCs w:val="22"/>
        </w:rPr>
        <w:t xml:space="preserve">Long-form articles, podcast episodes, and short-form videos on perinatal health, cycles, postpartum, menopause, motherhood, and adolescent health. Produced in partnership with licensed specialists. Classes 41, 44.</w:t>
      </w:r>
    </w:p>
    <w:p>
      <w:pPr>
        <w:pStyle w:val="Heading2"/>
        <w:spacing w:after="140" w:before="280"/>
      </w:pPr>
      <w:r>
        <w:rPr>
          <w:rFonts w:ascii="Arial" w:cs="Arial" w:eastAsia="Arial" w:hAnsi="Arial"/>
          <w:b/>
          <w:bCs/>
          <w:color w:val="3E3A7A"/>
          <w:sz w:val="26"/>
          <w:szCs w:val="26"/>
        </w:rPr>
        <w:t xml:space="preserve">7.3 Voice presence</w:t>
      </w:r>
    </w:p>
    <w:p>
      <w:pPr>
        <w:spacing w:after="140"/>
      </w:pPr>
      <w:r>
        <w:rPr>
          <w:rFonts w:ascii="Arial" w:cs="Arial" w:eastAsia="Arial" w:hAnsi="Arial"/>
          <w:sz w:val="22"/>
          <w:szCs w:val="22"/>
        </w:rPr>
        <w:t xml:space="preserve">A single branded voice, cloned under a professional voice actor agreement, delivered via an AI pipeline that combines Claude Opus for language, ElevenLabs v3 PVC for voice synthesis, Hume for emotional inflection, and Whisper for transcription. Classes 9, 38, 42.</w:t>
      </w:r>
    </w:p>
    <w:p>
      <w:pPr>
        <w:pStyle w:val="Heading2"/>
        <w:spacing w:after="140" w:before="280"/>
      </w:pPr>
      <w:r>
        <w:rPr>
          <w:rFonts w:ascii="Arial" w:cs="Arial" w:eastAsia="Arial" w:hAnsi="Arial"/>
          <w:b/>
          <w:bCs/>
          <w:color w:val="3E3A7A"/>
          <w:sz w:val="26"/>
          <w:szCs w:val="26"/>
        </w:rPr>
        <w:t xml:space="preserve">7.4 Expert network</w:t>
      </w:r>
    </w:p>
    <w:p>
      <w:pPr>
        <w:spacing w:after="140"/>
      </w:pPr>
      <w:r>
        <w:rPr>
          <w:rFonts w:ascii="Arial" w:cs="Arial" w:eastAsia="Arial" w:hAnsi="Arial"/>
          <w:sz w:val="22"/>
          <w:szCs w:val="22"/>
        </w:rPr>
        <w:t xml:space="preserve">A curated network of specialists (psychiatrists, gynecologists, endocrinologists, perinatal coaches, pediatric first responders, relational psychologists, family therapists, stress physiologists) who contribute to content and, in paid tiers, provide asynchronous expert access. Class 44, Class 35.</w:t>
      </w:r>
    </w:p>
    <w:p>
      <w:pPr>
        <w:pStyle w:val="Heading2"/>
        <w:spacing w:after="140" w:before="280"/>
      </w:pPr>
      <w:r>
        <w:rPr>
          <w:rFonts w:ascii="Arial" w:cs="Arial" w:eastAsia="Arial" w:hAnsi="Arial"/>
          <w:b/>
          <w:bCs/>
          <w:color w:val="3E3A7A"/>
          <w:sz w:val="26"/>
          <w:szCs w:val="26"/>
        </w:rPr>
        <w:t xml:space="preserve">7.5 Private circles</w:t>
      </w:r>
    </w:p>
    <w:p>
      <w:pPr>
        <w:spacing w:after="140"/>
      </w:pPr>
      <w:r>
        <w:rPr>
          <w:rFonts w:ascii="Arial" w:cs="Arial" w:eastAsia="Arial" w:hAnsi="Arial"/>
          <w:sz w:val="22"/>
          <w:szCs w:val="22"/>
        </w:rPr>
        <w:t xml:space="preserve">Invite-only circles created by the user, joined through QR code, with slow-paced messaging, no read receipts, and dignity-centered moderation. Class 45, Class 38.</w:t>
      </w:r>
    </w:p>
    <w:p>
      <w:pPr>
        <w:pStyle w:val="Heading2"/>
        <w:spacing w:after="140" w:before="280"/>
      </w:pPr>
      <w:r>
        <w:rPr>
          <w:rFonts w:ascii="Arial" w:cs="Arial" w:eastAsia="Arial" w:hAnsi="Arial"/>
          <w:b/>
          <w:bCs/>
          <w:color w:val="3E3A7A"/>
          <w:sz w:val="26"/>
          <w:szCs w:val="26"/>
        </w:rPr>
        <w:t xml:space="preserve">7.6 Wallet and gift economy</w:t>
      </w:r>
    </w:p>
    <w:p>
      <w:pPr>
        <w:spacing w:after="140"/>
      </w:pPr>
      <w:r>
        <w:rPr>
          <w:rFonts w:ascii="Arial" w:cs="Arial" w:eastAsia="Arial" w:hAnsi="Arial"/>
          <w:sz w:val="22"/>
          <w:szCs w:val="22"/>
        </w:rPr>
        <w:t xml:space="preserve">A virtual wallet inside the app with Navia Points, Stripe payment processing, and a gift economy that allows one woman to offer Navia access to another. A physical companion card is planned for a later phase. Class 36.</w:t>
      </w:r>
    </w:p>
    <w:p>
      <w:pPr>
        <w:pStyle w:val="Heading2"/>
        <w:spacing w:after="140" w:before="280"/>
      </w:pPr>
      <w:r>
        <w:rPr>
          <w:rFonts w:ascii="Arial" w:cs="Arial" w:eastAsia="Arial" w:hAnsi="Arial"/>
          <w:b/>
          <w:bCs/>
          <w:color w:val="3E3A7A"/>
          <w:sz w:val="26"/>
          <w:szCs w:val="26"/>
        </w:rPr>
        <w:t xml:space="preserve">7.7 Events and live formats</w:t>
      </w:r>
    </w:p>
    <w:p>
      <w:pPr>
        <w:spacing w:after="140"/>
      </w:pPr>
      <w:r>
        <w:rPr>
          <w:rFonts w:ascii="Arial" w:cs="Arial" w:eastAsia="Arial" w:hAnsi="Arial"/>
          <w:sz w:val="22"/>
          <w:szCs w:val="22"/>
        </w:rPr>
        <w:t xml:space="preserve">Small-scale events in partnership with specialist cabinets. Workshop and retreat formats are under evaluation for future phases. Class 41.</w:t>
      </w:r>
    </w:p>
    <w:p>
      <w:pPr>
        <w:pStyle w:val="Heading1"/>
        <w:spacing w:after="180" w:before="360"/>
      </w:pPr>
      <w:r>
        <w:rPr>
          <w:rFonts w:ascii="Arial" w:cs="Arial" w:eastAsia="Arial" w:hAnsi="Arial"/>
          <w:b/>
          <w:bCs/>
          <w:color w:val="2B2940"/>
          <w:sz w:val="32"/>
          <w:szCs w:val="32"/>
        </w:rPr>
        <w:t xml:space="preserve">8. Supporting materials available on request</w:t>
      </w:r>
    </w:p>
    <w:p>
      <w:pPr>
        <w:pStyle w:val="ListParagraph"/>
        <w:numPr>
          <w:ilvl w:val="0"/>
          <w:numId w:val="2"/>
        </w:numPr>
        <w:spacing w:after="80"/>
      </w:pPr>
      <w:r>
        <w:rPr>
          <w:rFonts w:ascii="Arial" w:cs="Arial" w:eastAsia="Arial" w:hAnsi="Arial"/>
          <w:sz w:val="22"/>
          <w:szCs w:val="22"/>
        </w:rPr>
        <w:t xml:space="preserve">Navia brand book (visual identity, color palette, typography, motifs).</w:t>
      </w:r>
    </w:p>
    <w:p>
      <w:pPr>
        <w:pStyle w:val="ListParagraph"/>
        <w:numPr>
          <w:ilvl w:val="0"/>
          <w:numId w:val="2"/>
        </w:numPr>
        <w:spacing w:after="80"/>
      </w:pPr>
      <w:r>
        <w:rPr>
          <w:rFonts w:ascii="Arial" w:cs="Arial" w:eastAsia="Arial" w:hAnsi="Arial"/>
          <w:sz w:val="22"/>
          <w:szCs w:val="22"/>
        </w:rPr>
        <w:t xml:space="preserve">Product philosophy manifesto and UX philosophy (sensory design, anti-chatbot stance).</w:t>
      </w:r>
    </w:p>
    <w:p>
      <w:pPr>
        <w:pStyle w:val="ListParagraph"/>
        <w:numPr>
          <w:ilvl w:val="0"/>
          <w:numId w:val="2"/>
        </w:numPr>
        <w:spacing w:after="80"/>
      </w:pPr>
      <w:r>
        <w:rPr>
          <w:rFonts w:ascii="Arial" w:cs="Arial" w:eastAsia="Arial" w:hAnsi="Arial"/>
          <w:sz w:val="22"/>
          <w:szCs w:val="22"/>
        </w:rPr>
        <w:t xml:space="preserve">Pitch deck v0.1 and Strategic Memory April 2026.</w:t>
      </w:r>
    </w:p>
    <w:p>
      <w:pPr>
        <w:pStyle w:val="ListParagraph"/>
        <w:numPr>
          <w:ilvl w:val="0"/>
          <w:numId w:val="2"/>
        </w:numPr>
        <w:spacing w:after="80"/>
      </w:pPr>
      <w:r>
        <w:rPr>
          <w:rFonts w:ascii="Arial" w:cs="Arial" w:eastAsia="Arial" w:hAnsi="Arial"/>
          <w:sz w:val="22"/>
          <w:szCs w:val="22"/>
        </w:rPr>
        <w:t xml:space="preserve">Voice pipeline architecture document.</w:t>
      </w:r>
    </w:p>
    <w:p>
      <w:pPr>
        <w:pStyle w:val="ListParagraph"/>
        <w:numPr>
          <w:ilvl w:val="0"/>
          <w:numId w:val="2"/>
        </w:numPr>
        <w:spacing w:after="80"/>
      </w:pPr>
      <w:r>
        <w:rPr>
          <w:rFonts w:ascii="Arial" w:cs="Arial" w:eastAsia="Arial" w:hAnsi="Arial"/>
          <w:sz w:val="22"/>
          <w:szCs w:val="22"/>
        </w:rPr>
        <w:t xml:space="preserve">Language positioning and monetization expression document.</w:t>
      </w:r>
    </w:p>
    <w:p>
      <w:pPr>
        <w:pStyle w:val="ListParagraph"/>
        <w:numPr>
          <w:ilvl w:val="0"/>
          <w:numId w:val="2"/>
        </w:numPr>
        <w:spacing w:after="80"/>
      </w:pPr>
      <w:r>
        <w:rPr>
          <w:rFonts w:ascii="Arial" w:cs="Arial" w:eastAsia="Arial" w:hAnsi="Arial"/>
          <w:sz w:val="22"/>
          <w:szCs w:val="22"/>
        </w:rPr>
        <w:t xml:space="preserve">Preliminary trademark analysis v0.1 (internal document that informed this brief).</w:t>
      </w:r>
    </w:p>
    <w:p>
      <w:pPr>
        <w:pStyle w:val="Heading1"/>
        <w:spacing w:after="180" w:before="360"/>
      </w:pPr>
      <w:r>
        <w:rPr>
          <w:rFonts w:ascii="Arial" w:cs="Arial" w:eastAsia="Arial" w:hAnsi="Arial"/>
          <w:b/>
          <w:bCs/>
          <w:color w:val="2B2940"/>
          <w:sz w:val="32"/>
          <w:szCs w:val="32"/>
        </w:rPr>
        <w:t xml:space="preserve">9. Engagement ask</w:t>
      </w:r>
    </w:p>
    <w:p>
      <w:pPr>
        <w:spacing w:after="140"/>
      </w:pPr>
      <w:r>
        <w:rPr>
          <w:rFonts w:ascii="Arial" w:cs="Arial" w:eastAsia="Arial" w:hAnsi="Arial"/>
          <w:sz w:val="22"/>
          <w:szCs w:val="22"/>
        </w:rPr>
        <w:t xml:space="preserve">Counsel is invited to propose a scoped engagement covering:</w:t>
      </w:r>
    </w:p>
    <w:p>
      <w:pPr>
        <w:pStyle w:val="ListParagraph"/>
        <w:numPr>
          <w:ilvl w:val="0"/>
          <w:numId w:val="2"/>
        </w:numPr>
        <w:spacing w:after="80"/>
      </w:pPr>
      <w:r>
        <w:rPr>
          <w:rFonts w:ascii="Arial" w:cs="Arial" w:eastAsia="Arial" w:hAnsi="Arial"/>
          <w:sz w:val="22"/>
          <w:szCs w:val="22"/>
        </w:rPr>
        <w:t xml:space="preserve">Comprehensive clearance search across the Nice classes identified in Section 4, with a written opinion on likelihood of successful registration.</w:t>
      </w:r>
    </w:p>
    <w:p>
      <w:pPr>
        <w:pStyle w:val="ListParagraph"/>
        <w:numPr>
          <w:ilvl w:val="0"/>
          <w:numId w:val="2"/>
        </w:numPr>
        <w:spacing w:after="80"/>
      </w:pPr>
      <w:r>
        <w:rPr>
          <w:rFonts w:ascii="Arial" w:cs="Arial" w:eastAsia="Arial" w:hAnsi="Arial"/>
          <w:sz w:val="22"/>
          <w:szCs w:val="22"/>
        </w:rPr>
        <w:t xml:space="preserve">Filing strategy recommendation covering mark form (word versus stylized), geographic sequence, intent-to-use versus use-based filing, and defensive class additions.</w:t>
      </w:r>
    </w:p>
    <w:p>
      <w:pPr>
        <w:pStyle w:val="ListParagraph"/>
        <w:numPr>
          <w:ilvl w:val="0"/>
          <w:numId w:val="2"/>
        </w:numPr>
        <w:spacing w:after="80"/>
      </w:pPr>
      <w:r>
        <w:rPr>
          <w:rFonts w:ascii="Arial" w:cs="Arial" w:eastAsia="Arial" w:hAnsi="Arial"/>
          <w:sz w:val="22"/>
          <w:szCs w:val="22"/>
        </w:rPr>
        <w:t xml:space="preserve">Filing execution for the day-one classes once clearance is confirmed.</w:t>
      </w:r>
    </w:p>
    <w:p>
      <w:pPr>
        <w:pStyle w:val="ListParagraph"/>
        <w:numPr>
          <w:ilvl w:val="0"/>
          <w:numId w:val="2"/>
        </w:numPr>
        <w:spacing w:after="80"/>
      </w:pPr>
      <w:r>
        <w:rPr>
          <w:rFonts w:ascii="Arial" w:cs="Arial" w:eastAsia="Arial" w:hAnsi="Arial"/>
          <w:sz w:val="22"/>
          <w:szCs w:val="22"/>
        </w:rPr>
        <w:t xml:space="preserve">Monitoring and opposition response plan for the first twelve months after publication.</w:t>
      </w:r>
    </w:p>
    <w:p>
      <w:pPr>
        <w:pStyle w:val="ListParagraph"/>
        <w:numPr>
          <w:ilvl w:val="0"/>
          <w:numId w:val="2"/>
        </w:numPr>
        <w:spacing w:after="80"/>
      </w:pPr>
      <w:r>
        <w:rPr>
          <w:rFonts w:ascii="Arial" w:cs="Arial" w:eastAsia="Arial" w:hAnsi="Arial"/>
          <w:sz w:val="22"/>
          <w:szCs w:val="22"/>
        </w:rPr>
        <w:t xml:space="preserve">Guidance on a Plan B brand name workstream if the clearance surfaces unresolvable conflicts.</w:t>
      </w:r>
    </w:p>
    <w:p>
      <w:pPr>
        <w:spacing w:after="140"/>
      </w:pPr>
      <w:r>
        <w:rPr>
          <w:rFonts w:ascii="Arial" w:cs="Arial" w:eastAsia="Arial" w:hAnsi="Arial"/>
          <w:sz w:val="22"/>
          <w:szCs w:val="22"/>
        </w:rPr>
        <w:t xml:space="preserve">A budget envelope of $1,500 to $3,000 has been anticipated for the clearance and opinion, plus $750 to $1,050 per filing. Counsel's revised estimates based on Navia's actual scope are welcome.</w:t>
      </w:r>
    </w:p>
    <w:p>
      <w:pPr>
        <w:pStyle w:val="Heading1"/>
        <w:spacing w:after="180" w:before="360"/>
      </w:pPr>
      <w:r>
        <w:rPr>
          <w:rFonts w:ascii="Arial" w:cs="Arial" w:eastAsia="Arial" w:hAnsi="Arial"/>
          <w:b/>
          <w:bCs/>
          <w:color w:val="2B2940"/>
          <w:sz w:val="32"/>
          <w:szCs w:val="32"/>
        </w:rPr>
        <w:t xml:space="preserve">10. Contact</w:t>
      </w:r>
    </w:p>
    <w:p>
      <w:pPr>
        <w:spacing w:after="100"/>
      </w:pPr>
      <w:r>
        <w:rPr>
          <w:rFonts w:ascii="Arial" w:cs="Arial" w:eastAsia="Arial" w:hAnsi="Arial"/>
          <w:b/>
          <w:bCs/>
          <w:sz w:val="22"/>
          <w:szCs w:val="22"/>
        </w:rPr>
        <w:t xml:space="preserve">Founder. </w:t>
      </w:r>
      <w:r>
        <w:rPr>
          <w:rFonts w:ascii="Arial" w:cs="Arial" w:eastAsia="Arial" w:hAnsi="Arial"/>
          <w:sz w:val="22"/>
          <w:szCs w:val="22"/>
        </w:rPr>
        <w:t xml:space="preserve">Sebastien Assohou</w:t>
      </w:r>
    </w:p>
    <w:p>
      <w:pPr>
        <w:spacing w:after="100"/>
      </w:pPr>
      <w:r>
        <w:rPr>
          <w:rFonts w:ascii="Arial" w:cs="Arial" w:eastAsia="Arial" w:hAnsi="Arial"/>
          <w:b/>
          <w:bCs/>
          <w:sz w:val="22"/>
          <w:szCs w:val="22"/>
        </w:rPr>
        <w:t xml:space="preserve">Email. </w:t>
      </w:r>
      <w:r>
        <w:rPr>
          <w:rFonts w:ascii="Arial" w:cs="Arial" w:eastAsia="Arial" w:hAnsi="Arial"/>
          <w:sz w:val="22"/>
          <w:szCs w:val="22"/>
        </w:rPr>
        <w:t xml:space="preserve">contact@bynavia.com · hello@bynavia.com</w:t>
      </w:r>
    </w:p>
    <w:p>
      <w:pPr>
        <w:spacing w:after="100"/>
      </w:pPr>
      <w:r>
        <w:rPr>
          <w:rFonts w:ascii="Arial" w:cs="Arial" w:eastAsia="Arial" w:hAnsi="Arial"/>
          <w:b/>
          <w:bCs/>
          <w:sz w:val="22"/>
          <w:szCs w:val="22"/>
        </w:rPr>
        <w:t xml:space="preserve">Website. </w:t>
      </w:r>
      <w:r>
        <w:rPr>
          <w:rFonts w:ascii="Arial" w:cs="Arial" w:eastAsia="Arial" w:hAnsi="Arial"/>
          <w:sz w:val="22"/>
          <w:szCs w:val="22"/>
        </w:rPr>
        <w:t xml:space="preserve">bynavia.com</w:t>
      </w:r>
    </w:p>
    <w:p>
      <w:pPr>
        <w:spacing w:after="100"/>
      </w:pPr>
      <w:r>
        <w:rPr>
          <w:rFonts w:ascii="Arial" w:cs="Arial" w:eastAsia="Arial" w:hAnsi="Arial"/>
          <w:b/>
          <w:bCs/>
          <w:sz w:val="22"/>
          <w:szCs w:val="22"/>
        </w:rPr>
        <w:t xml:space="preserve">Brief version. </w:t>
      </w:r>
      <w:r>
        <w:rPr>
          <w:rFonts w:ascii="Arial" w:cs="Arial" w:eastAsia="Arial" w:hAnsi="Arial"/>
          <w:sz w:val="22"/>
          <w:szCs w:val="22"/>
        </w:rPr>
        <w:t xml:space="preserve">v0.1, April 15, 2026</w:t>
      </w:r>
    </w:p>
    <w:p>
      <w:pPr>
        <w:spacing w:after="120" w:before="600"/>
        <w:jc w:val="center"/>
      </w:pPr>
      <w:r>
        <w:rPr>
          <w:rFonts w:ascii="Arial" w:cs="Arial" w:eastAsia="Arial" w:hAnsi="Arial"/>
          <w:i/>
          <w:iCs/>
          <w:color w:val="8E7BB8"/>
          <w:sz w:val="20"/>
          <w:szCs w:val="20"/>
        </w:rPr>
        <w:t xml:space="preserve">— End of brief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7D"/>
        <w:sz w:val="18"/>
        <w:szCs w:val="18"/>
      </w:rPr>
      <w:t xml:space="preserve">Page </w:t>
    </w:r>
    <w:r>
      <w:rPr>
        <w:rFonts w:ascii="Arial" w:cs="Arial" w:eastAsia="Arial" w:hAnsi="Arial"/>
        <w:color w:val="6B6B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C58F" w:sz="4" w:space="4"/>
      </w:pBdr>
      <w:jc w:val="right"/>
    </w:pPr>
    <w:r>
      <w:rPr>
        <w:rFonts w:ascii="Arial" w:cs="Arial" w:eastAsia="Arial" w:hAnsi="Arial"/>
        <w:color w:val="6B6B7D"/>
        <w:sz w:val="18"/>
        <w:szCs w:val="18"/>
      </w:rPr>
      <w:t xml:space="preserve">Navia — Trademark Brief for Counsel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B2940"/>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3E3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Navia — Trademark Brief for Counsel</dc:title>
  <dc:creator>Sebastien Assohou</dc:creator>
  <dc:description>Comprehensive trademark scope for clearance and filing strategy.</dc:description>
  <cp:lastModifiedBy>Un-named</cp:lastModifiedBy>
  <cp:revision>1</cp:revision>
  <dcterms:created xsi:type="dcterms:W3CDTF">2026-04-15T17:02:45.498Z</dcterms:created>
  <dcterms:modified xsi:type="dcterms:W3CDTF">2026-04-15T17:02:45.498Z</dcterms:modified>
</cp:coreProperties>
</file>

<file path=docProps/custom.xml><?xml version="1.0" encoding="utf-8"?>
<Properties xmlns="http://schemas.openxmlformats.org/officeDocument/2006/custom-properties" xmlns:vt="http://schemas.openxmlformats.org/officeDocument/2006/docPropsVTypes"/>
</file>