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E7BB8"/>
          <w:sz w:val="18"/>
        </w:rPr>
        <w:t>NAVIA · EDITORIAL AGREEMENT</w:t>
      </w:r>
    </w:p>
    <w:p>
      <w:pPr>
        <w:spacing w:after="40"/>
      </w:pPr>
      <w:r>
        <w:rPr>
          <w:b/>
          <w:color w:val="2B2940"/>
          <w:sz w:val="44"/>
        </w:rPr>
        <w:t>Expert Contributor Release</w:t>
      </w:r>
    </w:p>
    <w:p>
      <w:pPr>
        <w:spacing w:after="160"/>
      </w:pPr>
      <w:r>
        <w:rPr>
          <w:i/>
          <w:color w:val="6A6682"/>
          <w:sz w:val="24"/>
        </w:rPr>
        <w:t>United States · Standard partnership template</w:t>
      </w:r>
    </w:p>
    <w:p>
      <w:pPr>
        <w:spacing w:after="280"/>
      </w:pPr>
      <w:r>
        <w:rPr>
          <w:color w:val="6A6682"/>
          <w:sz w:val="18"/>
        </w:rPr>
        <w:t>Draft v0.1 · 2026-04-11 · Prepared for legal review</w:t>
      </w:r>
    </w:p>
    <w:p>
      <w:pPr>
        <w:spacing w:before="40" w:after="200"/>
        <w:pBdr>
          <w:bottom w:val="single" w:sz="6" w:space="1" w:color="8E7BB8"/>
        </w:pBdr>
      </w:pPr>
    </w:p>
    <w:p>
      <w:pPr>
        <w:spacing w:after="40"/>
      </w:pPr>
      <w:r>
        <w:rPr>
          <w:b/>
          <w:color w:val="C97A8E"/>
          <w:sz w:val="20"/>
        </w:rPr>
        <w:t>DRAFT — FOR LEGAL REVIEW ONLY</w:t>
      </w:r>
    </w:p>
    <w:p>
      <w:pPr>
        <w:spacing w:after="240"/>
      </w:pPr>
      <w:r>
        <w:rPr>
          <w:i/>
          <w:color w:val="6A6682"/>
          <w:sz w:val="20"/>
        </w:rPr>
        <w:t>This is a non-binding draft prepared by Navia for review by US legal counsel before any use. Definitions, indemnities, choice of law, and arbitration clauses must be tailored to the final business structure of Navia (anticipated: Delaware C-Corp).</w:t>
      </w:r>
    </w:p>
    <w:p>
      <w:pPr>
        <w:pStyle w:val="Heading1"/>
        <w:spacing w:before="360" w:after="120"/>
      </w:pPr>
      <w:r>
        <w:t>1. The parties</w:t>
      </w:r>
    </w:p>
    <w:p>
      <w:r>
        <w:rPr>
          <w:i w:val="0"/>
        </w:rPr>
        <w:t>This Expert Contributor Release (the “Agreement”) is entered into on ____________ (the “Effective Date”) between:</w:t>
      </w:r>
    </w:p>
    <w:p>
      <w:pPr>
        <w:pStyle w:val="ListBullet"/>
      </w:pPr>
      <w:r>
        <w:t>Navia, Inc., a Delaware corporation with its principal place of business at ______________________ (“Navia”); and</w:t>
      </w:r>
    </w:p>
    <w:p>
      <w:pPr>
        <w:pStyle w:val="ListBullet"/>
      </w:pPr>
      <w:r>
        <w:t>______________________ (the “Contributor”), an individual professional associated with ______________________ (the “Practice”), with professional address at ______________________.</w:t>
      </w:r>
    </w:p>
    <w:p>
      <w:pPr>
        <w:pStyle w:val="Heading1"/>
        <w:spacing w:before="360" w:after="120"/>
      </w:pPr>
      <w:r>
        <w:t>2. Purpose</w:t>
      </w:r>
    </w:p>
    <w:p>
      <w:r>
        <w:rPr>
          <w:i w:val="0"/>
        </w:rPr>
        <w:t>Navia produces editorial content centered on women’s wellness, maternal health, infant care, mental health, physical activity, and adjacent fields. The Contributor agrees to participate in one or more recorded interview sessions in which Navia, through its companion voice, asks questions and the Contributor provides expert commentary in their area of professional expertise.</w:t>
      </w:r>
    </w:p>
    <w:p>
      <w:pPr>
        <w:pStyle w:val="Heading1"/>
        <w:spacing w:before="360" w:after="120"/>
      </w:pPr>
      <w:r>
        <w:t>3. Grant of rights</w:t>
      </w:r>
    </w:p>
    <w:p>
      <w:r>
        <w:rPr>
          <w:i w:val="0"/>
        </w:rPr>
        <w:t>The Contributor grants to Navia a worldwide, royalty-free, perpetual, non-exclusive license to record, edit, reproduce, distribute, publicly perform, publicly display, transmit, translate, dub, subtitle, excerpt, and otherwise use the Contributor’s contribution (the “Recording”) and the Contributor’s name, title, professional credentials, voice, image, and likeness (collectively, the “Contributor Materials”) in connection with the Navia products and services, including without limitation:</w:t>
      </w:r>
    </w:p>
    <w:p>
      <w:pPr>
        <w:pStyle w:val="ListBullet"/>
      </w:pPr>
      <w:r>
        <w:t>the Navia mobile application and any successor product;</w:t>
      </w:r>
    </w:p>
    <w:p>
      <w:pPr>
        <w:pStyle w:val="ListBullet"/>
      </w:pPr>
      <w:r>
        <w:t>the Navia website at bynavia.com and related domains;</w:t>
      </w:r>
    </w:p>
    <w:p>
      <w:pPr>
        <w:pStyle w:val="ListBullet"/>
      </w:pPr>
      <w:r>
        <w:t>the Navia YouTube channel and any other video distribution platform;</w:t>
      </w:r>
    </w:p>
    <w:p>
      <w:pPr>
        <w:pStyle w:val="ListBullet"/>
      </w:pPr>
      <w:r>
        <w:t>the Navia podcast, audio editions, and excerpts;</w:t>
      </w:r>
    </w:p>
    <w:p>
      <w:pPr>
        <w:pStyle w:val="ListBullet"/>
      </w:pPr>
      <w:r>
        <w:t>editorial articles, transcripts, and short-form video derivatives;</w:t>
      </w:r>
    </w:p>
    <w:p>
      <w:pPr>
        <w:pStyle w:val="ListBullet"/>
      </w:pPr>
      <w:r>
        <w:t>social media channels operated by or on behalf of Navia;</w:t>
      </w:r>
    </w:p>
    <w:p>
      <w:pPr>
        <w:pStyle w:val="ListBullet"/>
      </w:pPr>
      <w:r>
        <w:t>marketing, promotional, and educational materials.</w:t>
      </w:r>
    </w:p>
    <w:p>
      <w:r>
        <w:rPr>
          <w:i w:val="0"/>
        </w:rPr>
        <w:t>The license is non-exclusive. The Contributor remains free to participate in, publish with, or speak for any other publication, platform, or organization, subject only to Section 5 below.</w:t>
      </w:r>
    </w:p>
    <w:p>
      <w:pPr>
        <w:pStyle w:val="Heading1"/>
        <w:spacing w:before="360" w:after="120"/>
      </w:pPr>
      <w:r>
        <w:t>4. Editorial control and approval</w:t>
      </w:r>
    </w:p>
    <w:p>
      <w:r>
        <w:rPr>
          <w:i w:val="0"/>
        </w:rPr>
        <w:t>Navia retains full editorial control over the final form of any content derived from the Recording, including title, framing, music, sound design, subtitles, and translated voiceover. Navia commits to:</w:t>
      </w:r>
    </w:p>
    <w:p>
      <w:pPr>
        <w:pStyle w:val="ListBullet"/>
      </w:pPr>
      <w:r>
        <w:t>send the Contributor a private preview link of the final cut at least five (5) business days before publication;</w:t>
      </w:r>
    </w:p>
    <w:p>
      <w:pPr>
        <w:pStyle w:val="ListBullet"/>
      </w:pPr>
      <w:r>
        <w:t>correct any factual misstatement of the Contributor’s expertise, credentials, or institutional affiliation upon written notice;</w:t>
      </w:r>
    </w:p>
    <w:p>
      <w:pPr>
        <w:pStyle w:val="ListBullet"/>
      </w:pPr>
      <w:r>
        <w:t>not portray the Contributor as endorsing any product, brand, or treatment the Contributor has not explicitly endorsed in the Recording.</w:t>
      </w:r>
    </w:p>
    <w:p>
      <w:pPr>
        <w:pStyle w:val="Heading1"/>
        <w:spacing w:before="360" w:after="120"/>
      </w:pPr>
      <w:r>
        <w:t>5. Scope of partnership and exclusivity</w:t>
      </w:r>
    </w:p>
    <w:p>
      <w:r>
        <w:rPr>
          <w:i w:val="0"/>
        </w:rPr>
        <w:t>The relationship between Navia and the Contributor is a non-exclusive editorial partnership, conducted in coordination with the Practice. The Contributor warrants that they are duly authorized to participate under the policies of the Practice and any applicable professional body.</w:t>
      </w:r>
    </w:p>
    <w:p>
      <w:r>
        <w:rPr>
          <w:i w:val="0"/>
        </w:rPr>
        <w:t>Navia shall not seek personal exclusivity from any individual contributor in the present Agreement. Should Navia and the Practice (not the individual) wish to enter a future exclusivity arrangement at the institutional level, such arrangement shall be the subject of a separate written agreement.</w:t>
      </w:r>
    </w:p>
    <w:p>
      <w:pPr>
        <w:pStyle w:val="Heading1"/>
        <w:spacing w:before="360" w:after="120"/>
      </w:pPr>
      <w:r>
        <w:t>6. Compensation and reimbursements</w:t>
      </w:r>
    </w:p>
    <w:p>
      <w:r>
        <w:rPr>
          <w:i w:val="0"/>
        </w:rPr>
        <w:t>Compensation for the present Agreement is structured as follows (select applicable model):</w:t>
      </w:r>
    </w:p>
    <w:p>
      <w:pPr>
        <w:pStyle w:val="ListBullet"/>
      </w:pPr>
      <w:r>
        <w:t>Honorarium: a one-time honorarium of US$________ paid within thirty (30) days of the Recording;</w:t>
      </w:r>
    </w:p>
    <w:p>
      <w:pPr>
        <w:pStyle w:val="ListBullet"/>
      </w:pPr>
      <w:r>
        <w:t>Practice partnership: institutional credit to the Practice in opening and closing frames, with reciprocal cross-promotion to be detailed in Schedule A;</w:t>
      </w:r>
    </w:p>
    <w:p>
      <w:pPr>
        <w:pStyle w:val="ListBullet"/>
      </w:pPr>
      <w:r>
        <w:t>In-kind: professional production-quality recording delivered to the Contributor for the Practice’s own communication channels;</w:t>
      </w:r>
    </w:p>
    <w:p>
      <w:pPr>
        <w:pStyle w:val="ListBullet"/>
      </w:pPr>
      <w:r>
        <w:t>Pro bono: editorial collaboration without monetary exchange, recognized as a contribution to public health education.</w:t>
      </w:r>
    </w:p>
    <w:p>
      <w:r>
        <w:rPr>
          <w:i w:val="0"/>
        </w:rPr>
        <w:t>Reasonable, pre-approved travel expenses incurred by the Contributor to attend an in-person Recording shall be reimbursed by Navia upon presentation of original receipts.</w:t>
      </w:r>
    </w:p>
    <w:p>
      <w:pPr>
        <w:pStyle w:val="Heading1"/>
        <w:spacing w:before="360" w:after="120"/>
      </w:pPr>
      <w:r>
        <w:t>7. Professional conduct, scope of statements, and disclaimers</w:t>
      </w:r>
    </w:p>
    <w:p>
      <w:r>
        <w:rPr>
          <w:i w:val="0"/>
        </w:rPr>
        <w:t>The Contributor confirms that all statements made in the Recording reflect their independent professional opinion and the current state of evidence in their field, to the best of their knowledge as of the date of recording. The Contributor will not provide individualized medical advice during the Recording and will phrase guidance in general, educational terms.</w:t>
      </w:r>
    </w:p>
    <w:p>
      <w:r>
        <w:rPr>
          <w:i w:val="0"/>
        </w:rPr>
        <w:t>Navia commits to display, on every distribution channel, a clear disclaimer stating that the content is educational and does not replace consultation with a qualified healthcare professional, in accordance with Schedule B (Standard Disclaimers by Category).</w:t>
      </w:r>
    </w:p>
    <w:p>
      <w:pPr>
        <w:pStyle w:val="Heading1"/>
        <w:spacing w:before="360" w:after="120"/>
      </w:pPr>
      <w:r>
        <w:t>8. Confidentiality of patient and third-party information</w:t>
      </w:r>
    </w:p>
    <w:p>
      <w:r>
        <w:rPr>
          <w:i w:val="0"/>
        </w:rPr>
        <w:t>The Contributor shall not disclose any information that could identify a patient, client, or third party, whether by name, image, case detail, or context. All clinical examples shall be fully anonymized and, where required, drawn from composite or hypothetical scenarios. Compliance with HIPAA, where applicable, is the sole responsibility of the Contributor.</w:t>
      </w:r>
    </w:p>
    <w:p>
      <w:pPr>
        <w:pStyle w:val="Heading1"/>
        <w:spacing w:before="360" w:after="120"/>
      </w:pPr>
      <w:r>
        <w:t>9. Representations and warranties</w:t>
      </w:r>
    </w:p>
    <w:p>
      <w:r>
        <w:rPr>
          <w:i w:val="0"/>
        </w:rPr>
        <w:t>The Contributor represents and warrants that:</w:t>
      </w:r>
    </w:p>
    <w:p>
      <w:pPr>
        <w:pStyle w:val="ListBullet"/>
      </w:pPr>
      <w:r>
        <w:t>they hold all licenses and credentials they invoke during the Recording;</w:t>
      </w:r>
    </w:p>
    <w:p>
      <w:pPr>
        <w:pStyle w:val="ListBullet"/>
      </w:pPr>
      <w:r>
        <w:t>they are not under any contractual restriction that would prevent their participation in the Recording;</w:t>
      </w:r>
    </w:p>
    <w:p>
      <w:pPr>
        <w:pStyle w:val="ListBullet"/>
      </w:pPr>
      <w:r>
        <w:t>the Contributor Materials do not infringe any third-party right of privacy, publicity, copyright, trademark, or contract;</w:t>
      </w:r>
    </w:p>
    <w:p>
      <w:pPr>
        <w:pStyle w:val="ListBullet"/>
      </w:pPr>
      <w:r>
        <w:t>all sources cited are accurately attributed to the best of their knowledge.</w:t>
      </w:r>
    </w:p>
    <w:p>
      <w:pPr>
        <w:pStyle w:val="Heading1"/>
        <w:spacing w:before="360" w:after="120"/>
      </w:pPr>
      <w:r>
        <w:t>10. Indemnification</w:t>
      </w:r>
    </w:p>
    <w:p>
      <w:r>
        <w:rPr>
          <w:i w:val="0"/>
        </w:rPr>
        <w:t>Each party shall indemnify and hold harmless the other from and against any third-party claim arising directly from a breach of that party’s representations and warranties under this Agreement, subject to customary notice and cooperation requirements. Specific caps and exclusions shall be defined by counsel.</w:t>
      </w:r>
    </w:p>
    <w:p>
      <w:pPr>
        <w:pStyle w:val="Heading1"/>
        <w:spacing w:before="360" w:after="120"/>
      </w:pPr>
      <w:r>
        <w:t>11. Term and termination</w:t>
      </w:r>
    </w:p>
    <w:p>
      <w:r>
        <w:rPr>
          <w:i w:val="0"/>
        </w:rPr>
        <w:t>This Agreement is effective as of the Effective Date and continues for the duration of the license granted in Section 3. The Contributor may withdraw from any future, not-yet-recorded session by written notice without penalty. The license to use already-published Recordings is irrevocable, save for the removal-on-request rights described below.</w:t>
      </w:r>
    </w:p>
    <w:p>
      <w:r>
        <w:rPr>
          <w:i w:val="0"/>
        </w:rPr>
        <w:t>Upon written request from the Contributor citing a verifiable error, an out-of-context use, or a material change in their professional standing, Navia agrees to review the request in good faith and, where reasonable, either correct or remove the affected content within thirty (30) days.</w:t>
      </w:r>
    </w:p>
    <w:p>
      <w:pPr>
        <w:pStyle w:val="Heading1"/>
        <w:spacing w:before="360" w:after="120"/>
      </w:pPr>
      <w:r>
        <w:t>12. Governing law and dispute resolution</w:t>
      </w:r>
    </w:p>
    <w:p>
      <w:r>
        <w:rPr>
          <w:i w:val="0"/>
        </w:rPr>
        <w:t>This Agreement shall be governed by the laws of the State of Delaware, without regard to its conflict-of-laws rules. Any dispute arising out of or relating to this Agreement shall be submitted to confidential binding arbitration administered in Wilmington, Delaware, under the rules of the American Arbitration Association.</w:t>
      </w:r>
    </w:p>
    <w:p>
      <w:pPr>
        <w:pStyle w:val="Heading1"/>
        <w:spacing w:before="360" w:after="120"/>
      </w:pPr>
      <w:r>
        <w:t>13. Entire agreement</w:t>
      </w:r>
    </w:p>
    <w:p>
      <w:r>
        <w:rPr>
          <w:i w:val="0"/>
        </w:rPr>
        <w:t>This Agreement, together with its Schedules, constitutes the entire understanding between the parties with respect to its subject matter and supersedes any prior oral or written communications.</w:t>
      </w:r>
    </w:p>
    <w:p>
      <w:pPr>
        <w:pStyle w:val="Heading1"/>
        <w:spacing w:before="360" w:after="120"/>
      </w:pPr>
      <w:r>
        <w:t>14. Signatures</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For the Contributor</w:t>
            </w:r>
          </w:p>
        </w:tc>
        <w:tc>
          <w:tcPr>
            <w:tcW w:type="dxa" w:w="4680"/>
            <w:vAlign w:val="bottom"/>
          </w:tcPr>
          <w:p>
            <w:r>
              <w:rPr>
                <w:color w:val="6A6682"/>
              </w:rPr>
              <w:t>_______________________________</w:t>
            </w:r>
          </w:p>
          <w:p>
            <w:r>
              <w:rPr>
                <w:color w:val="6A6682"/>
                <w:sz w:val="18"/>
              </w:rPr>
              <w:t>For Navia, Inc.</w:t>
            </w:r>
          </w:p>
        </w:tc>
      </w:tr>
    </w:tbl>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Printed name and title</w:t>
            </w:r>
          </w:p>
        </w:tc>
        <w:tc>
          <w:tcPr>
            <w:tcW w:type="dxa" w:w="4680"/>
            <w:vAlign w:val="bottom"/>
          </w:tcPr>
          <w:p>
            <w:r>
              <w:rPr>
                <w:color w:val="6A6682"/>
              </w:rPr>
              <w:t>_______________________________</w:t>
            </w:r>
          </w:p>
          <w:p>
            <w:r>
              <w:rPr>
                <w:color w:val="6A6682"/>
                <w:sz w:val="18"/>
              </w:rPr>
              <w:t>Printed name and title</w:t>
            </w:r>
          </w:p>
        </w:tc>
      </w:tr>
    </w:tbl>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bottom"/>
          </w:tcPr>
          <w:p>
            <w:r>
              <w:rPr>
                <w:color w:val="6A6682"/>
              </w:rPr>
              <w:t>_______________________________</w:t>
            </w:r>
          </w:p>
          <w:p>
            <w:r>
              <w:rPr>
                <w:color w:val="6A6682"/>
                <w:sz w:val="18"/>
              </w:rPr>
              <w:t>Date</w:t>
            </w:r>
          </w:p>
        </w:tc>
        <w:tc>
          <w:tcPr>
            <w:tcW w:type="dxa" w:w="4680"/>
            <w:vAlign w:val="bottom"/>
          </w:tcPr>
          <w:p>
            <w:r>
              <w:rPr>
                <w:color w:val="6A6682"/>
              </w:rPr>
              <w:t>_______________________________</w:t>
            </w:r>
          </w:p>
          <w:p>
            <w:r>
              <w:rPr>
                <w:color w:val="6A6682"/>
                <w:sz w:val="18"/>
              </w:rPr>
              <w:t>Date</w:t>
            </w:r>
          </w:p>
        </w:tc>
      </w:tr>
    </w:tbl>
    <w:p/>
    <w:p>
      <w:pPr>
        <w:pStyle w:val="Heading2"/>
        <w:spacing w:before="240" w:after="80"/>
      </w:pPr>
      <w:r>
        <w:t>Schedule A — Practice partnership terms</w:t>
      </w:r>
    </w:p>
    <w:p>
      <w:r>
        <w:rPr>
          <w:i/>
          <w:color w:val="6A6682"/>
        </w:rPr>
        <w:t>[To be completed per partnership: institutional credit, cross-promotion, session count, recording cadence, deliverable list.]</w:t>
      </w:r>
    </w:p>
    <w:p>
      <w:pPr>
        <w:pStyle w:val="Heading2"/>
        <w:spacing w:before="240" w:after="80"/>
      </w:pPr>
      <w:r>
        <w:t>Schedule B — Standard disclaimers by category</w:t>
      </w:r>
    </w:p>
    <w:p>
      <w:r>
        <w:rPr>
          <w:i/>
          <w:color w:val="6A6682"/>
        </w:rPr>
        <w:t>Refer to the Navia Editorial Disclaimers document maintained by Navia and updated from time to time. The category-appropriate disclaimer (mental health, first aid, perinatal care, general medical, relational) shall be displayed in the closing frame of every Recording involving the Contributor.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Calibri" w:hAnsi="Calibri"/>
      <w:color w:val="2B29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94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94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9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