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Georgia" w:hAnsi="Georgia"/>
          <w:b/>
          <w:color w:val="2B2940"/>
          <w:sz w:val="60"/>
        </w:rPr>
        <w:t>Navia</w:t>
      </w:r>
    </w:p>
    <w:p>
      <w:pPr>
        <w:spacing w:after="120" w:before="0"/>
        <w:jc w:val="center"/>
      </w:pPr>
      <w:r>
        <w:rPr>
          <w:rFonts w:ascii="Georgia" w:hAnsi="Georgia"/>
          <w:b w:val="0"/>
          <w:color w:val="2B2940"/>
          <w:sz w:val="40"/>
        </w:rPr>
        <w:t>Monetization Strategy</w:t>
      </w:r>
    </w:p>
    <w:p>
      <w:pPr>
        <w:spacing w:after="80" w:before="0"/>
        <w:jc w:val="center"/>
      </w:pPr>
      <w:r>
        <w:rPr>
          <w:rFonts w:ascii="Georgia" w:hAnsi="Georgia"/>
          <w:b w:val="0"/>
          <w:color w:val="6B6880"/>
          <w:sz w:val="24"/>
        </w:rPr>
        <w:t>v0.1 — April 2026</w:t>
      </w:r>
    </w:p>
    <w:p>
      <w:pPr>
        <w:spacing w:after="1200" w:before="0"/>
        <w:jc w:val="center"/>
      </w:pPr>
      <w:r>
        <w:rPr>
          <w:rFonts w:ascii="Georgia" w:hAnsi="Georgia"/>
          <w:b w:val="0"/>
          <w:color w:val="6B6880"/>
          <w:sz w:val="20"/>
        </w:rPr>
        <w:t>Confidential. Internal use only.</w:t>
      </w:r>
    </w:p>
    <w:p>
      <w:pPr>
        <w:spacing w:before="480" w:after="240"/>
      </w:pPr>
      <w:r>
        <w:rPr>
          <w:rFonts w:ascii="Georgia" w:hAnsi="Georgia"/>
          <w:b/>
          <w:color w:val="2B2940"/>
          <w:sz w:val="32"/>
        </w:rPr>
        <w:t>1. Guiding Principle</w:t>
      </w:r>
    </w:p>
    <w:p>
      <w:r>
        <w:rPr>
          <w:rFonts w:ascii="Georgia" w:hAnsi="Georgia"/>
          <w:b w:val="0"/>
          <w:i w:val="0"/>
          <w:color w:val="333333"/>
          <w:sz w:val="22"/>
        </w:rPr>
        <w:t>No woman is ever gated away from Navia's emotional core. The companion, the breathing moon, the chat, the mood phases, and a meaningful slice of the content library remain free. Paying unlocks depth, reach, and human expertise. Never basic presence.</w:t>
      </w:r>
    </w:p>
    <w:p>
      <w:r>
        <w:rPr>
          <w:rFonts w:ascii="Georgia" w:hAnsi="Georgia"/>
          <w:b w:val="0"/>
          <w:i w:val="0"/>
          <w:color w:val="333333"/>
          <w:sz w:val="22"/>
        </w:rPr>
        <w:t>This is not a charitable decision. It is a retention strategy. A woman who forms a daily bond with her companion will convert when she needs more. Gating the companion would kill the bond before it starts.</w:t>
      </w:r>
    </w:p>
    <w:p>
      <w:r>
        <w:br w:type="page"/>
      </w:r>
    </w:p>
    <w:p>
      <w:pPr>
        <w:spacing w:before="480" w:after="240"/>
      </w:pPr>
      <w:r>
        <w:rPr>
          <w:rFonts w:ascii="Georgia" w:hAnsi="Georgia"/>
          <w:b/>
          <w:color w:val="2B2940"/>
          <w:sz w:val="32"/>
        </w:rPr>
        <w:t>2. Three-Tier Subscription Model</w:t>
      </w:r>
    </w:p>
    <w:tbl>
      <w:tblPr>
        <w:tblW w:type="auto" w:w="0"/>
        <w:jc w:val="center"/>
        <w:tblLook w:firstColumn="1" w:firstRow="1" w:lastColumn="0" w:lastRow="0" w:noHBand="0" w:noVBand="1" w:val="04A0"/>
      </w:tblPr>
      <w:tblGrid>
        <w:gridCol w:w="2340"/>
        <w:gridCol w:w="2340"/>
        <w:gridCol w:w="2340"/>
        <w:gridCol w:w="2340"/>
      </w:tblGrid>
      <w:tr>
        <w:tc>
          <w:tcPr>
            <w:tcW w:type="dxa" w:w="2592"/>
            <w:shd w:fill="2B2940" w:val="clear"/>
          </w:tcPr>
          <w:p>
            <w:r/>
            <w:r>
              <w:rPr>
                <w:rFonts w:ascii="Georgia" w:hAnsi="Georgia"/>
                <w:b/>
                <w:color w:val="FFFFFF"/>
                <w:sz w:val="20"/>
              </w:rPr>
              <w:t>Feature</w:t>
            </w:r>
          </w:p>
        </w:tc>
        <w:tc>
          <w:tcPr>
            <w:tcW w:type="dxa" w:w="2160"/>
            <w:shd w:fill="2B2940" w:val="clear"/>
          </w:tcPr>
          <w:p>
            <w:r/>
            <w:r>
              <w:rPr>
                <w:rFonts w:ascii="Georgia" w:hAnsi="Georgia"/>
                <w:b/>
                <w:color w:val="FFFFFF"/>
                <w:sz w:val="20"/>
              </w:rPr>
              <w:t>Free</w:t>
            </w:r>
          </w:p>
        </w:tc>
        <w:tc>
          <w:tcPr>
            <w:tcW w:type="dxa" w:w="2160"/>
            <w:shd w:fill="2B2940" w:val="clear"/>
          </w:tcPr>
          <w:p>
            <w:r/>
            <w:r>
              <w:rPr>
                <w:rFonts w:ascii="Georgia" w:hAnsi="Georgia"/>
                <w:b/>
                <w:color w:val="FFFFFF"/>
                <w:sz w:val="20"/>
              </w:rPr>
              <w:t>Basic $7.99/mo</w:t>
            </w:r>
          </w:p>
        </w:tc>
        <w:tc>
          <w:tcPr>
            <w:tcW w:type="dxa" w:w="2448"/>
            <w:shd w:fill="2B2940" w:val="clear"/>
          </w:tcPr>
          <w:p>
            <w:r/>
            <w:r>
              <w:rPr>
                <w:rFonts w:ascii="Georgia" w:hAnsi="Georgia"/>
                <w:b/>
                <w:color w:val="FFFFFF"/>
                <w:sz w:val="20"/>
              </w:rPr>
              <w:t>Premium $14.99/mo</w:t>
            </w:r>
          </w:p>
        </w:tc>
      </w:tr>
      <w:tr>
        <w:tc>
          <w:tcPr>
            <w:tcW w:type="dxa" w:w="2592"/>
          </w:tcPr>
          <w:p>
            <w:r/>
            <w:r>
              <w:rPr>
                <w:rFonts w:ascii="Georgia" w:hAnsi="Georgia"/>
                <w:color w:val="333333"/>
                <w:sz w:val="20"/>
              </w:rPr>
              <w:t>Companion (moon, chat, mood)</w:t>
            </w:r>
          </w:p>
        </w:tc>
        <w:tc>
          <w:tcPr>
            <w:tcW w:type="dxa" w:w="2160"/>
          </w:tcPr>
          <w:p>
            <w:r/>
            <w:r>
              <w:rPr>
                <w:rFonts w:ascii="Georgia" w:hAnsi="Georgia"/>
                <w:color w:val="333333"/>
                <w:sz w:val="20"/>
              </w:rPr>
              <w:t>✓</w:t>
            </w:r>
          </w:p>
        </w:tc>
        <w:tc>
          <w:tcPr>
            <w:tcW w:type="dxa" w:w="2160"/>
          </w:tcPr>
          <w:p>
            <w:r/>
            <w:r>
              <w:rPr>
                <w:rFonts w:ascii="Georgia" w:hAnsi="Georgia"/>
                <w:color w:val="333333"/>
                <w:sz w:val="20"/>
              </w:rPr>
              <w:t>✓</w:t>
            </w:r>
          </w:p>
        </w:tc>
        <w:tc>
          <w:tcPr>
            <w:tcW w:type="dxa" w:w="2448"/>
          </w:tcPr>
          <w:p>
            <w:r/>
            <w:r>
              <w:rPr>
                <w:rFonts w:ascii="Georgia" w:hAnsi="Georgia"/>
                <w:color w:val="333333"/>
                <w:sz w:val="20"/>
              </w:rPr>
              <w:t>✓</w:t>
            </w:r>
          </w:p>
        </w:tc>
      </w:tr>
      <w:tr>
        <w:tc>
          <w:tcPr>
            <w:tcW w:type="dxa" w:w="2592"/>
            <w:shd w:fill="F5F3F7" w:val="clear"/>
          </w:tcPr>
          <w:p>
            <w:r/>
            <w:r>
              <w:rPr>
                <w:rFonts w:ascii="Georgia" w:hAnsi="Georgia"/>
                <w:color w:val="333333"/>
                <w:sz w:val="20"/>
              </w:rPr>
              <w:t>Day / Night mode</w:t>
            </w:r>
          </w:p>
        </w:tc>
        <w:tc>
          <w:tcPr>
            <w:tcW w:type="dxa" w:w="2160"/>
            <w:shd w:fill="F5F3F7" w:val="clear"/>
          </w:tcPr>
          <w:p>
            <w:r/>
            <w:r>
              <w:rPr>
                <w:rFonts w:ascii="Georgia" w:hAnsi="Georgia"/>
                <w:color w:val="333333"/>
                <w:sz w:val="20"/>
              </w:rPr>
              <w:t>✓</w:t>
            </w:r>
          </w:p>
        </w:tc>
        <w:tc>
          <w:tcPr>
            <w:tcW w:type="dxa" w:w="2160"/>
            <w:shd w:fill="F5F3F7" w:val="clear"/>
          </w:tcPr>
          <w:p>
            <w:r/>
            <w:r>
              <w:rPr>
                <w:rFonts w:ascii="Georgia" w:hAnsi="Georgia"/>
                <w:color w:val="333333"/>
                <w:sz w:val="20"/>
              </w:rPr>
              <w:t>✓</w:t>
            </w:r>
          </w:p>
        </w:tc>
        <w:tc>
          <w:tcPr>
            <w:tcW w:type="dxa" w:w="2448"/>
            <w:shd w:fill="F5F3F7" w:val="clear"/>
          </w:tcPr>
          <w:p>
            <w:r/>
            <w:r>
              <w:rPr>
                <w:rFonts w:ascii="Georgia" w:hAnsi="Georgia"/>
                <w:color w:val="333333"/>
                <w:sz w:val="20"/>
              </w:rPr>
              <w:t>✓</w:t>
            </w:r>
          </w:p>
        </w:tc>
      </w:tr>
      <w:tr>
        <w:tc>
          <w:tcPr>
            <w:tcW w:type="dxa" w:w="2592"/>
          </w:tcPr>
          <w:p>
            <w:r/>
            <w:r>
              <w:rPr>
                <w:rFonts w:ascii="Georgia" w:hAnsi="Georgia"/>
                <w:color w:val="333333"/>
                <w:sz w:val="20"/>
              </w:rPr>
              <w:t>Content library</w:t>
            </w:r>
          </w:p>
        </w:tc>
        <w:tc>
          <w:tcPr>
            <w:tcW w:type="dxa" w:w="2160"/>
          </w:tcPr>
          <w:p>
            <w:r/>
            <w:r>
              <w:rPr>
                <w:rFonts w:ascii="Georgia" w:hAnsi="Georgia"/>
                <w:color w:val="333333"/>
                <w:sz w:val="20"/>
              </w:rPr>
              <w:t>Curated selection</w:t>
            </w:r>
          </w:p>
        </w:tc>
        <w:tc>
          <w:tcPr>
            <w:tcW w:type="dxa" w:w="2160"/>
          </w:tcPr>
          <w:p>
            <w:r/>
            <w:r>
              <w:rPr>
                <w:rFonts w:ascii="Georgia" w:hAnsi="Georgia"/>
                <w:color w:val="333333"/>
                <w:sz w:val="20"/>
              </w:rPr>
              <w:t>Full access</w:t>
            </w:r>
          </w:p>
        </w:tc>
        <w:tc>
          <w:tcPr>
            <w:tcW w:type="dxa" w:w="2448"/>
          </w:tcPr>
          <w:p>
            <w:r/>
            <w:r>
              <w:rPr>
                <w:rFonts w:ascii="Georgia" w:hAnsi="Georgia"/>
                <w:color w:val="333333"/>
                <w:sz w:val="20"/>
              </w:rPr>
              <w:t>Full + early drops</w:t>
            </w:r>
          </w:p>
        </w:tc>
      </w:tr>
      <w:tr>
        <w:tc>
          <w:tcPr>
            <w:tcW w:type="dxa" w:w="2592"/>
            <w:shd w:fill="F5F3F7" w:val="clear"/>
          </w:tcPr>
          <w:p>
            <w:r/>
            <w:r>
              <w:rPr>
                <w:rFonts w:ascii="Georgia" w:hAnsi="Georgia"/>
                <w:color w:val="333333"/>
                <w:sz w:val="20"/>
              </w:rPr>
              <w:t>Private circles</w:t>
            </w:r>
          </w:p>
        </w:tc>
        <w:tc>
          <w:tcPr>
            <w:tcW w:type="dxa" w:w="2160"/>
            <w:shd w:fill="F5F3F7" w:val="clear"/>
          </w:tcPr>
          <w:p>
            <w:r/>
            <w:r>
              <w:rPr>
                <w:rFonts w:ascii="Georgia" w:hAnsi="Georgia"/>
                <w:color w:val="333333"/>
                <w:sz w:val="20"/>
              </w:rPr>
              <w:t>1 circle, 12-day max</w:t>
            </w:r>
          </w:p>
        </w:tc>
        <w:tc>
          <w:tcPr>
            <w:tcW w:type="dxa" w:w="2160"/>
            <w:shd w:fill="F5F3F7" w:val="clear"/>
          </w:tcPr>
          <w:p>
            <w:r/>
            <w:r>
              <w:rPr>
                <w:rFonts w:ascii="Georgia" w:hAnsi="Georgia"/>
                <w:color w:val="333333"/>
                <w:sz w:val="20"/>
              </w:rPr>
              <w:t>3 circles, all durations</w:t>
            </w:r>
          </w:p>
        </w:tc>
        <w:tc>
          <w:tcPr>
            <w:tcW w:type="dxa" w:w="2448"/>
            <w:shd w:fill="F5F3F7" w:val="clear"/>
          </w:tcPr>
          <w:p>
            <w:r/>
            <w:r>
              <w:rPr>
                <w:rFonts w:ascii="Georgia" w:hAnsi="Georgia"/>
                <w:color w:val="333333"/>
                <w:sz w:val="20"/>
              </w:rPr>
              <w:t>Unlimited + custom</w:t>
            </w:r>
          </w:p>
        </w:tc>
      </w:tr>
      <w:tr>
        <w:tc>
          <w:tcPr>
            <w:tcW w:type="dxa" w:w="2592"/>
          </w:tcPr>
          <w:p>
            <w:r/>
            <w:r>
              <w:rPr>
                <w:rFonts w:ascii="Georgia" w:hAnsi="Georgia"/>
                <w:color w:val="333333"/>
                <w:sz w:val="20"/>
              </w:rPr>
              <w:t>Expert Q&amp;A</w:t>
            </w:r>
          </w:p>
        </w:tc>
        <w:tc>
          <w:tcPr>
            <w:tcW w:type="dxa" w:w="2160"/>
          </w:tcPr>
          <w:p>
            <w:r/>
            <w:r>
              <w:rPr>
                <w:rFonts w:ascii="Georgia" w:hAnsi="Georgia"/>
                <w:color w:val="333333"/>
                <w:sz w:val="20"/>
              </w:rPr>
              <w:t>—</w:t>
            </w:r>
          </w:p>
        </w:tc>
        <w:tc>
          <w:tcPr>
            <w:tcW w:type="dxa" w:w="2160"/>
          </w:tcPr>
          <w:p>
            <w:r/>
            <w:r>
              <w:rPr>
                <w:rFonts w:ascii="Georgia" w:hAnsi="Georgia"/>
                <w:color w:val="333333"/>
                <w:sz w:val="20"/>
              </w:rPr>
              <w:t>3 questions / month</w:t>
            </w:r>
          </w:p>
        </w:tc>
        <w:tc>
          <w:tcPr>
            <w:tcW w:type="dxa" w:w="2448"/>
          </w:tcPr>
          <w:p>
            <w:r/>
            <w:r>
              <w:rPr>
                <w:rFonts w:ascii="Georgia" w:hAnsi="Georgia"/>
                <w:color w:val="333333"/>
                <w:sz w:val="20"/>
              </w:rPr>
              <w:t>Unlimited</w:t>
            </w:r>
          </w:p>
        </w:tc>
      </w:tr>
      <w:tr>
        <w:tc>
          <w:tcPr>
            <w:tcW w:type="dxa" w:w="2592"/>
            <w:shd w:fill="F5F3F7" w:val="clear"/>
          </w:tcPr>
          <w:p>
            <w:r/>
            <w:r>
              <w:rPr>
                <w:rFonts w:ascii="Georgia" w:hAnsi="Georgia"/>
                <w:color w:val="333333"/>
                <w:sz w:val="20"/>
              </w:rPr>
              <w:t>Guided sessions</w:t>
            </w:r>
          </w:p>
        </w:tc>
        <w:tc>
          <w:tcPr>
            <w:tcW w:type="dxa" w:w="2160"/>
            <w:shd w:fill="F5F3F7" w:val="clear"/>
          </w:tcPr>
          <w:p>
            <w:r/>
            <w:r>
              <w:rPr>
                <w:rFonts w:ascii="Georgia" w:hAnsi="Georgia"/>
                <w:color w:val="333333"/>
                <w:sz w:val="20"/>
              </w:rPr>
              <w:t>—</w:t>
            </w:r>
          </w:p>
        </w:tc>
        <w:tc>
          <w:tcPr>
            <w:tcW w:type="dxa" w:w="2160"/>
            <w:shd w:fill="F5F3F7" w:val="clear"/>
          </w:tcPr>
          <w:p>
            <w:r/>
            <w:r>
              <w:rPr>
                <w:rFonts w:ascii="Georgia" w:hAnsi="Georgia"/>
                <w:color w:val="333333"/>
                <w:sz w:val="20"/>
              </w:rPr>
              <w:t>✓</w:t>
            </w:r>
          </w:p>
        </w:tc>
        <w:tc>
          <w:tcPr>
            <w:tcW w:type="dxa" w:w="2448"/>
            <w:shd w:fill="F5F3F7" w:val="clear"/>
          </w:tcPr>
          <w:p>
            <w:r/>
            <w:r>
              <w:rPr>
                <w:rFonts w:ascii="Georgia" w:hAnsi="Georgia"/>
                <w:color w:val="333333"/>
                <w:sz w:val="20"/>
              </w:rPr>
              <w:t>✓</w:t>
            </w:r>
          </w:p>
        </w:tc>
      </w:tr>
      <w:tr>
        <w:tc>
          <w:tcPr>
            <w:tcW w:type="dxa" w:w="2592"/>
          </w:tcPr>
          <w:p>
            <w:r/>
            <w:r>
              <w:rPr>
                <w:rFonts w:ascii="Georgia" w:hAnsi="Georgia"/>
                <w:color w:val="333333"/>
                <w:sz w:val="20"/>
              </w:rPr>
              <w:t>Health + PDF export</w:t>
            </w:r>
          </w:p>
        </w:tc>
        <w:tc>
          <w:tcPr>
            <w:tcW w:type="dxa" w:w="2160"/>
          </w:tcPr>
          <w:p>
            <w:r/>
            <w:r>
              <w:rPr>
                <w:rFonts w:ascii="Georgia" w:hAnsi="Georgia"/>
                <w:color w:val="333333"/>
                <w:sz w:val="20"/>
              </w:rPr>
              <w:t>—</w:t>
            </w:r>
          </w:p>
        </w:tc>
        <w:tc>
          <w:tcPr>
            <w:tcW w:type="dxa" w:w="2160"/>
          </w:tcPr>
          <w:p>
            <w:r/>
            <w:r>
              <w:rPr>
                <w:rFonts w:ascii="Georgia" w:hAnsi="Georgia"/>
                <w:color w:val="333333"/>
                <w:sz w:val="20"/>
              </w:rPr>
              <w:t>Basic tracking</w:t>
            </w:r>
          </w:p>
        </w:tc>
        <w:tc>
          <w:tcPr>
            <w:tcW w:type="dxa" w:w="2448"/>
          </w:tcPr>
          <w:p>
            <w:r/>
            <w:r>
              <w:rPr>
                <w:rFonts w:ascii="Georgia" w:hAnsi="Georgia"/>
                <w:color w:val="333333"/>
                <w:sz w:val="20"/>
              </w:rPr>
              <w:t>Full + GP/OBGYN export</w:t>
            </w:r>
          </w:p>
        </w:tc>
      </w:tr>
      <w:tr>
        <w:tc>
          <w:tcPr>
            <w:tcW w:type="dxa" w:w="2592"/>
            <w:shd w:fill="F5F3F7" w:val="clear"/>
          </w:tcPr>
          <w:p>
            <w:r/>
            <w:r>
              <w:rPr>
                <w:rFonts w:ascii="Georgia" w:hAnsi="Georgia"/>
                <w:color w:val="333333"/>
                <w:sz w:val="20"/>
              </w:rPr>
              <w:t>Proactive nudges</w:t>
            </w:r>
          </w:p>
        </w:tc>
        <w:tc>
          <w:tcPr>
            <w:tcW w:type="dxa" w:w="2160"/>
            <w:shd w:fill="F5F3F7" w:val="clear"/>
          </w:tcPr>
          <w:p>
            <w:r/>
            <w:r>
              <w:rPr>
                <w:rFonts w:ascii="Georgia" w:hAnsi="Georgia"/>
                <w:color w:val="333333"/>
                <w:sz w:val="20"/>
              </w:rPr>
              <w:t>—</w:t>
            </w:r>
          </w:p>
        </w:tc>
        <w:tc>
          <w:tcPr>
            <w:tcW w:type="dxa" w:w="2160"/>
            <w:shd w:fill="F5F3F7" w:val="clear"/>
          </w:tcPr>
          <w:p>
            <w:r/>
            <w:r>
              <w:rPr>
                <w:rFonts w:ascii="Georgia" w:hAnsi="Georgia"/>
                <w:color w:val="333333"/>
                <w:sz w:val="20"/>
              </w:rPr>
              <w:t>—</w:t>
            </w:r>
          </w:p>
        </w:tc>
        <w:tc>
          <w:tcPr>
            <w:tcW w:type="dxa" w:w="2448"/>
            <w:shd w:fill="F5F3F7" w:val="clear"/>
          </w:tcPr>
          <w:p>
            <w:r/>
            <w:r>
              <w:rPr>
                <w:rFonts w:ascii="Georgia" w:hAnsi="Georgia"/>
                <w:color w:val="333333"/>
                <w:sz w:val="20"/>
              </w:rPr>
              <w:t>✓</w:t>
            </w:r>
          </w:p>
        </w:tc>
      </w:tr>
      <w:tr>
        <w:tc>
          <w:tcPr>
            <w:tcW w:type="dxa" w:w="2592"/>
          </w:tcPr>
          <w:p>
            <w:r/>
            <w:r>
              <w:rPr>
                <w:rFonts w:ascii="Georgia" w:hAnsi="Georgia"/>
                <w:color w:val="333333"/>
                <w:sz w:val="20"/>
              </w:rPr>
              <w:t>Navia Wallet + gift</w:t>
            </w:r>
          </w:p>
        </w:tc>
        <w:tc>
          <w:tcPr>
            <w:tcW w:type="dxa" w:w="2160"/>
          </w:tcPr>
          <w:p>
            <w:r/>
            <w:r>
              <w:rPr>
                <w:rFonts w:ascii="Georgia" w:hAnsi="Georgia"/>
                <w:color w:val="333333"/>
                <w:sz w:val="20"/>
              </w:rPr>
              <w:t>Receive only</w:t>
            </w:r>
          </w:p>
        </w:tc>
        <w:tc>
          <w:tcPr>
            <w:tcW w:type="dxa" w:w="2160"/>
          </w:tcPr>
          <w:p>
            <w:r/>
            <w:r>
              <w:rPr>
                <w:rFonts w:ascii="Georgia" w:hAnsi="Georgia"/>
                <w:color w:val="333333"/>
                <w:sz w:val="20"/>
              </w:rPr>
              <w:t>✓</w:t>
            </w:r>
          </w:p>
        </w:tc>
        <w:tc>
          <w:tcPr>
            <w:tcW w:type="dxa" w:w="2448"/>
          </w:tcPr>
          <w:p>
            <w:r/>
            <w:r>
              <w:rPr>
                <w:rFonts w:ascii="Georgia" w:hAnsi="Georgia"/>
                <w:color w:val="333333"/>
                <w:sz w:val="20"/>
              </w:rPr>
              <w:t>✓ + Navia Points</w:t>
            </w:r>
          </w:p>
        </w:tc>
      </w:tr>
    </w:tbl>
    <w:p>
      <w:pPr>
        <w:spacing w:before="320" w:after="160"/>
      </w:pPr>
      <w:r>
        <w:rPr>
          <w:rFonts w:ascii="Georgia" w:hAnsi="Georgia"/>
          <w:b/>
          <w:color w:val="2B2940"/>
          <w:sz w:val="26"/>
        </w:rPr>
        <w:t>2.1 Annual Pricing (20% discount)</w:t>
      </w:r>
    </w:p>
    <w:p>
      <w:r>
        <w:rPr>
          <w:rFonts w:ascii="Georgia" w:hAnsi="Georgia"/>
          <w:b w:val="0"/>
          <w:i w:val="0"/>
          <w:color w:val="333333"/>
          <w:sz w:val="22"/>
        </w:rPr>
        <w:t>Basic annual: $63.99/year ($5.33/month effective). Premium annual: $119.99/year ($10.00/month effective). Annual subscribers receive a 50-point Navia Points bonus at signup to encourage long-term commitment.</w:t>
      </w:r>
    </w:p>
    <w:p>
      <w:pPr>
        <w:spacing w:before="320" w:after="160"/>
      </w:pPr>
      <w:r>
        <w:rPr>
          <w:rFonts w:ascii="Georgia" w:hAnsi="Georgia"/>
          <w:b/>
          <w:color w:val="2B2940"/>
          <w:sz w:val="26"/>
        </w:rPr>
        <w:t>2.2 Competitive Context</w:t>
      </w:r>
    </w:p>
    <w:p>
      <w:r>
        <w:rPr>
          <w:rFonts w:ascii="Georgia" w:hAnsi="Georgia"/>
          <w:b w:val="0"/>
          <w:i w:val="0"/>
          <w:color w:val="333333"/>
          <w:sz w:val="22"/>
        </w:rPr>
        <w:t>Calm: $14.99/month ($69.99/year). Headspace: $12.99/month ($69.99/year). Flo Premium: $4.99/month ($39.99/year). Clue Plus: $9.99/month ($59.99/year). Navia sits deliberately between cycle trackers and mindfulness apps because it serves a different need: not meditation, not tracking, but companionship. Basic is priced competitively with Flo/Clue. Premium is priced below Calm/Headspace while delivering expert access, which neither offers.</w:t>
      </w:r>
    </w:p>
    <w:p>
      <w:r>
        <w:br w:type="page"/>
      </w:r>
    </w:p>
    <w:p>
      <w:pPr>
        <w:spacing w:before="480" w:after="240"/>
      </w:pPr>
      <w:r>
        <w:rPr>
          <w:rFonts w:ascii="Georgia" w:hAnsi="Georgia"/>
          <w:b/>
          <w:color w:val="2B2940"/>
          <w:sz w:val="32"/>
        </w:rPr>
        <w:t>3. Conversion Funnel</w:t>
      </w:r>
    </w:p>
    <w:p>
      <w:pPr>
        <w:spacing w:before="320" w:after="160"/>
      </w:pPr>
      <w:r>
        <w:rPr>
          <w:rFonts w:ascii="Georgia" w:hAnsi="Georgia"/>
          <w:b/>
          <w:color w:val="2B2940"/>
          <w:sz w:val="26"/>
        </w:rPr>
        <w:t>3.1 Acquisition</w:t>
      </w:r>
    </w:p>
    <w:p>
      <w:r>
        <w:rPr>
          <w:rFonts w:ascii="Georgia" w:hAnsi="Georgia"/>
          <w:b w:val="0"/>
          <w:i w:val="0"/>
          <w:color w:val="333333"/>
          <w:sz w:val="22"/>
        </w:rPr>
        <w:t>Waitlist (bynavia.com) captures early adopters via email. Instagram @bynavia builds brand presence. YouTube interview series with real experts drives organic discovery and positions Navia as credible before the app launches. Podcast episodes and short video fragments repurpose each interview into multiple touchpoints.</w:t>
      </w:r>
    </w:p>
    <w:p>
      <w:pPr>
        <w:spacing w:before="320" w:after="160"/>
      </w:pPr>
      <w:r>
        <w:rPr>
          <w:rFonts w:ascii="Georgia" w:hAnsi="Georgia"/>
          <w:b/>
          <w:color w:val="2B2940"/>
          <w:sz w:val="26"/>
        </w:rPr>
        <w:t>3.2 Activation</w:t>
      </w:r>
    </w:p>
    <w:p>
      <w:r>
        <w:rPr>
          <w:rFonts w:ascii="Georgia" w:hAnsi="Georgia"/>
          <w:b w:val="0"/>
          <w:i w:val="0"/>
          <w:color w:val="333333"/>
          <w:sz w:val="22"/>
        </w:rPr>
        <w:t>First session with the companion (breathing moon + first chat) must happen within 60 seconds of onboarding. The founder letters appear during onboarding as a trust mechanism: Sebastien opened up first, before asking anyone else to. The companion asks one question, listens, and reflects it back. By minute three, the woman should feel that Navia already knows something about her.</w:t>
      </w:r>
    </w:p>
    <w:p>
      <w:pPr>
        <w:spacing w:before="320" w:after="160"/>
      </w:pPr>
      <w:r>
        <w:rPr>
          <w:rFonts w:ascii="Georgia" w:hAnsi="Georgia"/>
          <w:b/>
          <w:color w:val="2B2940"/>
          <w:sz w:val="26"/>
        </w:rPr>
        <w:t>3.3 Free-to-Basic Trigger</w:t>
      </w:r>
    </w:p>
    <w:p>
      <w:r>
        <w:rPr>
          <w:rFonts w:ascii="Georgia" w:hAnsi="Georgia"/>
          <w:b w:val="0"/>
          <w:i w:val="0"/>
          <w:color w:val="333333"/>
          <w:sz w:val="22"/>
        </w:rPr>
        <w:t>The natural conversion moment arrives when the woman wants to share her Navia with someone she trusts. The free tier allows one circle with a 12-day cap. When she wants a second circle, a longer duration, or when she asks a question only an expert can answer, Navia gently surfaces the Basic tier. No hard paywall. No countdown. Just a quiet invitation: you can go deeper whenever you are ready.</w:t>
      </w:r>
    </w:p>
    <w:p>
      <w:pPr>
        <w:spacing w:before="320" w:after="160"/>
      </w:pPr>
      <w:r>
        <w:rPr>
          <w:rFonts w:ascii="Georgia" w:hAnsi="Georgia"/>
          <w:b/>
          <w:color w:val="2B2940"/>
          <w:sz w:val="26"/>
        </w:rPr>
        <w:t>3.4 Basic-to-Premium Trigger</w:t>
      </w:r>
    </w:p>
    <w:p>
      <w:r>
        <w:rPr>
          <w:rFonts w:ascii="Georgia" w:hAnsi="Georgia"/>
          <w:b w:val="0"/>
          <w:i w:val="0"/>
          <w:color w:val="333333"/>
          <w:sz w:val="22"/>
        </w:rPr>
        <w:t>Premium conversion is triggered by health needs. When a woman starts tracking symptoms, enters a pregnancy, or needs recurring expert access, Premium becomes a natural next step. The Health section with PDF export for her GP/OBGYN is the strongest conversion lever because it transforms Navia from a companion into a medical partner.</w:t>
      </w:r>
    </w:p>
    <w:p>
      <w:pPr>
        <w:spacing w:before="320" w:after="160"/>
      </w:pPr>
      <w:r>
        <w:rPr>
          <w:rFonts w:ascii="Georgia" w:hAnsi="Georgia"/>
          <w:b/>
          <w:color w:val="2B2940"/>
          <w:sz w:val="26"/>
        </w:rPr>
        <w:t>3.5 Retention</w:t>
      </w:r>
    </w:p>
    <w:p>
      <w:r>
        <w:rPr>
          <w:rFonts w:ascii="Georgia" w:hAnsi="Georgia"/>
          <w:b w:val="0"/>
          <w:i w:val="0"/>
          <w:color w:val="333333"/>
          <w:sz w:val="22"/>
        </w:rPr>
        <w:t>Daily companion interaction (breathing moon, morning check-in) creates habit. Private circles create social accountability. The content library refreshes monthly with new expert interviews. Navia Points accumulate with subscription payments and create switching cost. The wallet enables gifting between circle members, deepening emotional investment.</w:t>
      </w:r>
    </w:p>
    <w:p>
      <w:r>
        <w:br w:type="page"/>
      </w:r>
    </w:p>
    <w:p>
      <w:pPr>
        <w:spacing w:before="480" w:after="240"/>
      </w:pPr>
      <w:r>
        <w:rPr>
          <w:rFonts w:ascii="Georgia" w:hAnsi="Georgia"/>
          <w:b/>
          <w:color w:val="2B2940"/>
          <w:sz w:val="32"/>
        </w:rPr>
        <w:t>4. Unit Economics (Projection)</w:t>
      </w:r>
    </w:p>
    <w:tbl>
      <w:tblPr>
        <w:tblW w:type="auto" w:w="0"/>
        <w:jc w:val="center"/>
        <w:tblLook w:firstColumn="1" w:firstRow="1" w:lastColumn="0" w:lastRow="0" w:noHBand="0" w:noVBand="1" w:val="04A0"/>
      </w:tblPr>
      <w:tblGrid>
        <w:gridCol w:w="4680"/>
        <w:gridCol w:w="4680"/>
      </w:tblGrid>
      <w:tr>
        <w:tc>
          <w:tcPr>
            <w:tcW w:type="dxa" w:w="4680"/>
            <w:shd w:fill="2B2940" w:val="clear"/>
          </w:tcPr>
          <w:p>
            <w:r/>
            <w:r>
              <w:rPr>
                <w:rFonts w:ascii="Georgia" w:hAnsi="Georgia"/>
                <w:b/>
                <w:color w:val="FFFFFF"/>
                <w:sz w:val="20"/>
              </w:rPr>
              <w:t>Metric</w:t>
            </w:r>
          </w:p>
        </w:tc>
        <w:tc>
          <w:tcPr>
            <w:tcW w:type="dxa" w:w="4680"/>
            <w:shd w:fill="2B2940" w:val="clear"/>
          </w:tcPr>
          <w:p>
            <w:r/>
            <w:r>
              <w:rPr>
                <w:rFonts w:ascii="Georgia" w:hAnsi="Georgia"/>
                <w:b/>
                <w:color w:val="FFFFFF"/>
                <w:sz w:val="20"/>
              </w:rPr>
              <w:t>Target (Year 1)</w:t>
            </w:r>
          </w:p>
        </w:tc>
      </w:tr>
      <w:tr>
        <w:tc>
          <w:tcPr>
            <w:tcW w:type="dxa" w:w="4680"/>
          </w:tcPr>
          <w:p>
            <w:r/>
            <w:r>
              <w:rPr>
                <w:rFonts w:ascii="Georgia" w:hAnsi="Georgia"/>
                <w:color w:val="333333"/>
                <w:sz w:val="20"/>
              </w:rPr>
              <w:t>Waitlist at launch</w:t>
            </w:r>
          </w:p>
        </w:tc>
        <w:tc>
          <w:tcPr>
            <w:tcW w:type="dxa" w:w="4680"/>
          </w:tcPr>
          <w:p>
            <w:r/>
            <w:r>
              <w:rPr>
                <w:rFonts w:ascii="Georgia" w:hAnsi="Georgia"/>
                <w:color w:val="333333"/>
                <w:sz w:val="20"/>
              </w:rPr>
              <w:t>2,000 signups</w:t>
            </w:r>
          </w:p>
        </w:tc>
      </w:tr>
      <w:tr>
        <w:tc>
          <w:tcPr>
            <w:tcW w:type="dxa" w:w="4680"/>
            <w:shd w:fill="F5F3F7" w:val="clear"/>
          </w:tcPr>
          <w:p>
            <w:r/>
            <w:r>
              <w:rPr>
                <w:rFonts w:ascii="Georgia" w:hAnsi="Georgia"/>
                <w:color w:val="333333"/>
                <w:sz w:val="20"/>
              </w:rPr>
              <w:t>Waitlist-to-download conversion</w:t>
            </w:r>
          </w:p>
        </w:tc>
        <w:tc>
          <w:tcPr>
            <w:tcW w:type="dxa" w:w="4680"/>
            <w:shd w:fill="F5F3F7" w:val="clear"/>
          </w:tcPr>
          <w:p>
            <w:r/>
            <w:r>
              <w:rPr>
                <w:rFonts w:ascii="Georgia" w:hAnsi="Georgia"/>
                <w:color w:val="333333"/>
                <w:sz w:val="20"/>
              </w:rPr>
              <w:t>40% (800 users)</w:t>
            </w:r>
          </w:p>
        </w:tc>
      </w:tr>
      <w:tr>
        <w:tc>
          <w:tcPr>
            <w:tcW w:type="dxa" w:w="4680"/>
          </w:tcPr>
          <w:p>
            <w:r/>
            <w:r>
              <w:rPr>
                <w:rFonts w:ascii="Georgia" w:hAnsi="Georgia"/>
                <w:color w:val="333333"/>
                <w:sz w:val="20"/>
              </w:rPr>
              <w:t>Free-to-Basic conversion (month 3)</w:t>
            </w:r>
          </w:p>
        </w:tc>
        <w:tc>
          <w:tcPr>
            <w:tcW w:type="dxa" w:w="4680"/>
          </w:tcPr>
          <w:p>
            <w:r/>
            <w:r>
              <w:rPr>
                <w:rFonts w:ascii="Georgia" w:hAnsi="Georgia"/>
                <w:color w:val="333333"/>
                <w:sz w:val="20"/>
              </w:rPr>
              <w:t>8% (64 paying users)</w:t>
            </w:r>
          </w:p>
        </w:tc>
      </w:tr>
      <w:tr>
        <w:tc>
          <w:tcPr>
            <w:tcW w:type="dxa" w:w="4680"/>
            <w:shd w:fill="F5F3F7" w:val="clear"/>
          </w:tcPr>
          <w:p>
            <w:r/>
            <w:r>
              <w:rPr>
                <w:rFonts w:ascii="Georgia" w:hAnsi="Georgia"/>
                <w:color w:val="333333"/>
                <w:sz w:val="20"/>
              </w:rPr>
              <w:t>Basic-to-Premium upgrade (month 6)</w:t>
            </w:r>
          </w:p>
        </w:tc>
        <w:tc>
          <w:tcPr>
            <w:tcW w:type="dxa" w:w="4680"/>
            <w:shd w:fill="F5F3F7" w:val="clear"/>
          </w:tcPr>
          <w:p>
            <w:r/>
            <w:r>
              <w:rPr>
                <w:rFonts w:ascii="Georgia" w:hAnsi="Georgia"/>
                <w:color w:val="333333"/>
                <w:sz w:val="20"/>
              </w:rPr>
              <w:t>25% of Basic (16 Premium)</w:t>
            </w:r>
          </w:p>
        </w:tc>
      </w:tr>
      <w:tr>
        <w:tc>
          <w:tcPr>
            <w:tcW w:type="dxa" w:w="4680"/>
          </w:tcPr>
          <w:p>
            <w:r/>
            <w:r>
              <w:rPr>
                <w:rFonts w:ascii="Georgia" w:hAnsi="Georgia"/>
                <w:color w:val="333333"/>
                <w:sz w:val="20"/>
              </w:rPr>
              <w:t>Blended ARPU (monthly)</w:t>
            </w:r>
          </w:p>
        </w:tc>
        <w:tc>
          <w:tcPr>
            <w:tcW w:type="dxa" w:w="4680"/>
          </w:tcPr>
          <w:p>
            <w:r/>
            <w:r>
              <w:rPr>
                <w:rFonts w:ascii="Georgia" w:hAnsi="Georgia"/>
                <w:color w:val="333333"/>
                <w:sz w:val="20"/>
              </w:rPr>
              <w:t>$9.74</w:t>
            </w:r>
          </w:p>
        </w:tc>
      </w:tr>
      <w:tr>
        <w:tc>
          <w:tcPr>
            <w:tcW w:type="dxa" w:w="4680"/>
            <w:shd w:fill="F5F3F7" w:val="clear"/>
          </w:tcPr>
          <w:p>
            <w:r/>
            <w:r>
              <w:rPr>
                <w:rFonts w:ascii="Georgia" w:hAnsi="Georgia"/>
                <w:color w:val="333333"/>
                <w:sz w:val="20"/>
              </w:rPr>
              <w:t>Monthly recurring revenue (month 6)</w:t>
            </w:r>
          </w:p>
        </w:tc>
        <w:tc>
          <w:tcPr>
            <w:tcW w:type="dxa" w:w="4680"/>
            <w:shd w:fill="F5F3F7" w:val="clear"/>
          </w:tcPr>
          <w:p>
            <w:r/>
            <w:r>
              <w:rPr>
                <w:rFonts w:ascii="Georgia" w:hAnsi="Georgia"/>
                <w:color w:val="333333"/>
                <w:sz w:val="20"/>
              </w:rPr>
              <w:t>$624</w:t>
            </w:r>
          </w:p>
        </w:tc>
      </w:tr>
      <w:tr>
        <w:tc>
          <w:tcPr>
            <w:tcW w:type="dxa" w:w="4680"/>
          </w:tcPr>
          <w:p>
            <w:r/>
            <w:r>
              <w:rPr>
                <w:rFonts w:ascii="Georgia" w:hAnsi="Georgia"/>
                <w:color w:val="333333"/>
                <w:sz w:val="20"/>
              </w:rPr>
              <w:t>Target churn (monthly)</w:t>
            </w:r>
          </w:p>
        </w:tc>
        <w:tc>
          <w:tcPr>
            <w:tcW w:type="dxa" w:w="4680"/>
          </w:tcPr>
          <w:p>
            <w:r/>
            <w:r>
              <w:rPr>
                <w:rFonts w:ascii="Georgia" w:hAnsi="Georgia"/>
                <w:color w:val="333333"/>
                <w:sz w:val="20"/>
              </w:rPr>
              <w:t>&lt; 6%</w:t>
            </w:r>
          </w:p>
        </w:tc>
      </w:tr>
      <w:tr>
        <w:tc>
          <w:tcPr>
            <w:tcW w:type="dxa" w:w="4680"/>
            <w:shd w:fill="F5F3F7" w:val="clear"/>
          </w:tcPr>
          <w:p>
            <w:r/>
            <w:r>
              <w:rPr>
                <w:rFonts w:ascii="Georgia" w:hAnsi="Georgia"/>
                <w:color w:val="333333"/>
                <w:sz w:val="20"/>
              </w:rPr>
              <w:t>LTV (12-month, 6% churn)</w:t>
            </w:r>
          </w:p>
        </w:tc>
        <w:tc>
          <w:tcPr>
            <w:tcW w:type="dxa" w:w="4680"/>
            <w:shd w:fill="F5F3F7" w:val="clear"/>
          </w:tcPr>
          <w:p>
            <w:r/>
            <w:r>
              <w:rPr>
                <w:rFonts w:ascii="Georgia" w:hAnsi="Georgia"/>
                <w:color w:val="333333"/>
                <w:sz w:val="20"/>
              </w:rPr>
              <w:t>~$97 per paying user</w:t>
            </w:r>
          </w:p>
        </w:tc>
      </w:tr>
      <w:tr>
        <w:tc>
          <w:tcPr>
            <w:tcW w:type="dxa" w:w="4680"/>
          </w:tcPr>
          <w:p>
            <w:r/>
            <w:r>
              <w:rPr>
                <w:rFonts w:ascii="Georgia" w:hAnsi="Georgia"/>
                <w:color w:val="333333"/>
                <w:sz w:val="20"/>
              </w:rPr>
              <w:t>CAC target</w:t>
            </w:r>
          </w:p>
        </w:tc>
        <w:tc>
          <w:tcPr>
            <w:tcW w:type="dxa" w:w="4680"/>
          </w:tcPr>
          <w:p>
            <w:r/>
            <w:r>
              <w:rPr>
                <w:rFonts w:ascii="Georgia" w:hAnsi="Georgia"/>
                <w:color w:val="333333"/>
                <w:sz w:val="20"/>
              </w:rPr>
              <w:t>&lt; $15 (organic-first)</w:t>
            </w:r>
          </w:p>
        </w:tc>
      </w:tr>
      <w:tr>
        <w:tc>
          <w:tcPr>
            <w:tcW w:type="dxa" w:w="4680"/>
            <w:shd w:fill="F5F3F7" w:val="clear"/>
          </w:tcPr>
          <w:p>
            <w:r/>
            <w:r>
              <w:rPr>
                <w:rFonts w:ascii="Georgia" w:hAnsi="Georgia"/>
                <w:color w:val="333333"/>
                <w:sz w:val="20"/>
              </w:rPr>
              <w:t>LTV:CAC ratio</w:t>
            </w:r>
          </w:p>
        </w:tc>
        <w:tc>
          <w:tcPr>
            <w:tcW w:type="dxa" w:w="4680"/>
            <w:shd w:fill="F5F3F7" w:val="clear"/>
          </w:tcPr>
          <w:p>
            <w:r/>
            <w:r>
              <w:rPr>
                <w:rFonts w:ascii="Georgia" w:hAnsi="Georgia"/>
                <w:color w:val="333333"/>
                <w:sz w:val="20"/>
              </w:rPr>
              <w:t>&gt; 6:1</w:t>
            </w:r>
          </w:p>
        </w:tc>
      </w:tr>
    </w:tbl>
    <w:p>
      <w:r>
        <w:rPr>
          <w:rFonts w:ascii="Georgia" w:hAnsi="Georgia"/>
          <w:b w:val="0"/>
          <w:i w:val="0"/>
          <w:color w:val="333333"/>
          <w:sz w:val="22"/>
        </w:rPr>
      </w:r>
    </w:p>
    <w:p>
      <w:r>
        <w:rPr>
          <w:rFonts w:ascii="Georgia" w:hAnsi="Georgia"/>
          <w:b w:val="0"/>
          <w:i w:val="0"/>
          <w:color w:val="333333"/>
          <w:sz w:val="22"/>
        </w:rPr>
        <w:t>These projections are conservative. The 8% free-to-paid conversion is below industry average for wellness apps (typically 10-15%) to account for a new brand. As the content library grows and expert partnerships activate, conversion should rise.</w:t>
      </w:r>
    </w:p>
    <w:p>
      <w:r>
        <w:br w:type="page"/>
      </w:r>
    </w:p>
    <w:p>
      <w:pPr>
        <w:spacing w:before="480" w:after="240"/>
      </w:pPr>
      <w:r>
        <w:rPr>
          <w:rFonts w:ascii="Georgia" w:hAnsi="Georgia"/>
          <w:b/>
          <w:color w:val="2B2940"/>
          <w:sz w:val="32"/>
        </w:rPr>
        <w:t>5. Revenue Streams Beyond Subscriptions</w:t>
      </w:r>
    </w:p>
    <w:p>
      <w:pPr>
        <w:spacing w:before="320" w:after="160"/>
      </w:pPr>
      <w:r>
        <w:rPr>
          <w:rFonts w:ascii="Georgia" w:hAnsi="Georgia"/>
          <w:b/>
          <w:color w:val="2B2940"/>
          <w:sz w:val="26"/>
        </w:rPr>
        <w:t>5.1 Navia Wallet and Gift Economy</w:t>
      </w:r>
    </w:p>
    <w:p>
      <w:r>
        <w:rPr>
          <w:rFonts w:ascii="Georgia" w:hAnsi="Georgia"/>
          <w:b w:val="0"/>
          <w:i w:val="0"/>
          <w:color w:val="333333"/>
          <w:sz w:val="22"/>
        </w:rPr>
        <w:t>Women recharge their Navia balance via Apple Pay or Stripe and send gifts to circle members (a consultation credit, a guided session, a content unlock). Every transaction generates Navia Points (1 point per dollar). Points are redeemable for partner discounts, event access, and premium content. Points are non-monetary promotional credits (no money transmission license required).</w:t>
      </w:r>
    </w:p>
    <w:p>
      <w:pPr>
        <w:spacing w:before="320" w:after="160"/>
      </w:pPr>
      <w:r>
        <w:rPr>
          <w:rFonts w:ascii="Georgia" w:hAnsi="Georgia"/>
          <w:b/>
          <w:color w:val="2B2940"/>
          <w:sz w:val="26"/>
        </w:rPr>
        <w:t>5.2 Partner Network (Phase 3+)</w:t>
      </w:r>
    </w:p>
    <w:p>
      <w:r>
        <w:rPr>
          <w:rFonts w:ascii="Georgia" w:hAnsi="Georgia"/>
          <w:b w:val="0"/>
          <w:i w:val="0"/>
          <w:color w:val="333333"/>
          <w:sz w:val="22"/>
        </w:rPr>
        <w:t>Partner practitioners (midwives, doulas, therapists, nutritionists) offer services through Navia. Navia takes a 15-20% platform fee on consultations booked through the expert Q&amp;A pipeline. The 13 expert shoots per year create content AND build the partner roster simultaneously.</w:t>
      </w:r>
    </w:p>
    <w:p>
      <w:pPr>
        <w:spacing w:before="320" w:after="160"/>
      </w:pPr>
      <w:r>
        <w:rPr>
          <w:rFonts w:ascii="Georgia" w:hAnsi="Georgia"/>
          <w:b/>
          <w:color w:val="2B2940"/>
          <w:sz w:val="26"/>
        </w:rPr>
        <w:t>5.3 Anonymized Insight Reports (Phase 4+)</w:t>
      </w:r>
    </w:p>
    <w:p>
      <w:r>
        <w:rPr>
          <w:rFonts w:ascii="Georgia" w:hAnsi="Georgia"/>
          <w:b w:val="0"/>
          <w:i w:val="0"/>
          <w:color w:val="333333"/>
          <w:sz w:val="22"/>
        </w:rPr>
        <w:t>The structured expert Q&amp;A system generates anonymized data on what women ask, when, and which life phases produce the most questions. This can be packaged into insight reports for maternal health research and healthcare policy organizations. Must only proceed after legal counsel and user advisory board approval. Privacy is the core brand promise.</w:t>
      </w:r>
    </w:p>
    <w:p>
      <w:r>
        <w:br w:type="page"/>
      </w:r>
    </w:p>
    <w:p>
      <w:pPr>
        <w:spacing w:before="480" w:after="240"/>
      </w:pPr>
      <w:r>
        <w:rPr>
          <w:rFonts w:ascii="Georgia" w:hAnsi="Georgia"/>
          <w:b/>
          <w:color w:val="2B2940"/>
          <w:sz w:val="32"/>
        </w:rPr>
        <w:t>6. Pricing Psychology and Paywall Design</w:t>
      </w:r>
    </w:p>
    <w:p>
      <w:r>
        <w:rPr>
          <w:rFonts w:ascii="Georgia" w:hAnsi="Georgia"/>
          <w:b w:val="0"/>
          <w:i w:val="0"/>
          <w:color w:val="333333"/>
          <w:sz w:val="22"/>
        </w:rPr>
        <w:t>Navia must never feel like it is withholding. The paywall is not a wall. It is a doorway the woman chooses to walk through when she is ready. Paywall copy must use Navia's voice: warm, unhurried, never pushy.</w:t>
      </w:r>
    </w:p>
    <w:p>
      <w:r>
        <w:rPr>
          <w:rFonts w:ascii="Georgia" w:hAnsi="Georgia"/>
          <w:b/>
          <w:i w:val="0"/>
          <w:color w:val="333333"/>
          <w:sz w:val="22"/>
        </w:rPr>
        <w:t>Paywall trigger examples:</w:t>
      </w:r>
    </w:p>
    <w:p>
      <w:pPr>
        <w:pStyle w:val="ListBullet"/>
      </w:pPr>
      <w:r>
        <w:rPr>
          <w:rFonts w:ascii="Georgia" w:hAnsi="Georgia"/>
          <w:b/>
          <w:sz w:val="22"/>
        </w:rPr>
        <w:t xml:space="preserve">Circle limit reached: </w:t>
      </w:r>
      <w:r>
        <w:rPr>
          <w:rFonts w:ascii="Georgia" w:hAnsi="Georgia"/>
          <w:i/>
          <w:color w:val="6B6880"/>
          <w:sz w:val="22"/>
        </w:rPr>
        <w:t>"You have one circle open. To walk alongside more than one person at a time, Basic gives you three."</w:t>
      </w:r>
    </w:p>
    <w:p>
      <w:pPr>
        <w:pStyle w:val="ListBullet"/>
      </w:pPr>
      <w:r>
        <w:rPr>
          <w:rFonts w:ascii="Georgia" w:hAnsi="Georgia"/>
          <w:b/>
          <w:sz w:val="22"/>
        </w:rPr>
        <w:t xml:space="preserve">Expert question: </w:t>
      </w:r>
      <w:r>
        <w:rPr>
          <w:rFonts w:ascii="Georgia" w:hAnsi="Georgia"/>
          <w:i/>
          <w:color w:val="6B6880"/>
          <w:sz w:val="22"/>
        </w:rPr>
        <w:t>"That is a question that deserves a real answer. With Basic, a specialist can respond within 48 hours."</w:t>
      </w:r>
    </w:p>
    <w:p>
      <w:pPr>
        <w:pStyle w:val="ListBullet"/>
      </w:pPr>
      <w:r>
        <w:rPr>
          <w:rFonts w:ascii="Georgia" w:hAnsi="Georgia"/>
          <w:b/>
          <w:sz w:val="22"/>
        </w:rPr>
        <w:t xml:space="preserve">Health tracking depth: </w:t>
      </w:r>
      <w:r>
        <w:rPr>
          <w:rFonts w:ascii="Georgia" w:hAnsi="Georgia"/>
          <w:i/>
          <w:color w:val="6B6880"/>
          <w:sz w:val="22"/>
        </w:rPr>
        <w:t>"You are building something important here. Premium lets you export a summary your doctor can read in under a minute."</w:t>
      </w:r>
    </w:p>
    <w:p>
      <w:pPr>
        <w:pStyle w:val="ListBullet"/>
      </w:pPr>
      <w:r>
        <w:rPr>
          <w:rFonts w:ascii="Georgia" w:hAnsi="Georgia"/>
          <w:b/>
          <w:sz w:val="22"/>
        </w:rPr>
        <w:t xml:space="preserve">Content locked: </w:t>
      </w:r>
      <w:r>
        <w:rPr>
          <w:rFonts w:ascii="Georgia" w:hAnsi="Georgia"/>
          <w:i/>
          <w:color w:val="6B6880"/>
          <w:sz w:val="22"/>
        </w:rPr>
        <w:t>"This conversation goes deeper. Full library access comes with Basic, whenever you are ready."</w:t>
      </w:r>
    </w:p>
    <w:p>
      <w:r>
        <w:rPr>
          <w:rFonts w:ascii="Georgia" w:hAnsi="Georgia"/>
          <w:b w:val="0"/>
          <w:i w:val="0"/>
          <w:color w:val="333333"/>
          <w:sz w:val="22"/>
        </w:rPr>
        <w:t>Every paywall surface must clearly state what the free tier already includes, so the woman never feels that basic Navia is broken on purpose.</w:t>
      </w:r>
    </w:p>
    <w:p>
      <w:r>
        <w:br w:type="page"/>
      </w:r>
    </w:p>
    <w:p>
      <w:pPr>
        <w:spacing w:before="480" w:after="240"/>
      </w:pPr>
      <w:r>
        <w:rPr>
          <w:rFonts w:ascii="Georgia" w:hAnsi="Georgia"/>
          <w:b/>
          <w:color w:val="2B2940"/>
          <w:sz w:val="32"/>
        </w:rPr>
        <w:t>7. Financial Milestones</w:t>
      </w:r>
    </w:p>
    <w:tbl>
      <w:tblPr>
        <w:tblW w:type="auto" w:w="0"/>
        <w:jc w:val="center"/>
        <w:tblLook w:firstColumn="1" w:firstRow="1" w:lastColumn="0" w:lastRow="0" w:noHBand="0" w:noVBand="1" w:val="04A0"/>
      </w:tblPr>
      <w:tblGrid>
        <w:gridCol w:w="3120"/>
        <w:gridCol w:w="3120"/>
        <w:gridCol w:w="3120"/>
      </w:tblGrid>
      <w:tr>
        <w:tc>
          <w:tcPr>
            <w:tcW w:type="dxa" w:w="1872"/>
            <w:shd w:fill="2B2940" w:val="clear"/>
          </w:tcPr>
          <w:p>
            <w:r/>
            <w:r>
              <w:rPr>
                <w:rFonts w:ascii="Georgia" w:hAnsi="Georgia"/>
                <w:b/>
                <w:color w:val="FFFFFF"/>
                <w:sz w:val="20"/>
              </w:rPr>
              <w:t>Phase</w:t>
            </w:r>
          </w:p>
        </w:tc>
        <w:tc>
          <w:tcPr>
            <w:tcW w:type="dxa" w:w="3888"/>
            <w:shd w:fill="2B2940" w:val="clear"/>
          </w:tcPr>
          <w:p>
            <w:r/>
            <w:r>
              <w:rPr>
                <w:rFonts w:ascii="Georgia" w:hAnsi="Georgia"/>
                <w:b/>
                <w:color w:val="FFFFFF"/>
                <w:sz w:val="20"/>
              </w:rPr>
              <w:t>Milestone</w:t>
            </w:r>
          </w:p>
        </w:tc>
        <w:tc>
          <w:tcPr>
            <w:tcW w:type="dxa" w:w="3600"/>
            <w:shd w:fill="2B2940" w:val="clear"/>
          </w:tcPr>
          <w:p>
            <w:r/>
            <w:r>
              <w:rPr>
                <w:rFonts w:ascii="Georgia" w:hAnsi="Georgia"/>
                <w:b/>
                <w:color w:val="FFFFFF"/>
                <w:sz w:val="20"/>
              </w:rPr>
              <w:t>Revenue Target</w:t>
            </w:r>
          </w:p>
        </w:tc>
      </w:tr>
      <w:tr>
        <w:tc>
          <w:tcPr>
            <w:tcW w:type="dxa" w:w="1872"/>
          </w:tcPr>
          <w:p>
            <w:r/>
            <w:r>
              <w:rPr>
                <w:rFonts w:ascii="Georgia" w:hAnsi="Georgia"/>
                <w:color w:val="333333"/>
                <w:sz w:val="20"/>
              </w:rPr>
              <w:t>Pre-launch</w:t>
            </w:r>
          </w:p>
        </w:tc>
        <w:tc>
          <w:tcPr>
            <w:tcW w:type="dxa" w:w="3888"/>
          </w:tcPr>
          <w:p>
            <w:r/>
            <w:r>
              <w:rPr>
                <w:rFonts w:ascii="Georgia" w:hAnsi="Georgia"/>
                <w:color w:val="333333"/>
                <w:sz w:val="20"/>
              </w:rPr>
              <w:t>2,000 waitlist signups</w:t>
            </w:r>
          </w:p>
        </w:tc>
        <w:tc>
          <w:tcPr>
            <w:tcW w:type="dxa" w:w="3600"/>
          </w:tcPr>
          <w:p>
            <w:r/>
            <w:r>
              <w:rPr>
                <w:rFonts w:ascii="Georgia" w:hAnsi="Georgia"/>
                <w:color w:val="333333"/>
                <w:sz w:val="20"/>
              </w:rPr>
              <w:t>$0</w:t>
            </w:r>
          </w:p>
        </w:tc>
      </w:tr>
      <w:tr>
        <w:tc>
          <w:tcPr>
            <w:tcW w:type="dxa" w:w="1872"/>
            <w:shd w:fill="F5F3F7" w:val="clear"/>
          </w:tcPr>
          <w:p>
            <w:r/>
            <w:r>
              <w:rPr>
                <w:rFonts w:ascii="Georgia" w:hAnsi="Georgia"/>
                <w:color w:val="333333"/>
                <w:sz w:val="20"/>
              </w:rPr>
              <w:t>Month 1-3</w:t>
            </w:r>
          </w:p>
        </w:tc>
        <w:tc>
          <w:tcPr>
            <w:tcW w:type="dxa" w:w="3888"/>
            <w:shd w:fill="F5F3F7" w:val="clear"/>
          </w:tcPr>
          <w:p>
            <w:r/>
            <w:r>
              <w:rPr>
                <w:rFonts w:ascii="Georgia" w:hAnsi="Georgia"/>
                <w:color w:val="333333"/>
                <w:sz w:val="20"/>
              </w:rPr>
              <w:t>800 downloads, first conversions</w:t>
            </w:r>
          </w:p>
        </w:tc>
        <w:tc>
          <w:tcPr>
            <w:tcW w:type="dxa" w:w="3600"/>
            <w:shd w:fill="F5F3F7" w:val="clear"/>
          </w:tcPr>
          <w:p>
            <w:r/>
            <w:r>
              <w:rPr>
                <w:rFonts w:ascii="Georgia" w:hAnsi="Georgia"/>
                <w:color w:val="333333"/>
                <w:sz w:val="20"/>
              </w:rPr>
              <w:t>$200-400 MRR</w:t>
            </w:r>
          </w:p>
        </w:tc>
      </w:tr>
      <w:tr>
        <w:tc>
          <w:tcPr>
            <w:tcW w:type="dxa" w:w="1872"/>
          </w:tcPr>
          <w:p>
            <w:r/>
            <w:r>
              <w:rPr>
                <w:rFonts w:ascii="Georgia" w:hAnsi="Georgia"/>
                <w:color w:val="333333"/>
                <w:sz w:val="20"/>
              </w:rPr>
              <w:t>Month 4-6</w:t>
            </w:r>
          </w:p>
        </w:tc>
        <w:tc>
          <w:tcPr>
            <w:tcW w:type="dxa" w:w="3888"/>
          </w:tcPr>
          <w:p>
            <w:r/>
            <w:r>
              <w:rPr>
                <w:rFonts w:ascii="Georgia" w:hAnsi="Georgia"/>
                <w:color w:val="333333"/>
                <w:sz w:val="20"/>
              </w:rPr>
              <w:t>Circles + expert Q&amp;A live</w:t>
            </w:r>
          </w:p>
        </w:tc>
        <w:tc>
          <w:tcPr>
            <w:tcW w:type="dxa" w:w="3600"/>
          </w:tcPr>
          <w:p>
            <w:r/>
            <w:r>
              <w:rPr>
                <w:rFonts w:ascii="Georgia" w:hAnsi="Georgia"/>
                <w:color w:val="333333"/>
                <w:sz w:val="20"/>
              </w:rPr>
              <w:t>$600-1,200 MRR</w:t>
            </w:r>
          </w:p>
        </w:tc>
      </w:tr>
      <w:tr>
        <w:tc>
          <w:tcPr>
            <w:tcW w:type="dxa" w:w="1872"/>
            <w:shd w:fill="F5F3F7" w:val="clear"/>
          </w:tcPr>
          <w:p>
            <w:r/>
            <w:r>
              <w:rPr>
                <w:rFonts w:ascii="Georgia" w:hAnsi="Georgia"/>
                <w:color w:val="333333"/>
                <w:sz w:val="20"/>
              </w:rPr>
              <w:t>Month 7-12</w:t>
            </w:r>
          </w:p>
        </w:tc>
        <w:tc>
          <w:tcPr>
            <w:tcW w:type="dxa" w:w="3888"/>
            <w:shd w:fill="F5F3F7" w:val="clear"/>
          </w:tcPr>
          <w:p>
            <w:r/>
            <w:r>
              <w:rPr>
                <w:rFonts w:ascii="Georgia" w:hAnsi="Georgia"/>
                <w:color w:val="333333"/>
                <w:sz w:val="20"/>
              </w:rPr>
              <w:t>Health section + wallet, 200+ paying</w:t>
            </w:r>
          </w:p>
        </w:tc>
        <w:tc>
          <w:tcPr>
            <w:tcW w:type="dxa" w:w="3600"/>
            <w:shd w:fill="F5F3F7" w:val="clear"/>
          </w:tcPr>
          <w:p>
            <w:r/>
            <w:r>
              <w:rPr>
                <w:rFonts w:ascii="Georgia" w:hAnsi="Georgia"/>
                <w:color w:val="333333"/>
                <w:sz w:val="20"/>
              </w:rPr>
              <w:t>$2,000-4,000 MRR</w:t>
            </w:r>
          </w:p>
        </w:tc>
      </w:tr>
      <w:tr>
        <w:tc>
          <w:tcPr>
            <w:tcW w:type="dxa" w:w="1872"/>
          </w:tcPr>
          <w:p>
            <w:r/>
            <w:r>
              <w:rPr>
                <w:rFonts w:ascii="Georgia" w:hAnsi="Georgia"/>
                <w:color w:val="333333"/>
                <w:sz w:val="20"/>
              </w:rPr>
              <w:t>Year 2</w:t>
            </w:r>
          </w:p>
        </w:tc>
        <w:tc>
          <w:tcPr>
            <w:tcW w:type="dxa" w:w="3888"/>
          </w:tcPr>
          <w:p>
            <w:r/>
            <w:r>
              <w:rPr>
                <w:rFonts w:ascii="Georgia" w:hAnsi="Georgia"/>
                <w:color w:val="333333"/>
                <w:sz w:val="20"/>
              </w:rPr>
              <w:t>Partner network, 1,000+ paying users</w:t>
            </w:r>
          </w:p>
        </w:tc>
        <w:tc>
          <w:tcPr>
            <w:tcW w:type="dxa" w:w="3600"/>
          </w:tcPr>
          <w:p>
            <w:r/>
            <w:r>
              <w:rPr>
                <w:rFonts w:ascii="Georgia" w:hAnsi="Georgia"/>
                <w:color w:val="333333"/>
                <w:sz w:val="20"/>
              </w:rPr>
              <w:t>$10,000+ MRR</w:t>
            </w:r>
          </w:p>
        </w:tc>
      </w:tr>
    </w:tbl>
    <w:p>
      <w:r>
        <w:rPr>
          <w:rFonts w:ascii="Georgia" w:hAnsi="Georgia"/>
          <w:b w:val="0"/>
          <w:i w:val="0"/>
          <w:color w:val="333333"/>
          <w:sz w:val="22"/>
        </w:rPr>
      </w:r>
    </w:p>
    <w:p>
      <w:r>
        <w:rPr>
          <w:rFonts w:ascii="Georgia" w:hAnsi="Georgia"/>
          <w:b w:val="0"/>
          <w:i w:val="0"/>
          <w:color w:val="333333"/>
          <w:sz w:val="22"/>
        </w:rPr>
        <w:t>Growth is organic-first: YouTube, podcast, Instagram, and word-of-mouth through circles. Every circle invitation is a potential new user with zero acquisition cost.</w:t>
      </w:r>
    </w:p>
    <w:p>
      <w:r>
        <w:br w:type="page"/>
      </w:r>
    </w:p>
    <w:p>
      <w:pPr>
        <w:spacing w:before="480" w:after="240"/>
      </w:pPr>
      <w:r>
        <w:rPr>
          <w:rFonts w:ascii="Georgia" w:hAnsi="Georgia"/>
          <w:b/>
          <w:color w:val="2B2940"/>
          <w:sz w:val="32"/>
        </w:rPr>
        <w:t>8. Cost Structure (Monthly, Year 1)</w:t>
      </w:r>
    </w:p>
    <w:tbl>
      <w:tblPr>
        <w:tblW w:type="auto" w:w="0"/>
        <w:jc w:val="center"/>
        <w:tblLook w:firstColumn="1" w:firstRow="1" w:lastColumn="0" w:lastRow="0" w:noHBand="0" w:noVBand="1" w:val="04A0"/>
      </w:tblPr>
      <w:tblGrid>
        <w:gridCol w:w="3120"/>
        <w:gridCol w:w="3120"/>
        <w:gridCol w:w="3120"/>
      </w:tblGrid>
      <w:tr>
        <w:tc>
          <w:tcPr>
            <w:tcW w:type="dxa" w:w="3888"/>
            <w:shd w:fill="2B2940" w:val="clear"/>
          </w:tcPr>
          <w:p>
            <w:r/>
            <w:r>
              <w:rPr>
                <w:rFonts w:ascii="Georgia" w:hAnsi="Georgia"/>
                <w:b/>
                <w:color w:val="FFFFFF"/>
                <w:sz w:val="20"/>
              </w:rPr>
              <w:t>Item</w:t>
            </w:r>
          </w:p>
        </w:tc>
        <w:tc>
          <w:tcPr>
            <w:tcW w:type="dxa" w:w="2160"/>
            <w:shd w:fill="2B2940" w:val="clear"/>
          </w:tcPr>
          <w:p>
            <w:r/>
            <w:r>
              <w:rPr>
                <w:rFonts w:ascii="Georgia" w:hAnsi="Georgia"/>
                <w:b/>
                <w:color w:val="FFFFFF"/>
                <w:sz w:val="20"/>
              </w:rPr>
              <w:t>Monthly Cost</w:t>
            </w:r>
          </w:p>
        </w:tc>
        <w:tc>
          <w:tcPr>
            <w:tcW w:type="dxa" w:w="3312"/>
            <w:shd w:fill="2B2940" w:val="clear"/>
          </w:tcPr>
          <w:p>
            <w:r/>
            <w:r>
              <w:rPr>
                <w:rFonts w:ascii="Georgia" w:hAnsi="Georgia"/>
                <w:b/>
                <w:color w:val="FFFFFF"/>
                <w:sz w:val="20"/>
              </w:rPr>
              <w:t>Notes</w:t>
            </w:r>
          </w:p>
        </w:tc>
      </w:tr>
      <w:tr>
        <w:tc>
          <w:tcPr>
            <w:tcW w:type="dxa" w:w="3888"/>
          </w:tcPr>
          <w:p>
            <w:r/>
            <w:r>
              <w:rPr>
                <w:rFonts w:ascii="Georgia" w:hAnsi="Georgia"/>
                <w:color w:val="333333"/>
                <w:sz w:val="20"/>
              </w:rPr>
              <w:t>Anthropic API (Claude)</w:t>
            </w:r>
          </w:p>
        </w:tc>
        <w:tc>
          <w:tcPr>
            <w:tcW w:type="dxa" w:w="2160"/>
          </w:tcPr>
          <w:p>
            <w:r/>
            <w:r>
              <w:rPr>
                <w:rFonts w:ascii="Georgia" w:hAnsi="Georgia"/>
                <w:color w:val="333333"/>
                <w:sz w:val="20"/>
              </w:rPr>
              <w:t>$50-200</w:t>
            </w:r>
          </w:p>
        </w:tc>
        <w:tc>
          <w:tcPr>
            <w:tcW w:type="dxa" w:w="3312"/>
          </w:tcPr>
          <w:p>
            <w:r/>
            <w:r>
              <w:rPr>
                <w:rFonts w:ascii="Georgia" w:hAnsi="Georgia"/>
                <w:color w:val="333333"/>
                <w:sz w:val="20"/>
              </w:rPr>
              <w:t>Scales with users</w:t>
            </w:r>
          </w:p>
        </w:tc>
      </w:tr>
      <w:tr>
        <w:tc>
          <w:tcPr>
            <w:tcW w:type="dxa" w:w="3888"/>
            <w:shd w:fill="F5F3F7" w:val="clear"/>
          </w:tcPr>
          <w:p>
            <w:r/>
            <w:r>
              <w:rPr>
                <w:rFonts w:ascii="Georgia" w:hAnsi="Georgia"/>
                <w:color w:val="333333"/>
                <w:sz w:val="20"/>
              </w:rPr>
              <w:t>ElevenLabs voice API</w:t>
            </w:r>
          </w:p>
        </w:tc>
        <w:tc>
          <w:tcPr>
            <w:tcW w:type="dxa" w:w="2160"/>
            <w:shd w:fill="F5F3F7" w:val="clear"/>
          </w:tcPr>
          <w:p>
            <w:r/>
            <w:r>
              <w:rPr>
                <w:rFonts w:ascii="Georgia" w:hAnsi="Georgia"/>
                <w:color w:val="333333"/>
                <w:sz w:val="20"/>
              </w:rPr>
              <w:t>$22-99</w:t>
            </w:r>
          </w:p>
        </w:tc>
        <w:tc>
          <w:tcPr>
            <w:tcW w:type="dxa" w:w="3312"/>
            <w:shd w:fill="F5F3F7" w:val="clear"/>
          </w:tcPr>
          <w:p>
            <w:r/>
            <w:r>
              <w:rPr>
                <w:rFonts w:ascii="Georgia" w:hAnsi="Georgia"/>
                <w:color w:val="333333"/>
                <w:sz w:val="20"/>
              </w:rPr>
              <w:t>Starter to Pro</w:t>
            </w:r>
          </w:p>
        </w:tc>
      </w:tr>
      <w:tr>
        <w:tc>
          <w:tcPr>
            <w:tcW w:type="dxa" w:w="3888"/>
          </w:tcPr>
          <w:p>
            <w:r/>
            <w:r>
              <w:rPr>
                <w:rFonts w:ascii="Georgia" w:hAnsi="Georgia"/>
                <w:color w:val="333333"/>
                <w:sz w:val="20"/>
              </w:rPr>
              <w:t>Hume API (emotion)</w:t>
            </w:r>
          </w:p>
        </w:tc>
        <w:tc>
          <w:tcPr>
            <w:tcW w:type="dxa" w:w="2160"/>
          </w:tcPr>
          <w:p>
            <w:r/>
            <w:r>
              <w:rPr>
                <w:rFonts w:ascii="Georgia" w:hAnsi="Georgia"/>
                <w:color w:val="333333"/>
                <w:sz w:val="20"/>
              </w:rPr>
              <w:t>$0-50</w:t>
            </w:r>
          </w:p>
        </w:tc>
        <w:tc>
          <w:tcPr>
            <w:tcW w:type="dxa" w:w="3312"/>
          </w:tcPr>
          <w:p>
            <w:r/>
            <w:r>
              <w:rPr>
                <w:rFonts w:ascii="Georgia" w:hAnsi="Georgia"/>
                <w:color w:val="333333"/>
                <w:sz w:val="20"/>
              </w:rPr>
              <w:t>Free tier generous</w:t>
            </w:r>
          </w:p>
        </w:tc>
      </w:tr>
      <w:tr>
        <w:tc>
          <w:tcPr>
            <w:tcW w:type="dxa" w:w="3888"/>
            <w:shd w:fill="F5F3F7" w:val="clear"/>
          </w:tcPr>
          <w:p>
            <w:r/>
            <w:r>
              <w:rPr>
                <w:rFonts w:ascii="Georgia" w:hAnsi="Georgia"/>
                <w:color w:val="333333"/>
                <w:sz w:val="20"/>
              </w:rPr>
              <w:t>Vercel hosting</w:t>
            </w:r>
          </w:p>
        </w:tc>
        <w:tc>
          <w:tcPr>
            <w:tcW w:type="dxa" w:w="2160"/>
            <w:shd w:fill="F5F3F7" w:val="clear"/>
          </w:tcPr>
          <w:p>
            <w:r/>
            <w:r>
              <w:rPr>
                <w:rFonts w:ascii="Georgia" w:hAnsi="Georgia"/>
                <w:color w:val="333333"/>
                <w:sz w:val="20"/>
              </w:rPr>
              <w:t>$0-20</w:t>
            </w:r>
          </w:p>
        </w:tc>
        <w:tc>
          <w:tcPr>
            <w:tcW w:type="dxa" w:w="3312"/>
            <w:shd w:fill="F5F3F7" w:val="clear"/>
          </w:tcPr>
          <w:p>
            <w:r/>
            <w:r>
              <w:rPr>
                <w:rFonts w:ascii="Georgia" w:hAnsi="Georgia"/>
                <w:color w:val="333333"/>
                <w:sz w:val="20"/>
              </w:rPr>
              <w:t>Hobby to Pro</w:t>
            </w:r>
          </w:p>
        </w:tc>
      </w:tr>
      <w:tr>
        <w:tc>
          <w:tcPr>
            <w:tcW w:type="dxa" w:w="3888"/>
          </w:tcPr>
          <w:p>
            <w:r/>
            <w:r>
              <w:rPr>
                <w:rFonts w:ascii="Georgia" w:hAnsi="Georgia"/>
                <w:color w:val="333333"/>
                <w:sz w:val="20"/>
              </w:rPr>
              <w:t>Plausible analytics</w:t>
            </w:r>
          </w:p>
        </w:tc>
        <w:tc>
          <w:tcPr>
            <w:tcW w:type="dxa" w:w="2160"/>
          </w:tcPr>
          <w:p>
            <w:r/>
            <w:r>
              <w:rPr>
                <w:rFonts w:ascii="Georgia" w:hAnsi="Georgia"/>
                <w:color w:val="333333"/>
                <w:sz w:val="20"/>
              </w:rPr>
              <w:t>$6</w:t>
            </w:r>
          </w:p>
        </w:tc>
        <w:tc>
          <w:tcPr>
            <w:tcW w:type="dxa" w:w="3312"/>
          </w:tcPr>
          <w:p>
            <w:r/>
            <w:r>
              <w:rPr>
                <w:rFonts w:ascii="Georgia" w:hAnsi="Georgia"/>
                <w:color w:val="333333"/>
                <w:sz w:val="20"/>
              </w:rPr>
              <w:t>Fixed</w:t>
            </w:r>
          </w:p>
        </w:tc>
      </w:tr>
      <w:tr>
        <w:tc>
          <w:tcPr>
            <w:tcW w:type="dxa" w:w="3888"/>
            <w:shd w:fill="F5F3F7" w:val="clear"/>
          </w:tcPr>
          <w:p>
            <w:r/>
            <w:r>
              <w:rPr>
                <w:rFonts w:ascii="Georgia" w:hAnsi="Georgia"/>
                <w:color w:val="333333"/>
                <w:sz w:val="20"/>
              </w:rPr>
              <w:t>Brevo email (CRM)</w:t>
            </w:r>
          </w:p>
        </w:tc>
        <w:tc>
          <w:tcPr>
            <w:tcW w:type="dxa" w:w="2160"/>
            <w:shd w:fill="F5F3F7" w:val="clear"/>
          </w:tcPr>
          <w:p>
            <w:r/>
            <w:r>
              <w:rPr>
                <w:rFonts w:ascii="Georgia" w:hAnsi="Georgia"/>
                <w:color w:val="333333"/>
                <w:sz w:val="20"/>
              </w:rPr>
              <w:t>$0-25</w:t>
            </w:r>
          </w:p>
        </w:tc>
        <w:tc>
          <w:tcPr>
            <w:tcW w:type="dxa" w:w="3312"/>
            <w:shd w:fill="F5F3F7" w:val="clear"/>
          </w:tcPr>
          <w:p>
            <w:r/>
            <w:r>
              <w:rPr>
                <w:rFonts w:ascii="Georgia" w:hAnsi="Georgia"/>
                <w:color w:val="333333"/>
                <w:sz w:val="20"/>
              </w:rPr>
              <w:t>Free up to 300/day</w:t>
            </w:r>
          </w:p>
        </w:tc>
      </w:tr>
      <w:tr>
        <w:tc>
          <w:tcPr>
            <w:tcW w:type="dxa" w:w="3888"/>
          </w:tcPr>
          <w:p>
            <w:r/>
            <w:r>
              <w:rPr>
                <w:rFonts w:ascii="Georgia" w:hAnsi="Georgia"/>
                <w:color w:val="333333"/>
                <w:sz w:val="20"/>
              </w:rPr>
              <w:t>Apple Developer Program</w:t>
            </w:r>
          </w:p>
        </w:tc>
        <w:tc>
          <w:tcPr>
            <w:tcW w:type="dxa" w:w="2160"/>
          </w:tcPr>
          <w:p>
            <w:r/>
            <w:r>
              <w:rPr>
                <w:rFonts w:ascii="Georgia" w:hAnsi="Georgia"/>
                <w:color w:val="333333"/>
                <w:sz w:val="20"/>
              </w:rPr>
              <w:t>$8.25</w:t>
            </w:r>
          </w:p>
        </w:tc>
        <w:tc>
          <w:tcPr>
            <w:tcW w:type="dxa" w:w="3312"/>
          </w:tcPr>
          <w:p>
            <w:r/>
            <w:r>
              <w:rPr>
                <w:rFonts w:ascii="Georgia" w:hAnsi="Georgia"/>
                <w:color w:val="333333"/>
                <w:sz w:val="20"/>
              </w:rPr>
              <w:t>$99/year</w:t>
            </w:r>
          </w:p>
        </w:tc>
      </w:tr>
      <w:tr>
        <w:tc>
          <w:tcPr>
            <w:tcW w:type="dxa" w:w="3888"/>
            <w:shd w:fill="F5F3F7" w:val="clear"/>
          </w:tcPr>
          <w:p>
            <w:r/>
            <w:r>
              <w:rPr>
                <w:rFonts w:ascii="Georgia" w:hAnsi="Georgia"/>
                <w:color w:val="333333"/>
                <w:sz w:val="20"/>
              </w:rPr>
              <w:t>Stripe fees (2.9%+$0.30)</w:t>
            </w:r>
          </w:p>
        </w:tc>
        <w:tc>
          <w:tcPr>
            <w:tcW w:type="dxa" w:w="2160"/>
            <w:shd w:fill="F5F3F7" w:val="clear"/>
          </w:tcPr>
          <w:p>
            <w:r/>
            <w:r>
              <w:rPr>
                <w:rFonts w:ascii="Georgia" w:hAnsi="Georgia"/>
                <w:color w:val="333333"/>
                <w:sz w:val="20"/>
              </w:rPr>
              <w:t>Variable</w:t>
            </w:r>
          </w:p>
        </w:tc>
        <w:tc>
          <w:tcPr>
            <w:tcW w:type="dxa" w:w="3312"/>
            <w:shd w:fill="F5F3F7" w:val="clear"/>
          </w:tcPr>
          <w:p>
            <w:r/>
            <w:r>
              <w:rPr>
                <w:rFonts w:ascii="Georgia" w:hAnsi="Georgia"/>
                <w:color w:val="333333"/>
                <w:sz w:val="20"/>
              </w:rPr>
              <w:t>Per transaction</w:t>
            </w:r>
          </w:p>
        </w:tc>
      </w:tr>
      <w:tr>
        <w:tc>
          <w:tcPr>
            <w:tcW w:type="dxa" w:w="3888"/>
          </w:tcPr>
          <w:p>
            <w:r/>
            <w:r>
              <w:rPr>
                <w:rFonts w:ascii="Georgia" w:hAnsi="Georgia"/>
                <w:color w:val="333333"/>
                <w:sz w:val="20"/>
              </w:rPr>
              <w:t>Apple App Store (15-30%)</w:t>
            </w:r>
          </w:p>
        </w:tc>
        <w:tc>
          <w:tcPr>
            <w:tcW w:type="dxa" w:w="2160"/>
          </w:tcPr>
          <w:p>
            <w:r/>
            <w:r>
              <w:rPr>
                <w:rFonts w:ascii="Georgia" w:hAnsi="Georgia"/>
                <w:color w:val="333333"/>
                <w:sz w:val="20"/>
              </w:rPr>
              <w:t>Variable</w:t>
            </w:r>
          </w:p>
        </w:tc>
        <w:tc>
          <w:tcPr>
            <w:tcW w:type="dxa" w:w="3312"/>
          </w:tcPr>
          <w:p>
            <w:r/>
            <w:r>
              <w:rPr>
                <w:rFonts w:ascii="Georgia" w:hAnsi="Georgia"/>
                <w:color w:val="333333"/>
                <w:sz w:val="20"/>
              </w:rPr>
              <w:t>15% under $1M/yr</w:t>
            </w:r>
          </w:p>
        </w:tc>
      </w:tr>
      <w:tr>
        <w:tc>
          <w:tcPr>
            <w:tcW w:type="dxa" w:w="3888"/>
            <w:shd w:fill="F5F3F7" w:val="clear"/>
          </w:tcPr>
          <w:p>
            <w:r/>
            <w:r>
              <w:rPr>
                <w:rFonts w:ascii="Georgia" w:hAnsi="Georgia"/>
                <w:color w:val="333333"/>
                <w:sz w:val="20"/>
              </w:rPr>
              <w:t>Domain + SSL</w:t>
            </w:r>
          </w:p>
        </w:tc>
        <w:tc>
          <w:tcPr>
            <w:tcW w:type="dxa" w:w="2160"/>
            <w:shd w:fill="F5F3F7" w:val="clear"/>
          </w:tcPr>
          <w:p>
            <w:r/>
            <w:r>
              <w:rPr>
                <w:rFonts w:ascii="Georgia" w:hAnsi="Georgia"/>
                <w:color w:val="333333"/>
                <w:sz w:val="20"/>
              </w:rPr>
              <w:t>~$1</w:t>
            </w:r>
          </w:p>
        </w:tc>
        <w:tc>
          <w:tcPr>
            <w:tcW w:type="dxa" w:w="3312"/>
            <w:shd w:fill="F5F3F7" w:val="clear"/>
          </w:tcPr>
          <w:p>
            <w:r/>
            <w:r>
              <w:rPr>
                <w:rFonts w:ascii="Georgia" w:hAnsi="Georgia"/>
                <w:color w:val="333333"/>
                <w:sz w:val="20"/>
              </w:rPr>
              <w:t>$12/year</w:t>
            </w:r>
          </w:p>
        </w:tc>
      </w:tr>
      <w:tr>
        <w:tc>
          <w:tcPr>
            <w:tcW w:type="dxa" w:w="3888"/>
          </w:tcPr>
          <w:p>
            <w:r/>
            <w:r>
              <w:rPr>
                <w:rFonts w:ascii="Georgia" w:hAnsi="Georgia"/>
                <w:color w:val="333333"/>
                <w:sz w:val="20"/>
              </w:rPr>
              <w:t>Total fixed (pre-revenue)</w:t>
            </w:r>
          </w:p>
        </w:tc>
        <w:tc>
          <w:tcPr>
            <w:tcW w:type="dxa" w:w="2160"/>
          </w:tcPr>
          <w:p>
            <w:r/>
            <w:r>
              <w:rPr>
                <w:rFonts w:ascii="Georgia" w:hAnsi="Georgia"/>
                <w:color w:val="333333"/>
                <w:sz w:val="20"/>
              </w:rPr>
              <w:t>~$90-430</w:t>
            </w:r>
          </w:p>
        </w:tc>
        <w:tc>
          <w:tcPr>
            <w:tcW w:type="dxa" w:w="3312"/>
          </w:tcPr>
          <w:p>
            <w:r/>
            <w:r>
              <w:rPr>
                <w:rFonts w:ascii="Georgia" w:hAnsi="Georgia"/>
                <w:color w:val="333333"/>
                <w:sz w:val="20"/>
              </w:rPr>
              <w:t>Scales with usage</w:t>
            </w:r>
          </w:p>
        </w:tc>
      </w:tr>
    </w:tbl>
    <w:p>
      <w:r>
        <w:rPr>
          <w:rFonts w:ascii="Georgia" w:hAnsi="Georgia"/>
          <w:b w:val="0"/>
          <w:i w:val="0"/>
          <w:color w:val="333333"/>
          <w:sz w:val="22"/>
        </w:rPr>
      </w:r>
    </w:p>
    <w:p>
      <w:r>
        <w:rPr>
          <w:rFonts w:ascii="Georgia" w:hAnsi="Georgia"/>
          <w:b w:val="0"/>
          <w:i w:val="0"/>
          <w:color w:val="333333"/>
          <w:sz w:val="22"/>
        </w:rPr>
        <w:t>Breakeven at approximately 50-60 paying users on Basic. Achievable within 3 months with a 2,000-user waitlist and 8% conversion rate.</w:t>
      </w:r>
    </w:p>
    <w:p>
      <w:r>
        <w:br w:type="page"/>
      </w:r>
    </w:p>
    <w:p>
      <w:pPr>
        <w:spacing w:before="480" w:after="240"/>
      </w:pPr>
      <w:r>
        <w:rPr>
          <w:rFonts w:ascii="Georgia" w:hAnsi="Georgia"/>
          <w:b/>
          <w:color w:val="2B2940"/>
          <w:sz w:val="32"/>
        </w:rPr>
        <w:t>9. Strategic Notes</w:t>
      </w:r>
    </w:p>
    <w:p>
      <w:r>
        <w:rPr>
          <w:rFonts w:ascii="Georgia" w:hAnsi="Georgia"/>
          <w:b w:val="0"/>
          <w:i w:val="0"/>
          <w:color w:val="333333"/>
          <w:sz w:val="22"/>
        </w:rPr>
        <w:t>Apple App Store fees: Apple takes 15% for developers earning under $1M/year (Small Business Program). For a $7.99 Basic subscription, Apple takes $1.20, leaving $6.79.</w:t>
      </w:r>
    </w:p>
    <w:p>
      <w:r>
        <w:rPr>
          <w:rFonts w:ascii="Georgia" w:hAnsi="Georgia"/>
          <w:b w:val="0"/>
          <w:i w:val="0"/>
          <w:color w:val="333333"/>
          <w:sz w:val="22"/>
        </w:rPr>
        <w:t>Stripe as payment backbone: Stripe handles card processing, Apple Pay integration, recurring billing, wallet balance, and PCI compliance. The Customer Balance API enables the wallet without a money transmission license.</w:t>
      </w:r>
    </w:p>
    <w:p>
      <w:r>
        <w:rPr>
          <w:rFonts w:ascii="Georgia" w:hAnsi="Georgia"/>
          <w:b w:val="0"/>
          <w:i w:val="0"/>
          <w:color w:val="333333"/>
          <w:sz w:val="22"/>
        </w:rPr>
        <w:t>Expert compensation: Experts receive $15-25 per Q&amp;A response. Funded by subscription revenue. As volume grows, offer revenue share on consultations to align incentives.</w:t>
      </w:r>
    </w:p>
    <w:p>
      <w:r>
        <w:rPr>
          <w:rFonts w:ascii="Georgia" w:hAnsi="Georgia"/>
          <w:b w:val="0"/>
          <w:i w:val="0"/>
          <w:color w:val="333333"/>
          <w:sz w:val="22"/>
        </w:rPr>
        <w:t>Circles as viral loop: Every invitation requires the invitee to download Navia and create her own companion. Zero CAC acquisition channel. The circle feature is both product differentiator and growth engine.</w:t>
      </w:r>
    </w:p>
    <w:p>
      <w:r>
        <w:rPr>
          <w:rFonts w:ascii="Georgia" w:hAnsi="Georgia"/>
          <w:b w:val="0"/>
          <w:i w:val="0"/>
          <w:color w:val="333333"/>
          <w:sz w:val="22"/>
        </w:rPr>
        <w:t>No advertising. No data sales. No sponsored content. Revenue comes from subscriptions, the wallet ecosystem, and the partner network. Advertising would contaminate the intimate space.</w:t>
      </w:r>
    </w:p>
    <w:p>
      <w:pPr>
        <w:spacing w:after="0" w:before="0"/>
        <w:jc w:val="center"/>
      </w:pPr>
      <w:r>
        <w:rPr>
          <w:rFonts w:ascii="Georgia" w:hAnsi="Georgia"/>
          <w:b w:val="0"/>
          <w:color w:val="6B6880"/>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