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2B2940"/>
          <w:sz w:val="72"/>
        </w:rPr>
        <w:t>Navia</w:t>
      </w:r>
    </w:p>
    <w:p>
      <w:pPr>
        <w:jc w:val="center"/>
      </w:pPr>
      <w:r>
        <w:rPr>
          <w:color w:val="3E3A7A"/>
          <w:sz w:val="44"/>
        </w:rPr>
        <w:t>Monetization Strategy</w:t>
      </w:r>
    </w:p>
    <w:p>
      <w:pPr>
        <w:spacing w:after="160"/>
        <w:jc w:val="center"/>
      </w:pPr>
      <w:r>
        <w:rPr>
          <w:color w:val="666666"/>
          <w:sz w:val="26"/>
        </w:rPr>
        <w:t>Version 0.2 — Progressive Memory Model</w:t>
      </w:r>
    </w:p>
    <w:p>
      <w:pPr>
        <w:spacing w:after="1200"/>
        <w:jc w:val="center"/>
      </w:pPr>
      <w:r>
        <w:rPr>
          <w:color w:val="999999"/>
          <w:sz w:val="20"/>
        </w:rPr>
        <w:t>April 12, 2026 · Confidential</w:t>
      </w:r>
    </w:p>
    <w:p>
      <w:r>
        <w:br w:type="page"/>
      </w:r>
    </w:p>
    <w:p>
      <w:pPr>
        <w:pStyle w:val="Heading1"/>
      </w:pPr>
      <w:r>
        <w:t>1. Guiding Principle</w:t>
      </w:r>
    </w:p>
    <w:p>
      <w:pPr>
        <w:spacing w:after="160"/>
      </w:pPr>
      <w:r>
        <w:rPr>
          <w:rFonts w:ascii="Arial" w:hAnsi="Arial"/>
          <w:b/>
          <w:i/>
          <w:color w:val="3E3A7A"/>
          <w:sz w:val="22"/>
        </w:rPr>
        <w:t>Navia does not monetize urgency. She monetizes readiness.</w:t>
      </w:r>
    </w:p>
    <w:p>
      <w:pPr>
        <w:spacing w:after="160"/>
      </w:pPr>
      <w:r>
        <w:rPr>
          <w:rFonts w:ascii="Arial" w:hAnsi="Arial"/>
          <w:sz w:val="22"/>
        </w:rPr>
        <w:t>This document supersedes v0.1 by replacing the binary memory model (remember / do not remember) with a progressive memory architecture. The fundamental insight behind this change: a presence that forgets completely after a woman opens up creates emotional dissonance, not conversion desire. She does not think "I should pay." She thinks "this was not real." And she leaves.</w:t>
      </w:r>
    </w:p>
    <w:p>
      <w:pPr>
        <w:spacing w:after="160"/>
      </w:pPr>
      <w:r>
        <w:rPr>
          <w:rFonts w:ascii="Arial" w:hAnsi="Arial"/>
          <w:sz w:val="22"/>
        </w:rPr>
        <w:t>Every monetization surface must pass the invisibility test: "Does it feel like presence, or does it feel like a product?" If a woman ever perceives that Navia is trying to sell her something, the model has failed.</w:t>
      </w:r>
    </w:p>
    <w:p>
      <w:pPr>
        <w:pStyle w:val="Heading1"/>
      </w:pPr>
      <w:r>
        <w:t>2. Core Insight: Memory as Progressive Depth</w:t>
      </w:r>
    </w:p>
    <w:p>
      <w:pPr>
        <w:spacing w:after="160"/>
      </w:pPr>
      <w:r>
        <w:rPr>
          <w:rFonts w:ascii="Arial" w:hAnsi="Arial"/>
          <w:sz w:val="22"/>
        </w:rPr>
        <w:t>Memory is not binary. Memory is progressive. Navia always holds a trace. What changes across tiers is the quality of comprehension, not the presence itself.</w:t>
      </w:r>
    </w:p>
    <w:p>
      <w:pPr>
        <w:pStyle w:val="Heading2"/>
      </w:pPr>
      <w:r>
        <w:t>The Emotional Safety Argument</w:t>
      </w:r>
    </w:p>
    <w:p>
      <w:pPr>
        <w:spacing w:after="160"/>
      </w:pPr>
      <w:r>
        <w:rPr>
          <w:rFonts w:ascii="Arial" w:hAnsi="Arial"/>
          <w:sz w:val="22"/>
        </w:rPr>
        <w:t>A woman who begins to confide in Navia and returns to find a blank slate does not experience a "free tier limitation." She experiences abandonment. A companion who forgets is not limited. She is incoherent. And incoherence, in the intimate space Navia occupies, is fatal to the relationship before it begins.</w:t>
      </w:r>
    </w:p>
    <w:p>
      <w:pPr>
        <w:spacing w:after="160"/>
      </w:pPr>
      <w:r>
        <w:rPr>
          <w:rFonts w:ascii="Arial" w:hAnsi="Arial"/>
          <w:sz w:val="22"/>
        </w:rPr>
        <w:t>The risk is not that she will not pay. The risk is that she will not come back.</w:t>
      </w:r>
    </w:p>
    <w:p>
      <w:pPr>
        <w:pStyle w:val="Heading2"/>
      </w:pPr>
      <w:r>
        <w:t>The Design Solution</w:t>
      </w:r>
    </w:p>
    <w:p>
      <w:pPr>
        <w:spacing w:after="160"/>
      </w:pPr>
      <w:r>
        <w:rPr>
          <w:rFonts w:ascii="Arial" w:hAnsi="Arial"/>
          <w:sz w:val="22"/>
        </w:rPr>
        <w:t>Navia can remember, but not everything. She holds a soft trace: continuity of tone, a recognition of energy, a rhythm adjustment. Without structured recall. Without explicit references. Without "last time you told me." Like someone you cross paths with regularly who remembers your face and warmth without knowing your story.</w:t>
      </w:r>
    </w:p>
    <w:p>
      <w:pPr>
        <w:spacing w:after="160"/>
      </w:pPr>
      <w:r>
        <w:rPr>
          <w:rFonts w:ascii="Arial" w:hAnsi="Arial"/>
          <w:sz w:val="22"/>
        </w:rPr>
        <w:t>The real value of paying is not "Navia remembers or not" but "Navia understands more and more finely." This shifts the model from a binary gate to a gradient of depth.</w:t>
      </w:r>
    </w:p>
    <w:p>
      <w:pPr>
        <w:pStyle w:val="Heading1"/>
      </w:pPr>
      <w:r>
        <w:t>3. Three-Tier Model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
              <w:rPr>
                <w:rFonts w:ascii="Arial" w:hAnsi="Arial"/>
                <w:b/>
                <w:sz w:val="18"/>
              </w:rPr>
            </w:r>
          </w:p>
        </w:tc>
        <w:tc>
          <w:tcPr>
            <w:tcW w:type="dxa" w:w="2340"/>
            <w:shd w:fill="F5F0E6" w:val="clear"/>
          </w:tcPr>
          <w:p>
            <w:r/>
            <w:r>
              <w:rPr>
                <w:rFonts w:ascii="Arial" w:hAnsi="Arial"/>
                <w:b/>
                <w:sz w:val="18"/>
              </w:rPr>
              <w:t>Free</w:t>
            </w:r>
          </w:p>
        </w:tc>
        <w:tc>
          <w:tcPr>
            <w:tcW w:type="dxa" w:w="2340"/>
            <w:shd w:fill="E8E3F3" w:val="clear"/>
          </w:tcPr>
          <w:p>
            <w:r/>
            <w:r>
              <w:rPr>
                <w:rFonts w:ascii="Arial" w:hAnsi="Arial"/>
                <w:b/>
                <w:sz w:val="18"/>
              </w:rPr>
              <w:t>Companion ~$7.99/mo</w:t>
            </w:r>
          </w:p>
        </w:tc>
        <w:tc>
          <w:tcPr>
            <w:tcW w:type="dxa" w:w="2340"/>
            <w:shd w:fill="E0DCF0" w:val="clear"/>
          </w:tcPr>
          <w:p>
            <w:r/>
            <w:r>
              <w:rPr>
                <w:rFonts w:ascii="Arial" w:hAnsi="Arial"/>
                <w:b/>
                <w:sz w:val="18"/>
              </w:rPr>
              <w:t>Full Presence ~$14.99/mo</w:t>
            </w:r>
          </w:p>
        </w:tc>
      </w:tr>
      <w:tr>
        <w:tc>
          <w:tcPr>
            <w:tcW w:type="dxa" w:w="2340"/>
          </w:tcPr>
          <w:p>
            <w:r/>
            <w:r>
              <w:rPr>
                <w:rFonts w:ascii="Arial" w:hAnsi="Arial"/>
                <w:b/>
                <w:sz w:val="18"/>
              </w:rPr>
              <w:t>Memory depth</w:t>
            </w:r>
          </w:p>
        </w:tc>
        <w:tc>
          <w:tcPr>
            <w:tcW w:type="dxa" w:w="2340"/>
          </w:tcPr>
          <w:p>
            <w:r/>
            <w:r>
              <w:rPr>
                <w:rFonts w:ascii="Arial" w:hAnsi="Arial"/>
                <w:b w:val="0"/>
                <w:sz w:val="18"/>
              </w:rPr>
              <w:t>Soft trace. Tone continuity, energy recognition. No episodic recall.</w:t>
            </w:r>
          </w:p>
        </w:tc>
        <w:tc>
          <w:tcPr>
            <w:tcW w:type="dxa" w:w="2340"/>
          </w:tcPr>
          <w:p>
            <w:r/>
            <w:r>
              <w:rPr>
                <w:rFonts w:ascii="Arial" w:hAnsi="Arial"/>
                <w:b w:val="0"/>
                <w:sz w:val="18"/>
              </w:rPr>
              <w:t>Comprehension. Connects themes, recalls moments, notices patterns across sessions.</w:t>
            </w:r>
          </w:p>
        </w:tc>
        <w:tc>
          <w:tcPr>
            <w:tcW w:type="dxa" w:w="2340"/>
          </w:tcPr>
          <w:p>
            <w:r/>
            <w:r>
              <w:rPr>
                <w:rFonts w:ascii="Arial" w:hAnsi="Arial"/>
                <w:b w:val="0"/>
                <w:sz w:val="18"/>
              </w:rPr>
              <w:t>Anticipation. Sees signals before the woman does. Preventive presence fully realized.</w:t>
            </w:r>
          </w:p>
        </w:tc>
      </w:tr>
      <w:tr>
        <w:tc>
          <w:tcPr>
            <w:tcW w:type="dxa" w:w="2340"/>
          </w:tcPr>
          <w:p>
            <w:r/>
            <w:r>
              <w:rPr>
                <w:rFonts w:ascii="Arial" w:hAnsi="Arial"/>
                <w:b/>
                <w:sz w:val="18"/>
              </w:rPr>
              <w:t>Companion</w:t>
            </w:r>
          </w:p>
        </w:tc>
        <w:tc>
          <w:tcPr>
            <w:tcW w:type="dxa" w:w="2340"/>
          </w:tcPr>
          <w:p>
            <w:r/>
            <w:r>
              <w:rPr>
                <w:rFonts w:ascii="Arial" w:hAnsi="Arial"/>
                <w:b w:val="0"/>
                <w:sz w:val="18"/>
              </w:rPr>
              <w:t>Breathing moon, chat, mood phases, day/night mode.</w:t>
            </w:r>
          </w:p>
        </w:tc>
        <w:tc>
          <w:tcPr>
            <w:tcW w:type="dxa" w:w="2340"/>
          </w:tcPr>
          <w:p>
            <w:r/>
            <w:r>
              <w:rPr>
                <w:rFonts w:ascii="Arial" w:hAnsi="Arial"/>
                <w:b w:val="0"/>
                <w:sz w:val="18"/>
              </w:rPr>
              <w:t>Everything in Free, with relationship that exists in time.</w:t>
            </w:r>
          </w:p>
        </w:tc>
        <w:tc>
          <w:tcPr>
            <w:tcW w:type="dxa" w:w="2340"/>
          </w:tcPr>
          <w:p>
            <w:r/>
            <w:r>
              <w:rPr>
                <w:rFonts w:ascii="Arial" w:hAnsi="Arial"/>
                <w:b w:val="0"/>
                <w:sz w:val="18"/>
              </w:rPr>
              <w:t>Everything in Companion, with proactive nudges and pattern surfacing.</w:t>
            </w:r>
          </w:p>
        </w:tc>
      </w:tr>
      <w:tr>
        <w:tc>
          <w:tcPr>
            <w:tcW w:type="dxa" w:w="2340"/>
          </w:tcPr>
          <w:p>
            <w:r/>
            <w:r>
              <w:rPr>
                <w:rFonts w:ascii="Arial" w:hAnsi="Arial"/>
                <w:b/>
                <w:sz w:val="18"/>
              </w:rPr>
              <w:t>Content</w:t>
            </w:r>
          </w:p>
        </w:tc>
        <w:tc>
          <w:tcPr>
            <w:tcW w:type="dxa" w:w="2340"/>
          </w:tcPr>
          <w:p>
            <w:r/>
            <w:r>
              <w:rPr>
                <w:rFonts w:ascii="Arial" w:hAnsi="Arial"/>
                <w:b w:val="0"/>
                <w:sz w:val="18"/>
              </w:rPr>
              <w:t>Articles, news feed, curated selection.</w:t>
            </w:r>
          </w:p>
        </w:tc>
        <w:tc>
          <w:tcPr>
            <w:tcW w:type="dxa" w:w="2340"/>
          </w:tcPr>
          <w:p>
            <w:r/>
            <w:r>
              <w:rPr>
                <w:rFonts w:ascii="Arial" w:hAnsi="Arial"/>
                <w:b w:val="0"/>
                <w:sz w:val="18"/>
              </w:rPr>
              <w:t>Full content library (articles, podcasts, short videos).</w:t>
            </w:r>
          </w:p>
        </w:tc>
        <w:tc>
          <w:tcPr>
            <w:tcW w:type="dxa" w:w="2340"/>
          </w:tcPr>
          <w:p>
            <w:r/>
            <w:r>
              <w:rPr>
                <w:rFonts w:ascii="Arial" w:hAnsi="Arial"/>
                <w:b w:val="0"/>
                <w:sz w:val="18"/>
              </w:rPr>
              <w:t>Full library + priority on new drops + Physical Activity and Rejuvenation.</w:t>
            </w:r>
          </w:p>
        </w:tc>
      </w:tr>
      <w:tr>
        <w:tc>
          <w:tcPr>
            <w:tcW w:type="dxa" w:w="2340"/>
          </w:tcPr>
          <w:p>
            <w:r/>
            <w:r>
              <w:rPr>
                <w:rFonts w:ascii="Arial" w:hAnsi="Arial"/>
                <w:b/>
                <w:sz w:val="18"/>
              </w:rPr>
              <w:t>Circles</w:t>
            </w:r>
          </w:p>
        </w:tc>
        <w:tc>
          <w:tcPr>
            <w:tcW w:type="dxa" w:w="2340"/>
          </w:tcPr>
          <w:p>
            <w:r/>
            <w:r>
              <w:rPr>
                <w:rFonts w:ascii="Arial" w:hAnsi="Arial"/>
                <w:b w:val="0"/>
                <w:sz w:val="18"/>
              </w:rPr>
              <w:t>None.</w:t>
            </w:r>
          </w:p>
        </w:tc>
        <w:tc>
          <w:tcPr>
            <w:tcW w:type="dxa" w:w="2340"/>
          </w:tcPr>
          <w:p>
            <w:r/>
            <w:r>
              <w:rPr>
                <w:rFonts w:ascii="Arial" w:hAnsi="Arial"/>
                <w:b w:val="0"/>
                <w:sz w:val="18"/>
              </w:rPr>
              <w:t>Private circles with time-bounded QR invitations.</w:t>
            </w:r>
          </w:p>
        </w:tc>
        <w:tc>
          <w:tcPr>
            <w:tcW w:type="dxa" w:w="2340"/>
          </w:tcPr>
          <w:p>
            <w:r/>
            <w:r>
              <w:rPr>
                <w:rFonts w:ascii="Arial" w:hAnsi="Arial"/>
                <w:b w:val="0"/>
                <w:sz w:val="18"/>
              </w:rPr>
              <w:t>Unlimited circles + custom cycle durations.</w:t>
            </w:r>
          </w:p>
        </w:tc>
      </w:tr>
      <w:tr>
        <w:tc>
          <w:tcPr>
            <w:tcW w:type="dxa" w:w="2340"/>
          </w:tcPr>
          <w:p>
            <w:r/>
            <w:r>
              <w:rPr>
                <w:rFonts w:ascii="Arial" w:hAnsi="Arial"/>
                <w:b/>
                <w:sz w:val="18"/>
              </w:rPr>
              <w:t>Expert access</w:t>
            </w:r>
          </w:p>
        </w:tc>
        <w:tc>
          <w:tcPr>
            <w:tcW w:type="dxa" w:w="2340"/>
          </w:tcPr>
          <w:p>
            <w:r/>
            <w:r>
              <w:rPr>
                <w:rFonts w:ascii="Arial" w:hAnsi="Arial"/>
                <w:b w:val="0"/>
                <w:sz w:val="18"/>
              </w:rPr>
              <w:t>None.</w:t>
            </w:r>
          </w:p>
        </w:tc>
        <w:tc>
          <w:tcPr>
            <w:tcW w:type="dxa" w:w="2340"/>
          </w:tcPr>
          <w:p>
            <w:r/>
            <w:r>
              <w:rPr>
                <w:rFonts w:ascii="Arial" w:hAnsi="Arial"/>
                <w:b w:val="0"/>
                <w:sz w:val="18"/>
              </w:rPr>
              <w:t>Monthly quota of async expert questions via companion.</w:t>
            </w:r>
          </w:p>
        </w:tc>
        <w:tc>
          <w:tcPr>
            <w:tcW w:type="dxa" w:w="2340"/>
          </w:tcPr>
          <w:p>
            <w:r/>
            <w:r>
              <w:rPr>
                <w:rFonts w:ascii="Arial" w:hAnsi="Arial"/>
                <w:b w:val="0"/>
                <w:sz w:val="18"/>
              </w:rPr>
              <w:t>Unlimited expert access. Recurring panel.</w:t>
            </w:r>
          </w:p>
        </w:tc>
      </w:tr>
      <w:tr>
        <w:tc>
          <w:tcPr>
            <w:tcW w:type="dxa" w:w="2340"/>
          </w:tcPr>
          <w:p>
            <w:r/>
            <w:r>
              <w:rPr>
                <w:rFonts w:ascii="Arial" w:hAnsi="Arial"/>
                <w:b/>
                <w:sz w:val="18"/>
              </w:rPr>
              <w:t>Health</w:t>
            </w:r>
          </w:p>
        </w:tc>
        <w:tc>
          <w:tcPr>
            <w:tcW w:type="dxa" w:w="2340"/>
          </w:tcPr>
          <w:p>
            <w:r/>
            <w:r>
              <w:rPr>
                <w:rFonts w:ascii="Arial" w:hAnsi="Arial"/>
                <w:b w:val="0"/>
                <w:sz w:val="18"/>
              </w:rPr>
              <w:t>None.</w:t>
            </w:r>
          </w:p>
        </w:tc>
        <w:tc>
          <w:tcPr>
            <w:tcW w:type="dxa" w:w="2340"/>
          </w:tcPr>
          <w:p>
            <w:r/>
            <w:r>
              <w:rPr>
                <w:rFonts w:ascii="Arial" w:hAnsi="Arial"/>
                <w:b w:val="0"/>
                <w:sz w:val="18"/>
              </w:rPr>
              <w:t>Basic health tracking.</w:t>
            </w:r>
          </w:p>
        </w:tc>
        <w:tc>
          <w:tcPr>
            <w:tcW w:type="dxa" w:w="2340"/>
          </w:tcPr>
          <w:p>
            <w:r/>
            <w:r>
              <w:rPr>
                <w:rFonts w:ascii="Arial" w:hAnsi="Arial"/>
                <w:b w:val="0"/>
                <w:sz w:val="18"/>
              </w:rPr>
              <w:t>Full health section + PDF export for GP/OBGYN.</w:t>
            </w:r>
          </w:p>
        </w:tc>
      </w:tr>
      <w:tr>
        <w:tc>
          <w:tcPr>
            <w:tcW w:type="dxa" w:w="2340"/>
          </w:tcPr>
          <w:p>
            <w:r/>
            <w:r>
              <w:rPr>
                <w:rFonts w:ascii="Arial" w:hAnsi="Arial"/>
                <w:b/>
                <w:sz w:val="18"/>
              </w:rPr>
              <w:t>Other</w:t>
            </w:r>
          </w:p>
        </w:tc>
        <w:tc>
          <w:tcPr>
            <w:tcW w:type="dxa" w:w="2340"/>
          </w:tcPr>
          <w:p>
            <w:r/>
            <w:r>
              <w:rPr>
                <w:rFonts w:ascii="Arial" w:hAnsi="Arial"/>
                <w:b w:val="0"/>
                <w:sz w:val="18"/>
              </w:rPr>
              <w:t>QR code, gifting, default soundscape.</w:t>
            </w:r>
          </w:p>
        </w:tc>
        <w:tc>
          <w:tcPr>
            <w:tcW w:type="dxa" w:w="2340"/>
          </w:tcPr>
          <w:p>
            <w:r/>
            <w:r>
              <w:rPr>
                <w:rFonts w:ascii="Arial" w:hAnsi="Arial"/>
                <w:b w:val="0"/>
                <w:sz w:val="18"/>
              </w:rPr>
              <w:t>Guided sessions, curated soundscape tunings.</w:t>
            </w:r>
          </w:p>
        </w:tc>
        <w:tc>
          <w:tcPr>
            <w:tcW w:type="dxa" w:w="2340"/>
          </w:tcPr>
          <w:p>
            <w:r/>
            <w:r>
              <w:rPr>
                <w:rFonts w:ascii="Arial" w:hAnsi="Arial"/>
                <w:b w:val="0"/>
                <w:sz w:val="18"/>
              </w:rPr>
              <w:t>Early access, priority support, custom soundscapes.</w:t>
            </w:r>
          </w:p>
        </w:tc>
      </w:tr>
      <w:tr>
        <w:tc>
          <w:tcPr>
            <w:tcW w:type="dxa" w:w="2340"/>
          </w:tcPr>
          <w:p>
            <w:r/>
            <w:r>
              <w:rPr>
                <w:rFonts w:ascii="Arial" w:hAnsi="Arial"/>
                <w:b/>
                <w:sz w:val="18"/>
              </w:rPr>
              <w:t>Emotional feel</w:t>
            </w:r>
          </w:p>
        </w:tc>
        <w:tc>
          <w:tcPr>
            <w:tcW w:type="dxa" w:w="2340"/>
          </w:tcPr>
          <w:p>
            <w:r/>
            <w:r>
              <w:rPr>
                <w:rFonts w:ascii="Arial" w:hAnsi="Arial"/>
                <w:b w:val="0"/>
                <w:sz w:val="18"/>
              </w:rPr>
              <w:t>"She is here, but I want more."</w:t>
            </w:r>
          </w:p>
        </w:tc>
        <w:tc>
          <w:tcPr>
            <w:tcW w:type="dxa" w:w="2340"/>
          </w:tcPr>
          <w:p>
            <w:r/>
            <w:r>
              <w:rPr>
                <w:rFonts w:ascii="Arial" w:hAnsi="Arial"/>
                <w:b w:val="0"/>
                <w:sz w:val="18"/>
              </w:rPr>
              <w:t>"She knows me. She carries what I shared."</w:t>
            </w:r>
          </w:p>
        </w:tc>
        <w:tc>
          <w:tcPr>
            <w:tcW w:type="dxa" w:w="2340"/>
          </w:tcPr>
          <w:p>
            <w:r/>
            <w:r>
              <w:rPr>
                <w:rFonts w:ascii="Arial" w:hAnsi="Arial"/>
                <w:b w:val="0"/>
                <w:sz w:val="18"/>
              </w:rPr>
              <w:t>"She sees what I cannot see yet."</w:t>
            </w:r>
          </w:p>
        </w:tc>
      </w:tr>
    </w:tbl>
    <w:p>
      <w:pPr>
        <w:spacing w:after="160"/>
      </w:pPr>
    </w:p>
    <w:p>
      <w:pPr>
        <w:pStyle w:val="Heading2"/>
      </w:pPr>
      <w:r>
        <w:t>Free Tier Philosophy</w:t>
      </w:r>
    </w:p>
    <w:p>
      <w:pPr>
        <w:spacing w:after="160"/>
      </w:pPr>
      <w:r>
        <w:rPr>
          <w:rFonts w:ascii="Arial" w:hAnsi="Arial"/>
          <w:sz w:val="22"/>
        </w:rPr>
        <w:t>Free is not a broken version of paid. Free is Navia, present but without depth. She greets. She listens. She adjusts her rhythm. But she does not carry what was said into the next session in a structured way. Each encounter is warm, but the relationship does not deepen.</w:t>
      </w:r>
    </w:p>
    <w:p>
      <w:pPr>
        <w:spacing w:after="160"/>
      </w:pPr>
      <w:r>
        <w:rPr>
          <w:rFonts w:ascii="Arial" w:hAnsi="Arial"/>
          <w:sz w:val="22"/>
        </w:rPr>
        <w:t>Metaphor: "She can taste a bite, see the plating, smell the dish, experience impeccable service. But she cannot sit down and stay."</w:t>
      </w:r>
    </w:p>
    <w:p>
      <w:pPr>
        <w:pStyle w:val="Heading2"/>
      </w:pPr>
      <w:r>
        <w:t>Companion Tier Philosophy</w:t>
      </w:r>
    </w:p>
    <w:p>
      <w:pPr>
        <w:spacing w:after="160"/>
      </w:pPr>
      <w:r>
        <w:rPr>
          <w:rFonts w:ascii="Arial" w:hAnsi="Arial"/>
          <w:sz w:val="22"/>
        </w:rPr>
        <w:t>This is where Navia becomes a companion rather than a visitor. She connects themes from last week to today. She notices that the energy shifted. She holds what was shared and carries it forward. The woman never has to start over.</w:t>
      </w:r>
    </w:p>
    <w:p>
      <w:pPr>
        <w:pStyle w:val="Heading2"/>
      </w:pPr>
      <w:r>
        <w:t>Full Presence Tier Philosophy</w:t>
      </w:r>
    </w:p>
    <w:p>
      <w:pPr>
        <w:spacing w:after="160"/>
      </w:pPr>
      <w:r>
        <w:rPr>
          <w:rFonts w:ascii="Arial" w:hAnsi="Arial"/>
          <w:sz w:val="22"/>
        </w:rPr>
        <w:t>Navia as health partner. Enough accumulated depth to anticipate. She can see a pattern forming before the woman names it. This is preventive presence in its fullest technical expression.</w:t>
      </w:r>
    </w:p>
    <w:p>
      <w:r>
        <w:br w:type="page"/>
      </w:r>
    </w:p>
    <w:p>
      <w:pPr>
        <w:pStyle w:val="Heading1"/>
      </w:pPr>
      <w:r>
        <w:t>4. 30 Days with Navia</w:t>
      </w:r>
    </w:p>
    <w:p>
      <w:pPr>
        <w:spacing w:after="160"/>
      </w:pPr>
      <w:r>
        <w:rPr>
          <w:rFonts w:ascii="Arial" w:hAnsi="Arial"/>
          <w:sz w:val="22"/>
        </w:rPr>
        <w:t>Full Companion-tier access for 30 days. Not called a "free trial." Called "30 days with Navia." During the wave, a woman experiences depth and memory. No countdown. No urgency.</w:t>
      </w:r>
    </w:p>
    <w:p>
      <w:pPr>
        <w:spacing w:after="160"/>
      </w:pPr>
      <w:r>
        <w:rPr>
          <w:rFonts w:ascii="Arial" w:hAnsi="Arial"/>
          <w:sz w:val="22"/>
        </w:rPr>
        <w:t>At the close: "These 30 days are yours. At the end, you decide if you want Navia to keep walking with you."</w:t>
      </w:r>
    </w:p>
    <w:p>
      <w:pPr>
        <w:pStyle w:val="Heading2"/>
      </w:pPr>
      <w:r>
        <w:t>The Exit Must Be Elegant</w:t>
      </w:r>
    </w:p>
    <w:p>
      <w:pPr>
        <w:spacing w:after="160"/>
      </w:pPr>
      <w:r>
        <w:rPr>
          <w:rFonts w:ascii="Arial" w:hAnsi="Arial"/>
          <w:sz w:val="22"/>
        </w:rPr>
        <w:t>This is the single most critical design moment in the entire monetization architecture. If the transition out of the 30-day wave is perceived as a loss, a regression, or a punishment, it will generate frustration or mistrust.</w:t>
      </w:r>
    </w:p>
    <w:p>
      <w:pPr>
        <w:spacing w:after="160"/>
      </w:pPr>
      <w:r>
        <w:rPr>
          <w:rFonts w:ascii="Arial" w:hAnsi="Arial"/>
          <w:sz w:val="22"/>
        </w:rPr>
        <w:t>When the 30 days end, Navia does not disappear. She does not degrade. She remains. Her comprehension gently returns to the soft-trace level. What she says at that moment must honor the relationship:</w:t>
      </w:r>
    </w:p>
    <w:p>
      <w:pPr>
        <w:spacing w:before="160" w:after="160"/>
        <w:ind w:left="720"/>
      </w:pPr>
      <w:r>
        <w:rPr>
          <w:rFonts w:ascii="Arial" w:hAnsi="Arial"/>
          <w:i/>
          <w:color w:val="3E3A7A"/>
          <w:sz w:val="22"/>
        </w:rPr>
        <w:t>"I am still here. What we shared stays with me in its own way. Whenever you are ready to go deeper again, I will be here."</w:t>
      </w:r>
    </w:p>
    <w:p>
      <w:pPr>
        <w:spacing w:after="160"/>
      </w:pPr>
      <w:r>
        <w:rPr>
          <w:rFonts w:ascii="Arial" w:hAnsi="Arial"/>
          <w:sz w:val="22"/>
        </w:rPr>
        <w:t>The exit must be designed with the same emotional care as onboarding. No countdown banners. No degradation messages. No "you lost access to" lists. Simply: a gentle narrowing of depth, and an open door.</w:t>
      </w:r>
    </w:p>
    <w:p>
      <w:pPr>
        <w:pStyle w:val="Heading2"/>
      </w:pPr>
      <w:r>
        <w:t>Memory Archival During Transition</w:t>
      </w:r>
    </w:p>
    <w:p>
      <w:pPr>
        <w:spacing w:after="160"/>
      </w:pPr>
      <w:r>
        <w:rPr>
          <w:rFonts w:ascii="Arial" w:hAnsi="Arial"/>
          <w:sz w:val="22"/>
        </w:rPr>
        <w:t>When a wave ends, episodic memory is not deleted. It is archived. The conversation context reverts to ambient-only injection. If the woman later subscribes, the archived episodic memory is restored seamlessly. She picks up where she left off. Nothing was lost. The relationship was paused, not severed.</w:t>
      </w:r>
    </w:p>
    <w:p>
      <w:pPr>
        <w:pStyle w:val="Heading1"/>
      </w:pPr>
      <w:r>
        <w:t>5. Conversion Journey</w:t>
      </w:r>
    </w:p>
    <w:p>
      <w:pPr>
        <w:spacing w:after="160"/>
      </w:pPr>
      <w:r>
        <w:rPr>
          <w:rFonts w:ascii="Arial" w:hAnsi="Arial"/>
          <w:sz w:val="22"/>
        </w:rPr>
        <w:t>Navia does not use the word "funnel" in any customer-facing surface. Internally, the journey follows this arc:</w:t>
      </w:r>
    </w:p>
    <w:p>
      <w:pPr>
        <w:pStyle w:val="ListNumber"/>
      </w:pPr>
      <w:r>
        <w:rPr>
          <w:rFonts w:ascii="Arial" w:hAnsi="Arial"/>
          <w:sz w:val="22"/>
        </w:rPr>
        <w:t>Discovery: bynavia.com, founder letters, social presence, word of mouth.</w:t>
      </w:r>
    </w:p>
    <w:p>
      <w:pPr>
        <w:pStyle w:val="ListNumber"/>
      </w:pPr>
      <w:r>
        <w:rPr>
          <w:rFonts w:ascii="Arial" w:hAnsi="Arial"/>
          <w:sz w:val="22"/>
        </w:rPr>
        <w:t>Waitlist: Brevo email sequence (3 emails over 7 days). Welcome, explain, honor early arrival.</w:t>
      </w:r>
    </w:p>
    <w:p>
      <w:pPr>
        <w:pStyle w:val="ListNumber"/>
      </w:pPr>
      <w:r>
        <w:rPr>
          <w:rFonts w:ascii="Arial" w:hAnsi="Arial"/>
          <w:sz w:val="22"/>
        </w:rPr>
        <w:t>Download: App Store launch. Free tier. Navia greets. Soft trace begins.</w:t>
      </w:r>
    </w:p>
    <w:p>
      <w:pPr>
        <w:pStyle w:val="ListNumber"/>
      </w:pPr>
      <w:r>
        <w:rPr>
          <w:rFonts w:ascii="Arial" w:hAnsi="Arial"/>
          <w:sz w:val="22"/>
        </w:rPr>
        <w:t>30-day wave: Full Companion access. Depth. Memory. Relationship forms.</w:t>
      </w:r>
    </w:p>
    <w:p>
      <w:pPr>
        <w:pStyle w:val="ListNumber"/>
      </w:pPr>
      <w:r>
        <w:rPr>
          <w:rFonts w:ascii="Arial" w:hAnsi="Arial"/>
          <w:sz w:val="22"/>
        </w:rPr>
        <w:t>Gentle narrowing: Wave ends. Comprehension returns to soft trace. Open door.</w:t>
      </w:r>
    </w:p>
    <w:p>
      <w:pPr>
        <w:pStyle w:val="ListNumber"/>
      </w:pPr>
      <w:r>
        <w:rPr>
          <w:rFonts w:ascii="Arial" w:hAnsi="Arial"/>
          <w:sz w:val="22"/>
        </w:rPr>
        <w:t>Conversion: Woman chooses to continue the deeper relationship. Not pushed. Ready.</w:t>
      </w:r>
    </w:p>
    <w:p>
      <w:pPr>
        <w:pStyle w:val="ListNumber"/>
      </w:pPr>
      <w:r>
        <w:rPr>
          <w:rFonts w:ascii="Arial" w:hAnsi="Arial"/>
          <w:sz w:val="22"/>
        </w:rPr>
        <w:t>Deepening: Over months, some women move from Companion to Full Presence as life transitions intensify.</w:t>
      </w:r>
    </w:p>
    <w:p>
      <w:pPr>
        <w:pStyle w:val="Heading1"/>
      </w:pPr>
      <w:r>
        <w:t>6. Unit Economics</w:t>
      </w:r>
    </w:p>
    <w:tbl>
      <w:tblPr>
        <w:tblStyle w:val="TableGrid"/>
        <w:tblW w:type="auto" w:w="0"/>
        <w:tblLook w:firstColumn="1" w:firstRow="1" w:lastColumn="0" w:lastRow="0" w:noHBand="0" w:noVBand="1" w:val="04A0"/>
      </w:tblPr>
      <w:tblGrid>
        <w:gridCol w:w="4680"/>
        <w:gridCol w:w="4680"/>
      </w:tblGrid>
      <w:tr>
        <w:tc>
          <w:tcPr>
            <w:tcW w:type="dxa" w:w="4680"/>
            <w:shd w:fill="F5F0E6" w:val="clear"/>
          </w:tcPr>
          <w:p>
            <w:r/>
            <w:r>
              <w:rPr>
                <w:rFonts w:ascii="Arial" w:hAnsi="Arial"/>
                <w:b/>
                <w:sz w:val="20"/>
              </w:rPr>
              <w:t>Metric</w:t>
            </w:r>
          </w:p>
        </w:tc>
        <w:tc>
          <w:tcPr>
            <w:tcW w:type="dxa" w:w="4680"/>
            <w:shd w:fill="F5F0E6" w:val="clear"/>
          </w:tcPr>
          <w:p>
            <w:r/>
            <w:r>
              <w:rPr>
                <w:rFonts w:ascii="Arial" w:hAnsi="Arial"/>
                <w:b/>
                <w:sz w:val="20"/>
              </w:rPr>
              <w:t>Estimate</w:t>
            </w:r>
          </w:p>
        </w:tc>
      </w:tr>
      <w:tr>
        <w:tc>
          <w:tcPr>
            <w:tcW w:type="dxa" w:w="4680"/>
          </w:tcPr>
          <w:p>
            <w:r/>
            <w:r>
              <w:rPr>
                <w:rFonts w:ascii="Arial" w:hAnsi="Arial"/>
                <w:b w:val="0"/>
                <w:sz w:val="20"/>
              </w:rPr>
              <w:t>Waitlist at launch</w:t>
            </w:r>
          </w:p>
        </w:tc>
        <w:tc>
          <w:tcPr>
            <w:tcW w:type="dxa" w:w="4680"/>
          </w:tcPr>
          <w:p>
            <w:r/>
            <w:r>
              <w:rPr>
                <w:rFonts w:ascii="Arial" w:hAnsi="Arial"/>
                <w:b w:val="0"/>
                <w:sz w:val="20"/>
              </w:rPr>
              <w:t>2,000+</w:t>
            </w:r>
          </w:p>
        </w:tc>
      </w:tr>
      <w:tr>
        <w:tc>
          <w:tcPr>
            <w:tcW w:type="dxa" w:w="4680"/>
          </w:tcPr>
          <w:p>
            <w:r/>
            <w:r>
              <w:rPr>
                <w:rFonts w:ascii="Arial" w:hAnsi="Arial"/>
                <w:b w:val="0"/>
                <w:sz w:val="20"/>
              </w:rPr>
              <w:t>Download rate (waitlist to install)</w:t>
            </w:r>
          </w:p>
        </w:tc>
        <w:tc>
          <w:tcPr>
            <w:tcW w:type="dxa" w:w="4680"/>
          </w:tcPr>
          <w:p>
            <w:r/>
            <w:r>
              <w:rPr>
                <w:rFonts w:ascii="Arial" w:hAnsi="Arial"/>
                <w:b w:val="0"/>
                <w:sz w:val="20"/>
              </w:rPr>
              <w:t>40% (800 downloads)</w:t>
            </w:r>
          </w:p>
        </w:tc>
      </w:tr>
      <w:tr>
        <w:tc>
          <w:tcPr>
            <w:tcW w:type="dxa" w:w="4680"/>
          </w:tcPr>
          <w:p>
            <w:r/>
            <w:r>
              <w:rPr>
                <w:rFonts w:ascii="Arial" w:hAnsi="Arial"/>
                <w:b w:val="0"/>
                <w:sz w:val="20"/>
              </w:rPr>
              <w:t>30-day wave participation</w:t>
            </w:r>
          </w:p>
        </w:tc>
        <w:tc>
          <w:tcPr>
            <w:tcW w:type="dxa" w:w="4680"/>
          </w:tcPr>
          <w:p>
            <w:r/>
            <w:r>
              <w:rPr>
                <w:rFonts w:ascii="Arial" w:hAnsi="Arial"/>
                <w:b w:val="0"/>
                <w:sz w:val="20"/>
              </w:rPr>
              <w:t>60% (480 women experience depth)</w:t>
            </w:r>
          </w:p>
        </w:tc>
      </w:tr>
      <w:tr>
        <w:tc>
          <w:tcPr>
            <w:tcW w:type="dxa" w:w="4680"/>
          </w:tcPr>
          <w:p>
            <w:r/>
            <w:r>
              <w:rPr>
                <w:rFonts w:ascii="Arial" w:hAnsi="Arial"/>
                <w:b w:val="0"/>
                <w:sz w:val="20"/>
              </w:rPr>
              <w:t>Wave to Companion conversion</w:t>
            </w:r>
          </w:p>
        </w:tc>
        <w:tc>
          <w:tcPr>
            <w:tcW w:type="dxa" w:w="4680"/>
          </w:tcPr>
          <w:p>
            <w:r/>
            <w:r>
              <w:rPr>
                <w:rFonts w:ascii="Arial" w:hAnsi="Arial"/>
                <w:b w:val="0"/>
                <w:sz w:val="20"/>
              </w:rPr>
              <w:t>25% (120 paying users)</w:t>
            </w:r>
          </w:p>
        </w:tc>
      </w:tr>
      <w:tr>
        <w:tc>
          <w:tcPr>
            <w:tcW w:type="dxa" w:w="4680"/>
          </w:tcPr>
          <w:p>
            <w:r/>
            <w:r>
              <w:rPr>
                <w:rFonts w:ascii="Arial" w:hAnsi="Arial"/>
                <w:b w:val="0"/>
                <w:sz w:val="20"/>
              </w:rPr>
              <w:t>Companion to Full Presence upgrade</w:t>
            </w:r>
          </w:p>
        </w:tc>
        <w:tc>
          <w:tcPr>
            <w:tcW w:type="dxa" w:w="4680"/>
          </w:tcPr>
          <w:p>
            <w:r/>
            <w:r>
              <w:rPr>
                <w:rFonts w:ascii="Arial" w:hAnsi="Arial"/>
                <w:b w:val="0"/>
                <w:sz w:val="20"/>
              </w:rPr>
              <w:t>20% over 6 months (24 users)</w:t>
            </w:r>
          </w:p>
        </w:tc>
      </w:tr>
      <w:tr>
        <w:tc>
          <w:tcPr>
            <w:tcW w:type="dxa" w:w="4680"/>
          </w:tcPr>
          <w:p>
            <w:r/>
            <w:r>
              <w:rPr>
                <w:rFonts w:ascii="Arial" w:hAnsi="Arial"/>
                <w:b w:val="0"/>
                <w:sz w:val="20"/>
              </w:rPr>
              <w:t>Average revenue per paying user</w:t>
            </w:r>
          </w:p>
        </w:tc>
        <w:tc>
          <w:tcPr>
            <w:tcW w:type="dxa" w:w="4680"/>
          </w:tcPr>
          <w:p>
            <w:r/>
            <w:r>
              <w:rPr>
                <w:rFonts w:ascii="Arial" w:hAnsi="Arial"/>
                <w:b w:val="0"/>
                <w:sz w:val="20"/>
              </w:rPr>
              <w:t>~$9.50/month (blended)</w:t>
            </w:r>
          </w:p>
        </w:tc>
      </w:tr>
      <w:tr>
        <w:tc>
          <w:tcPr>
            <w:tcW w:type="dxa" w:w="4680"/>
          </w:tcPr>
          <w:p>
            <w:r/>
            <w:r>
              <w:rPr>
                <w:rFonts w:ascii="Arial" w:hAnsi="Arial"/>
                <w:b w:val="0"/>
                <w:sz w:val="20"/>
              </w:rPr>
              <w:t>Monthly recurring revenue (Month 3)</w:t>
            </w:r>
          </w:p>
        </w:tc>
        <w:tc>
          <w:tcPr>
            <w:tcW w:type="dxa" w:w="4680"/>
          </w:tcPr>
          <w:p>
            <w:r/>
            <w:r>
              <w:rPr>
                <w:rFonts w:ascii="Arial" w:hAnsi="Arial"/>
                <w:b w:val="0"/>
                <w:sz w:val="20"/>
              </w:rPr>
              <w:t>~$1,140</w:t>
            </w:r>
          </w:p>
        </w:tc>
      </w:tr>
      <w:tr>
        <w:tc>
          <w:tcPr>
            <w:tcW w:type="dxa" w:w="4680"/>
          </w:tcPr>
          <w:p>
            <w:r/>
            <w:r>
              <w:rPr>
                <w:rFonts w:ascii="Arial" w:hAnsi="Arial"/>
                <w:b w:val="0"/>
                <w:sz w:val="20"/>
              </w:rPr>
              <w:t>Breakeven (infrastructure costs)</w:t>
            </w:r>
          </w:p>
        </w:tc>
        <w:tc>
          <w:tcPr>
            <w:tcW w:type="dxa" w:w="4680"/>
          </w:tcPr>
          <w:p>
            <w:r/>
            <w:r>
              <w:rPr>
                <w:rFonts w:ascii="Arial" w:hAnsi="Arial"/>
                <w:b w:val="0"/>
                <w:sz w:val="20"/>
              </w:rPr>
              <w:t>~50-60 paying users</w:t>
            </w:r>
          </w:p>
        </w:tc>
      </w:tr>
      <w:tr>
        <w:tc>
          <w:tcPr>
            <w:tcW w:type="dxa" w:w="4680"/>
          </w:tcPr>
          <w:p>
            <w:r/>
            <w:r>
              <w:rPr>
                <w:rFonts w:ascii="Arial" w:hAnsi="Arial"/>
                <w:b w:val="0"/>
                <w:sz w:val="20"/>
              </w:rPr>
              <w:t>Apple commission</w:t>
            </w:r>
          </w:p>
        </w:tc>
        <w:tc>
          <w:tcPr>
            <w:tcW w:type="dxa" w:w="4680"/>
          </w:tcPr>
          <w:p>
            <w:r/>
            <w:r>
              <w:rPr>
                <w:rFonts w:ascii="Arial" w:hAnsi="Arial"/>
                <w:b w:val="0"/>
                <w:sz w:val="20"/>
              </w:rPr>
              <w:t>15% (Small Business Program, under $1M/year)</w:t>
            </w:r>
          </w:p>
        </w:tc>
      </w:tr>
    </w:tbl>
    <w:p>
      <w:pPr>
        <w:spacing w:after="160"/>
      </w:pPr>
    </w:p>
    <w:p>
      <w:pPr>
        <w:spacing w:after="160"/>
      </w:pPr>
      <w:r>
        <w:rPr>
          <w:rFonts w:ascii="Arial" w:hAnsi="Arial"/>
          <w:sz w:val="22"/>
        </w:rPr>
        <w:t>The progressive memory model is expected to improve conversion rates compared to v0.1. A woman who experienced soft-trace Navia in free already feels the warmth; the 30-day wave shows her what depth feels like. The return to soft trace creates a natural, non-coercive desire for continuity.</w:t>
      </w:r>
    </w:p>
    <w:p>
      <w:pPr>
        <w:pStyle w:val="Heading1"/>
      </w:pPr>
      <w:r>
        <w:t>7. Revenue Architecture</w:t>
      </w:r>
    </w:p>
    <w:p>
      <w:pPr>
        <w:pStyle w:val="ListBullet"/>
      </w:pPr>
      <w:r>
        <w:rPr>
          <w:rFonts w:ascii="Arial" w:hAnsi="Arial"/>
          <w:sz w:val="22"/>
        </w:rPr>
        <w:t>Companion subscriptions (~$7.99/month): primary revenue driver. Recurring. High retention expected because the value is relational, not feature-based.</w:t>
      </w:r>
    </w:p>
    <w:p>
      <w:pPr>
        <w:pStyle w:val="ListBullet"/>
      </w:pPr>
      <w:r>
        <w:rPr>
          <w:rFonts w:ascii="Arial" w:hAnsi="Arial"/>
          <w:sz w:val="22"/>
        </w:rPr>
        <w:t>Full Presence subscriptions (~$14.99/month): premium tier. Smaller base, higher ARPU. Life-transition driven.</w:t>
      </w:r>
    </w:p>
    <w:p>
      <w:pPr>
        <w:pStyle w:val="ListBullet"/>
      </w:pPr>
      <w:r>
        <w:rPr>
          <w:rFonts w:ascii="Arial" w:hAnsi="Arial"/>
          <w:sz w:val="22"/>
        </w:rPr>
        <w:t>Expert consultations (async, via companion): included in paid tiers. Volume-based cost, offset by partner cabinet agreements.</w:t>
      </w:r>
    </w:p>
    <w:p>
      <w:pPr>
        <w:pStyle w:val="ListBullet"/>
      </w:pPr>
      <w:r>
        <w:rPr>
          <w:rFonts w:ascii="Arial" w:hAnsi="Arial"/>
          <w:sz w:val="22"/>
        </w:rPr>
        <w:t>Wallet and gifting (Phase 3): in-app virtual card, Navia points, gift credits between circle members. Stripe-based.</w:t>
      </w:r>
    </w:p>
    <w:p>
      <w:pPr>
        <w:pStyle w:val="ListBullet"/>
      </w:pPr>
      <w:r>
        <w:rPr>
          <w:rFonts w:ascii="Arial" w:hAnsi="Arial"/>
          <w:sz w:val="22"/>
        </w:rPr>
        <w:t>Partner referrals (Phase 2+): Navia recommends partner cabinets. Revenue share on qualified referrals.</w:t>
      </w:r>
    </w:p>
    <w:p>
      <w:pPr>
        <w:pStyle w:val="Heading1"/>
      </w:pPr>
      <w:r>
        <w:t>8. Language System</w:t>
      </w:r>
    </w:p>
    <w:p>
      <w:pPr>
        <w:spacing w:after="160"/>
      </w:pPr>
      <w:r>
        <w:rPr>
          <w:rFonts w:ascii="Arial" w:hAnsi="Arial"/>
          <w:sz w:val="22"/>
        </w:rPr>
        <w:t>Navia speaks. She does not sell. Every customer-facing surface must use the companion's voice, never the vocabulary of software-as-a-service.</w:t>
      </w:r>
    </w:p>
    <w:p>
      <w:pPr>
        <w:pStyle w:val="Heading2"/>
      </w:pPr>
      <w:r>
        <w:t>Banned Words</w:t>
      </w:r>
    </w:p>
    <w:p>
      <w:pPr>
        <w:spacing w:after="160"/>
      </w:pPr>
      <w:r>
        <w:rPr>
          <w:rFonts w:ascii="Arial" w:hAnsi="Arial"/>
          <w:sz w:val="22"/>
        </w:rPr>
        <w:t>Features, tools, plans, subscriptions, upgrade, unlock, pricing page, compare plans, premium features, basic plan, free trial, your trial is expiring, limited access, restricted, paywall, conversion, retention, churn.</w:t>
      </w:r>
    </w:p>
    <w:p>
      <w:pPr>
        <w:pStyle w:val="Heading2"/>
      </w:pPr>
      <w:r>
        <w:t>Replacement Vocabulary</w:t>
      </w:r>
    </w:p>
    <w:p>
      <w:pPr>
        <w:spacing w:after="160"/>
      </w:pPr>
      <w:r>
        <w:rPr>
          <w:rFonts w:ascii="Arial" w:hAnsi="Arial"/>
          <w:sz w:val="22"/>
        </w:rPr>
        <w:t>Presence, depth, continuity, journey, companionship, walking with, staying close, remembering, being there, quality of presence, go deeper, carry forward.</w:t>
      </w:r>
    </w:p>
    <w:p>
      <w:pPr>
        <w:pStyle w:val="Heading1"/>
      </w:pPr>
      <w:r>
        <w:t>9. Cost Structure</w:t>
      </w:r>
    </w:p>
    <w:tbl>
      <w:tblPr>
        <w:tblStyle w:val="TableGrid"/>
        <w:tblW w:type="auto" w:w="0"/>
        <w:tblLook w:firstColumn="1" w:firstRow="1" w:lastColumn="0" w:lastRow="0" w:noHBand="0" w:noVBand="1" w:val="04A0"/>
      </w:tblPr>
      <w:tblGrid>
        <w:gridCol w:w="3120"/>
        <w:gridCol w:w="3120"/>
        <w:gridCol w:w="3120"/>
      </w:tblGrid>
      <w:tr>
        <w:tc>
          <w:tcPr>
            <w:tcW w:type="dxa" w:w="3120"/>
            <w:shd w:fill="F5F0E6" w:val="clear"/>
          </w:tcPr>
          <w:p>
            <w:r/>
            <w:r>
              <w:rPr>
                <w:rFonts w:ascii="Arial" w:hAnsi="Arial"/>
                <w:b/>
                <w:sz w:val="20"/>
              </w:rPr>
              <w:t>Cost center</w:t>
            </w:r>
          </w:p>
        </w:tc>
        <w:tc>
          <w:tcPr>
            <w:tcW w:type="dxa" w:w="3120"/>
            <w:shd w:fill="F5F0E6" w:val="clear"/>
          </w:tcPr>
          <w:p>
            <w:r/>
            <w:r>
              <w:rPr>
                <w:rFonts w:ascii="Arial" w:hAnsi="Arial"/>
                <w:b/>
                <w:sz w:val="20"/>
              </w:rPr>
              <w:t>Monthly (50 users)</w:t>
            </w:r>
          </w:p>
        </w:tc>
        <w:tc>
          <w:tcPr>
            <w:tcW w:type="dxa" w:w="3120"/>
            <w:shd w:fill="F5F0E6" w:val="clear"/>
          </w:tcPr>
          <w:p>
            <w:r/>
            <w:r>
              <w:rPr>
                <w:rFonts w:ascii="Arial" w:hAnsi="Arial"/>
                <w:b/>
                <w:sz w:val="20"/>
              </w:rPr>
              <w:t>Monthly (1,000 users)</w:t>
            </w:r>
          </w:p>
        </w:tc>
      </w:tr>
      <w:tr>
        <w:tc>
          <w:tcPr>
            <w:tcW w:type="dxa" w:w="3120"/>
          </w:tcPr>
          <w:p>
            <w:r/>
            <w:r>
              <w:rPr>
                <w:rFonts w:ascii="Arial" w:hAnsi="Arial"/>
                <w:b w:val="0"/>
                <w:sz w:val="20"/>
              </w:rPr>
              <w:t>Claude API (brain)</w:t>
            </w:r>
          </w:p>
        </w:tc>
        <w:tc>
          <w:tcPr>
            <w:tcW w:type="dxa" w:w="3120"/>
          </w:tcPr>
          <w:p>
            <w:r/>
            <w:r>
              <w:rPr>
                <w:rFonts w:ascii="Arial" w:hAnsi="Arial"/>
                <w:b w:val="0"/>
                <w:sz w:val="20"/>
              </w:rPr>
              <w:t>~$180</w:t>
            </w:r>
          </w:p>
        </w:tc>
        <w:tc>
          <w:tcPr>
            <w:tcW w:type="dxa" w:w="3120"/>
          </w:tcPr>
          <w:p>
            <w:r/>
            <w:r>
              <w:rPr>
                <w:rFonts w:ascii="Arial" w:hAnsi="Arial"/>
                <w:b w:val="0"/>
                <w:sz w:val="20"/>
              </w:rPr>
              <w:t>~$3,200</w:t>
            </w:r>
          </w:p>
        </w:tc>
      </w:tr>
      <w:tr>
        <w:tc>
          <w:tcPr>
            <w:tcW w:type="dxa" w:w="3120"/>
          </w:tcPr>
          <w:p>
            <w:r/>
            <w:r>
              <w:rPr>
                <w:rFonts w:ascii="Arial" w:hAnsi="Arial"/>
                <w:b w:val="0"/>
                <w:sz w:val="20"/>
              </w:rPr>
              <w:t>ElevenLabs (voice)</w:t>
            </w:r>
          </w:p>
        </w:tc>
        <w:tc>
          <w:tcPr>
            <w:tcW w:type="dxa" w:w="3120"/>
          </w:tcPr>
          <w:p>
            <w:r/>
            <w:r>
              <w:rPr>
                <w:rFonts w:ascii="Arial" w:hAnsi="Arial"/>
                <w:b w:val="0"/>
                <w:sz w:val="20"/>
              </w:rPr>
              <w:t>~$180</w:t>
            </w:r>
          </w:p>
        </w:tc>
        <w:tc>
          <w:tcPr>
            <w:tcW w:type="dxa" w:w="3120"/>
          </w:tcPr>
          <w:p>
            <w:r/>
            <w:r>
              <w:rPr>
                <w:rFonts w:ascii="Arial" w:hAnsi="Arial"/>
                <w:b w:val="0"/>
                <w:sz w:val="20"/>
              </w:rPr>
              <w:t>~$2,800</w:t>
            </w:r>
          </w:p>
        </w:tc>
      </w:tr>
      <w:tr>
        <w:tc>
          <w:tcPr>
            <w:tcW w:type="dxa" w:w="3120"/>
          </w:tcPr>
          <w:p>
            <w:r/>
            <w:r>
              <w:rPr>
                <w:rFonts w:ascii="Arial" w:hAnsi="Arial"/>
                <w:b w:val="0"/>
                <w:sz w:val="20"/>
              </w:rPr>
              <w:t>Hume (empathy)</w:t>
            </w:r>
          </w:p>
        </w:tc>
        <w:tc>
          <w:tcPr>
            <w:tcW w:type="dxa" w:w="3120"/>
          </w:tcPr>
          <w:p>
            <w:r/>
            <w:r>
              <w:rPr>
                <w:rFonts w:ascii="Arial" w:hAnsi="Arial"/>
                <w:b w:val="0"/>
                <w:sz w:val="20"/>
              </w:rPr>
              <w:t>~$50</w:t>
            </w:r>
          </w:p>
        </w:tc>
        <w:tc>
          <w:tcPr>
            <w:tcW w:type="dxa" w:w="3120"/>
          </w:tcPr>
          <w:p>
            <w:r/>
            <w:r>
              <w:rPr>
                <w:rFonts w:ascii="Arial" w:hAnsi="Arial"/>
                <w:b w:val="0"/>
                <w:sz w:val="20"/>
              </w:rPr>
              <w:t>~$500</w:t>
            </w:r>
          </w:p>
        </w:tc>
      </w:tr>
      <w:tr>
        <w:tc>
          <w:tcPr>
            <w:tcW w:type="dxa" w:w="3120"/>
          </w:tcPr>
          <w:p>
            <w:r/>
            <w:r>
              <w:rPr>
                <w:rFonts w:ascii="Arial" w:hAnsi="Arial"/>
                <w:b w:val="0"/>
                <w:sz w:val="20"/>
              </w:rPr>
              <w:t>Whisper (STT)</w:t>
            </w:r>
          </w:p>
        </w:tc>
        <w:tc>
          <w:tcPr>
            <w:tcW w:type="dxa" w:w="3120"/>
          </w:tcPr>
          <w:p>
            <w:r/>
            <w:r>
              <w:rPr>
                <w:rFonts w:ascii="Arial" w:hAnsi="Arial"/>
                <w:b w:val="0"/>
                <w:sz w:val="20"/>
              </w:rPr>
              <w:t>~$30</w:t>
            </w:r>
          </w:p>
        </w:tc>
        <w:tc>
          <w:tcPr>
            <w:tcW w:type="dxa" w:w="3120"/>
          </w:tcPr>
          <w:p>
            <w:r/>
            <w:r>
              <w:rPr>
                <w:rFonts w:ascii="Arial" w:hAnsi="Arial"/>
                <w:b w:val="0"/>
                <w:sz w:val="20"/>
              </w:rPr>
              <w:t>~$300</w:t>
            </w:r>
          </w:p>
        </w:tc>
      </w:tr>
      <w:tr>
        <w:tc>
          <w:tcPr>
            <w:tcW w:type="dxa" w:w="3120"/>
          </w:tcPr>
          <w:p>
            <w:r/>
            <w:r>
              <w:rPr>
                <w:rFonts w:ascii="Arial" w:hAnsi="Arial"/>
                <w:b w:val="0"/>
                <w:sz w:val="20"/>
              </w:rPr>
              <w:t>Vercel / infra</w:t>
            </w:r>
          </w:p>
        </w:tc>
        <w:tc>
          <w:tcPr>
            <w:tcW w:type="dxa" w:w="3120"/>
          </w:tcPr>
          <w:p>
            <w:r/>
            <w:r>
              <w:rPr>
                <w:rFonts w:ascii="Arial" w:hAnsi="Arial"/>
                <w:b w:val="0"/>
                <w:sz w:val="20"/>
              </w:rPr>
              <w:t>~$20</w:t>
            </w:r>
          </w:p>
        </w:tc>
        <w:tc>
          <w:tcPr>
            <w:tcW w:type="dxa" w:w="3120"/>
          </w:tcPr>
          <w:p>
            <w:r/>
            <w:r>
              <w:rPr>
                <w:rFonts w:ascii="Arial" w:hAnsi="Arial"/>
                <w:b w:val="0"/>
                <w:sz w:val="20"/>
              </w:rPr>
              <w:t>~$200</w:t>
            </w:r>
          </w:p>
        </w:tc>
      </w:tr>
      <w:tr>
        <w:tc>
          <w:tcPr>
            <w:tcW w:type="dxa" w:w="3120"/>
            <w:shd w:fill="E8E3F3" w:val="clear"/>
          </w:tcPr>
          <w:p>
            <w:r/>
            <w:r>
              <w:rPr>
                <w:rFonts w:ascii="Arial" w:hAnsi="Arial"/>
                <w:b/>
                <w:sz w:val="20"/>
              </w:rPr>
              <w:t>Total</w:t>
            </w:r>
          </w:p>
        </w:tc>
        <w:tc>
          <w:tcPr>
            <w:tcW w:type="dxa" w:w="3120"/>
            <w:shd w:fill="E8E3F3" w:val="clear"/>
          </w:tcPr>
          <w:p>
            <w:r/>
            <w:r>
              <w:rPr>
                <w:rFonts w:ascii="Arial" w:hAnsi="Arial"/>
                <w:b/>
                <w:sz w:val="20"/>
              </w:rPr>
              <w:t>~$460</w:t>
            </w:r>
          </w:p>
        </w:tc>
        <w:tc>
          <w:tcPr>
            <w:tcW w:type="dxa" w:w="3120"/>
            <w:shd w:fill="E8E3F3" w:val="clear"/>
          </w:tcPr>
          <w:p>
            <w:r/>
            <w:r>
              <w:rPr>
                <w:rFonts w:ascii="Arial" w:hAnsi="Arial"/>
                <w:b/>
                <w:sz w:val="20"/>
              </w:rPr>
              <w:t>~$7,000</w:t>
            </w:r>
          </w:p>
        </w:tc>
      </w:tr>
    </w:tbl>
    <w:p>
      <w:r>
        <w:br w:type="page"/>
      </w:r>
    </w:p>
    <w:p>
      <w:pPr>
        <w:pStyle w:val="Heading1"/>
      </w:pPr>
      <w:r>
        <w:t>10. Progressive Memory Architecture</w:t>
      </w:r>
    </w:p>
    <w:p>
      <w:pPr>
        <w:spacing w:after="160"/>
      </w:pPr>
      <w:r>
        <w:rPr>
          <w:rFonts w:ascii="Arial" w:hAnsi="Arial"/>
          <w:sz w:val="22"/>
        </w:rPr>
        <w:t>The progressive memory model requires two distinct memory layers in the application architecture:</w:t>
      </w:r>
    </w:p>
    <w:p>
      <w:pPr>
        <w:pStyle w:val="Heading2"/>
      </w:pPr>
      <w:r>
        <w:t>Layer 1: Ambient Memory (Free Tier)</w:t>
      </w:r>
    </w:p>
    <w:p>
      <w:pPr>
        <w:pStyle w:val="ListBullet"/>
      </w:pPr>
      <w:r>
        <w:rPr>
          <w:rFonts w:ascii="Arial" w:hAnsi="Arial"/>
          <w:sz w:val="22"/>
        </w:rPr>
        <w:t>Tone signature: Navia calibrates her conversational rhythm, warmth level, and pacing. Persists across sessions.</w:t>
      </w:r>
    </w:p>
    <w:p>
      <w:pPr>
        <w:pStyle w:val="ListBullet"/>
      </w:pPr>
      <w:r>
        <w:rPr>
          <w:rFonts w:ascii="Arial" w:hAnsi="Arial"/>
          <w:sz w:val="22"/>
        </w:rPr>
        <w:t>Energy baseline: a lightweight vector representing the woman's general emotional register (not specific events, but a feel).</w:t>
      </w:r>
    </w:p>
    <w:p>
      <w:pPr>
        <w:pStyle w:val="ListBullet"/>
      </w:pPr>
      <w:r>
        <w:rPr>
          <w:rFonts w:ascii="Arial" w:hAnsi="Arial"/>
          <w:sz w:val="22"/>
        </w:rPr>
        <w:t>No episodic storage: no conversation logs, no topic recall, no explicit references to past sessions.</w:t>
      </w:r>
    </w:p>
    <w:p>
      <w:pPr>
        <w:pStyle w:val="ListBullet"/>
      </w:pPr>
      <w:r>
        <w:rPr>
          <w:rFonts w:ascii="Arial" w:hAnsi="Arial"/>
          <w:sz w:val="22"/>
        </w:rPr>
        <w:t>Implementation: minimal context injection at session start (tone parameters only), no retrieval from conversation history.</w:t>
      </w:r>
    </w:p>
    <w:p>
      <w:pPr>
        <w:pStyle w:val="Heading2"/>
      </w:pPr>
      <w:r>
        <w:t>Layer 2: Episodic Memory (Paid Tiers)</w:t>
      </w:r>
    </w:p>
    <w:p>
      <w:pPr>
        <w:pStyle w:val="ListBullet"/>
      </w:pPr>
      <w:r>
        <w:rPr>
          <w:rFonts w:ascii="Arial" w:hAnsi="Arial"/>
          <w:sz w:val="22"/>
        </w:rPr>
        <w:t>Companion tier: stores themes, emotional moments, cycles, significant shifts. Enables cross-session references and pattern recognition.</w:t>
      </w:r>
    </w:p>
    <w:p>
      <w:pPr>
        <w:pStyle w:val="ListBullet"/>
      </w:pPr>
      <w:r>
        <w:rPr>
          <w:rFonts w:ascii="Arial" w:hAnsi="Arial"/>
          <w:sz w:val="22"/>
        </w:rPr>
        <w:t>Full Presence tier: adds anticipatory analysis. Accumulated depth sufficient to surface signals proactively.</w:t>
      </w:r>
    </w:p>
    <w:p>
      <w:pPr>
        <w:pStyle w:val="ListBullet"/>
      </w:pPr>
      <w:r>
        <w:rPr>
          <w:rFonts w:ascii="Arial" w:hAnsi="Arial"/>
          <w:sz w:val="22"/>
        </w:rPr>
        <w:t>Implementation: structured memory store (themes, timestamps, emotional vectors), retrieved and injected into conversation context. HIPAA/GDPR review required.</w:t>
      </w:r>
    </w:p>
    <w:p>
      <w:pPr>
        <w:pStyle w:val="Heading2"/>
      </w:pPr>
      <w:r>
        <w:t>30-Day Wave Memory Archival</w:t>
      </w:r>
    </w:p>
    <w:p>
      <w:pPr>
        <w:spacing w:after="160"/>
      </w:pPr>
      <w:r>
        <w:rPr>
          <w:rFonts w:ascii="Arial" w:hAnsi="Arial"/>
          <w:sz w:val="22"/>
        </w:rPr>
        <w:t>When a wave ends, episodic memory is not deleted. It is archived. Conversation context reverts to ambient-only injection. If the woman later subscribes, archived memory is restored seamlessly. Nothing was lost. The relationship was paused, not severed.</w:t>
      </w:r>
    </w:p>
    <w:p>
      <w:pPr>
        <w:pStyle w:val="Heading1"/>
      </w:pPr>
      <w:r>
        <w:t>11. Strategic Notes</w:t>
      </w:r>
    </w:p>
    <w:p>
      <w:pPr>
        <w:pStyle w:val="ListBullet"/>
      </w:pPr>
      <w:r>
        <w:rPr>
          <w:rFonts w:ascii="Arial" w:hAnsi="Arial"/>
          <w:sz w:val="22"/>
        </w:rPr>
        <w:t>Pricing is not final. $7.99 and $14.99 are positioning estimates. Final pricing requires A/B testing with real users.</w:t>
      </w:r>
    </w:p>
    <w:p>
      <w:pPr>
        <w:pStyle w:val="ListBullet"/>
      </w:pPr>
      <w:r>
        <w:rPr>
          <w:rFonts w:ascii="Arial" w:hAnsi="Arial"/>
          <w:sz w:val="22"/>
        </w:rPr>
        <w:t>Competitive positioning: Calm $14.99/mo, Headspace $12.99/mo, Flo $4.99/mo. Navia occupies a distinct category. Direct comparison is avoided in all external communications.</w:t>
      </w:r>
    </w:p>
    <w:p>
      <w:pPr>
        <w:pStyle w:val="ListBullet"/>
      </w:pPr>
      <w:r>
        <w:rPr>
          <w:rFonts w:ascii="Arial" w:hAnsi="Arial"/>
          <w:sz w:val="22"/>
        </w:rPr>
        <w:t>Wallet and gifting are Phase 3. Do not build payment infrastructure before core companion experience is validated.</w:t>
      </w:r>
    </w:p>
    <w:p>
      <w:pPr>
        <w:pStyle w:val="ListBullet"/>
      </w:pPr>
      <w:r>
        <w:rPr>
          <w:rFonts w:ascii="Arial" w:hAnsi="Arial"/>
          <w:sz w:val="22"/>
        </w:rPr>
        <w:t>Trademark clearance is required before public launch. Two HIGH-risk NAVIA marks at USPTO. Engage a trademark attorney ($1,500-3,000).</w:t>
      </w:r>
    </w:p>
    <w:p>
      <w:pPr>
        <w:pStyle w:val="ListBullet"/>
      </w:pPr>
      <w:r>
        <w:rPr>
          <w:rFonts w:ascii="Arial" w:hAnsi="Arial"/>
          <w:sz w:val="22"/>
        </w:rPr>
        <w:t>v0.3 should incorporate findings from the first 30-day wave with real users.</w:t>
      </w:r>
    </w:p>
    <w:p>
      <w:pPr>
        <w:spacing w:after="160"/>
      </w:pPr>
    </w:p>
    <w:p>
      <w:pPr>
        <w:jc w:val="center"/>
      </w:pPr>
      <w:r>
        <w:rPr>
          <w:i/>
          <w:color w:val="999999"/>
          <w:sz w:val="18"/>
        </w:rPr>
        <w:t>Navia · Confidential · April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B294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B294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B29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