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Georgia" w:hAnsi="Georgia"/>
          <w:b/>
          <w:color w:val="2B2940"/>
          <w:sz w:val="60"/>
        </w:rPr>
        <w:t>Navia</w:t>
      </w:r>
    </w:p>
    <w:p>
      <w:pPr>
        <w:spacing w:after="120"/>
        <w:jc w:val="center"/>
      </w:pPr>
      <w:r>
        <w:rPr>
          <w:rFonts w:ascii="Georgia" w:hAnsi="Georgia"/>
          <w:b w:val="0"/>
          <w:color w:val="2B2940"/>
          <w:sz w:val="40"/>
        </w:rPr>
        <w:t>Trademark Preliminary Analysis</w:t>
      </w:r>
    </w:p>
    <w:p>
      <w:pPr>
        <w:spacing w:after="80"/>
        <w:jc w:val="center"/>
      </w:pPr>
      <w:r>
        <w:rPr>
          <w:rFonts w:ascii="Georgia" w:hAnsi="Georgia"/>
          <w:b w:val="0"/>
          <w:color w:val="6B6880"/>
          <w:sz w:val="24"/>
        </w:rPr>
        <w:t>v0.1 — April 2026</w:t>
      </w:r>
    </w:p>
    <w:p>
      <w:pPr>
        <w:spacing w:after="1200"/>
        <w:jc w:val="center"/>
      </w:pPr>
      <w:r>
        <w:rPr>
          <w:rFonts w:ascii="Georgia" w:hAnsi="Georgia"/>
          <w:b w:val="0"/>
          <w:color w:val="C0392B"/>
          <w:sz w:val="20"/>
        </w:rPr>
        <w:t>Confidential. Not legal advice. Consult a trademark attorney before filing.</w:t>
      </w:r>
    </w:p>
    <w:p>
      <w:pPr>
        <w:spacing w:before="480" w:after="240"/>
      </w:pPr>
      <w:r>
        <w:rPr>
          <w:rFonts w:ascii="Georgia" w:hAnsi="Georgia"/>
          <w:b/>
          <w:color w:val="2B2940"/>
          <w:sz w:val="32"/>
        </w:rPr>
        <w:t>1. Executive Summary</w:t>
      </w:r>
    </w:p>
    <w:p>
      <w:pPr>
        <w:spacing w:after="160"/>
      </w:pPr>
      <w:r>
        <w:rPr>
          <w:rFonts w:ascii="Georgia" w:hAnsi="Georgia"/>
          <w:b w:val="0"/>
          <w:i w:val="0"/>
          <w:color w:val="333333"/>
          <w:sz w:val="22"/>
        </w:rPr>
        <w:t>A preliminary search of the USPTO database reveals four existing "NAVIA" trademark registrations or applications. Two present material risk for a wellness companion app. A trademark attorney must conduct a comprehensive search and provide a formal clearance opinion before Navia files or launches publicly.</w:t>
      </w:r>
    </w:p>
    <w:p>
      <w:r>
        <w:br w:type="page"/>
      </w:r>
    </w:p>
    <w:p>
      <w:pPr>
        <w:spacing w:before="480" w:after="240"/>
      </w:pPr>
      <w:r>
        <w:rPr>
          <w:rFonts w:ascii="Georgia" w:hAnsi="Georgia"/>
          <w:b/>
          <w:color w:val="2B2940"/>
          <w:sz w:val="32"/>
        </w:rPr>
        <w:t>2. Existing NAVIA Trademarks Found</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296"/>
            <w:shd w:fill="2B2940" w:val="clear"/>
          </w:tcPr>
          <w:p>
            <w:r/>
            <w:r>
              <w:rPr>
                <w:rFonts w:ascii="Georgia" w:hAnsi="Georgia"/>
                <w:b/>
                <w:color w:val="FFFFFF"/>
                <w:sz w:val="20"/>
              </w:rPr>
              <w:t>Serial #</w:t>
            </w:r>
          </w:p>
        </w:tc>
        <w:tc>
          <w:tcPr>
            <w:tcW w:type="dxa" w:w="2016"/>
            <w:shd w:fill="2B2940" w:val="clear"/>
          </w:tcPr>
          <w:p>
            <w:r/>
            <w:r>
              <w:rPr>
                <w:rFonts w:ascii="Georgia" w:hAnsi="Georgia"/>
                <w:b/>
                <w:color w:val="FFFFFF"/>
                <w:sz w:val="20"/>
              </w:rPr>
              <w:t>Owner</w:t>
            </w:r>
          </w:p>
        </w:tc>
        <w:tc>
          <w:tcPr>
            <w:tcW w:type="dxa" w:w="1152"/>
            <w:shd w:fill="2B2940" w:val="clear"/>
          </w:tcPr>
          <w:p>
            <w:r/>
            <w:r>
              <w:rPr>
                <w:rFonts w:ascii="Georgia" w:hAnsi="Georgia"/>
                <w:b/>
                <w:color w:val="FFFFFF"/>
                <w:sz w:val="20"/>
              </w:rPr>
              <w:t>Mark</w:t>
            </w:r>
          </w:p>
        </w:tc>
        <w:tc>
          <w:tcPr>
            <w:tcW w:type="dxa" w:w="720"/>
            <w:shd w:fill="2B2940" w:val="clear"/>
          </w:tcPr>
          <w:p>
            <w:r/>
            <w:r>
              <w:rPr>
                <w:rFonts w:ascii="Georgia" w:hAnsi="Georgia"/>
                <w:b/>
                <w:color w:val="FFFFFF"/>
                <w:sz w:val="20"/>
              </w:rPr>
              <w:t>Class</w:t>
            </w:r>
          </w:p>
        </w:tc>
        <w:tc>
          <w:tcPr>
            <w:tcW w:type="dxa" w:w="2880"/>
            <w:shd w:fill="2B2940" w:val="clear"/>
          </w:tcPr>
          <w:p>
            <w:r/>
            <w:r>
              <w:rPr>
                <w:rFonts w:ascii="Georgia" w:hAnsi="Georgia"/>
                <w:b/>
                <w:color w:val="FFFFFF"/>
                <w:sz w:val="20"/>
              </w:rPr>
              <w:t>Goods/Services</w:t>
            </w:r>
          </w:p>
        </w:tc>
        <w:tc>
          <w:tcPr>
            <w:tcW w:type="dxa" w:w="1296"/>
            <w:shd w:fill="2B2940" w:val="clear"/>
          </w:tcPr>
          <w:p>
            <w:r/>
            <w:r>
              <w:rPr>
                <w:rFonts w:ascii="Georgia" w:hAnsi="Georgia"/>
                <w:b/>
                <w:color w:val="FFFFFF"/>
                <w:sz w:val="20"/>
              </w:rPr>
              <w:t>Risk Level</w:t>
            </w:r>
          </w:p>
        </w:tc>
      </w:tr>
      <w:tr>
        <w:tc>
          <w:tcPr>
            <w:tcW w:type="dxa" w:w="1296"/>
          </w:tcPr>
          <w:p>
            <w:r/>
            <w:r>
              <w:rPr>
                <w:rFonts w:ascii="Georgia" w:hAnsi="Georgia"/>
                <w:color w:val="333333"/>
                <w:sz w:val="20"/>
              </w:rPr>
              <w:t>88494307</w:t>
            </w:r>
          </w:p>
        </w:tc>
        <w:tc>
          <w:tcPr>
            <w:tcW w:type="dxa" w:w="2016"/>
          </w:tcPr>
          <w:p>
            <w:r/>
            <w:r>
              <w:rPr>
                <w:rFonts w:ascii="Georgia" w:hAnsi="Georgia"/>
                <w:color w:val="333333"/>
                <w:sz w:val="20"/>
              </w:rPr>
              <w:t>Central Logic, Inc.</w:t>
            </w:r>
          </w:p>
        </w:tc>
        <w:tc>
          <w:tcPr>
            <w:tcW w:type="dxa" w:w="1152"/>
          </w:tcPr>
          <w:p>
            <w:r/>
            <w:r>
              <w:rPr>
                <w:rFonts w:ascii="Georgia" w:hAnsi="Georgia"/>
                <w:color w:val="333333"/>
                <w:sz w:val="20"/>
              </w:rPr>
              <w:t>NAVIA</w:t>
            </w:r>
          </w:p>
        </w:tc>
        <w:tc>
          <w:tcPr>
            <w:tcW w:type="dxa" w:w="720"/>
          </w:tcPr>
          <w:p>
            <w:r/>
            <w:r>
              <w:rPr>
                <w:rFonts w:ascii="Georgia" w:hAnsi="Georgia"/>
                <w:color w:val="333333"/>
                <w:sz w:val="20"/>
              </w:rPr>
              <w:t>42</w:t>
            </w:r>
          </w:p>
        </w:tc>
        <w:tc>
          <w:tcPr>
            <w:tcW w:type="dxa" w:w="2880"/>
          </w:tcPr>
          <w:p>
            <w:r/>
            <w:r>
              <w:rPr>
                <w:rFonts w:ascii="Georgia" w:hAnsi="Georgia"/>
                <w:color w:val="333333"/>
                <w:sz w:val="20"/>
              </w:rPr>
              <w:t>Healthcare SaaS, patient management, analytics</w:t>
            </w:r>
          </w:p>
        </w:tc>
        <w:tc>
          <w:tcPr>
            <w:tcW w:type="dxa" w:w="1296"/>
          </w:tcPr>
          <w:p>
            <w:r/>
            <w:r>
              <w:rPr>
                <w:rFonts w:ascii="Georgia" w:hAnsi="Georgia"/>
                <w:color w:val="333333"/>
                <w:sz w:val="20"/>
              </w:rPr>
              <w:t>HIGH</w:t>
            </w:r>
          </w:p>
        </w:tc>
      </w:tr>
      <w:tr>
        <w:tc>
          <w:tcPr>
            <w:tcW w:type="dxa" w:w="1296"/>
            <w:shd w:fill="F5F3F7" w:val="clear"/>
          </w:tcPr>
          <w:p>
            <w:r/>
            <w:r>
              <w:rPr>
                <w:rFonts w:ascii="Georgia" w:hAnsi="Georgia"/>
                <w:color w:val="333333"/>
                <w:sz w:val="20"/>
              </w:rPr>
              <w:t>99640250</w:t>
            </w:r>
          </w:p>
        </w:tc>
        <w:tc>
          <w:tcPr>
            <w:tcW w:type="dxa" w:w="2016"/>
            <w:shd w:fill="F5F3F7" w:val="clear"/>
          </w:tcPr>
          <w:p>
            <w:r/>
            <w:r>
              <w:rPr>
                <w:rFonts w:ascii="Georgia" w:hAnsi="Georgia"/>
                <w:color w:val="333333"/>
                <w:sz w:val="20"/>
              </w:rPr>
              <w:t>Connection-coaches LLC</w:t>
            </w:r>
          </w:p>
        </w:tc>
        <w:tc>
          <w:tcPr>
            <w:tcW w:type="dxa" w:w="1152"/>
            <w:shd w:fill="F5F3F7" w:val="clear"/>
          </w:tcPr>
          <w:p>
            <w:r/>
            <w:r>
              <w:rPr>
                <w:rFonts w:ascii="Georgia" w:hAnsi="Georgia"/>
                <w:color w:val="333333"/>
                <w:sz w:val="20"/>
              </w:rPr>
              <w:t>NAVIA AI</w:t>
            </w:r>
          </w:p>
        </w:tc>
        <w:tc>
          <w:tcPr>
            <w:tcW w:type="dxa" w:w="720"/>
            <w:shd w:fill="F5F3F7" w:val="clear"/>
          </w:tcPr>
          <w:p>
            <w:r/>
            <w:r>
              <w:rPr>
                <w:rFonts w:ascii="Georgia" w:hAnsi="Georgia"/>
                <w:color w:val="333333"/>
                <w:sz w:val="20"/>
              </w:rPr>
              <w:t>42</w:t>
            </w:r>
          </w:p>
        </w:tc>
        <w:tc>
          <w:tcPr>
            <w:tcW w:type="dxa" w:w="2880"/>
            <w:shd w:fill="F5F3F7" w:val="clear"/>
          </w:tcPr>
          <w:p>
            <w:r/>
            <w:r>
              <w:rPr>
                <w:rFonts w:ascii="Georgia" w:hAnsi="Georgia"/>
                <w:color w:val="333333"/>
                <w:sz w:val="20"/>
              </w:rPr>
              <w:t>Mobile app hosting, software, wireless content</w:t>
            </w:r>
          </w:p>
        </w:tc>
        <w:tc>
          <w:tcPr>
            <w:tcW w:type="dxa" w:w="1296"/>
            <w:shd w:fill="F5F3F7" w:val="clear"/>
          </w:tcPr>
          <w:p>
            <w:r/>
            <w:r>
              <w:rPr>
                <w:rFonts w:ascii="Georgia" w:hAnsi="Georgia"/>
                <w:color w:val="333333"/>
                <w:sz w:val="20"/>
              </w:rPr>
              <w:t>HIGH</w:t>
            </w:r>
          </w:p>
        </w:tc>
      </w:tr>
      <w:tr>
        <w:tc>
          <w:tcPr>
            <w:tcW w:type="dxa" w:w="1296"/>
          </w:tcPr>
          <w:p>
            <w:r/>
            <w:r>
              <w:rPr>
                <w:rFonts w:ascii="Georgia" w:hAnsi="Georgia"/>
                <w:color w:val="333333"/>
                <w:sz w:val="20"/>
              </w:rPr>
              <w:t>86833951</w:t>
            </w:r>
          </w:p>
        </w:tc>
        <w:tc>
          <w:tcPr>
            <w:tcW w:type="dxa" w:w="2016"/>
          </w:tcPr>
          <w:p>
            <w:r/>
            <w:r>
              <w:rPr>
                <w:rFonts w:ascii="Georgia" w:hAnsi="Georgia"/>
                <w:color w:val="333333"/>
                <w:sz w:val="20"/>
              </w:rPr>
              <w:t>Navia.com, LLC</w:t>
            </w:r>
          </w:p>
        </w:tc>
        <w:tc>
          <w:tcPr>
            <w:tcW w:type="dxa" w:w="1152"/>
          </w:tcPr>
          <w:p>
            <w:r/>
            <w:r>
              <w:rPr>
                <w:rFonts w:ascii="Georgia" w:hAnsi="Georgia"/>
                <w:color w:val="333333"/>
                <w:sz w:val="20"/>
              </w:rPr>
              <w:t>NAVIA</w:t>
            </w:r>
          </w:p>
        </w:tc>
        <w:tc>
          <w:tcPr>
            <w:tcW w:type="dxa" w:w="720"/>
          </w:tcPr>
          <w:p>
            <w:r/>
            <w:r>
              <w:rPr>
                <w:rFonts w:ascii="Georgia" w:hAnsi="Georgia"/>
                <w:color w:val="333333"/>
                <w:sz w:val="20"/>
              </w:rPr>
              <w:t>TBD</w:t>
            </w:r>
          </w:p>
        </w:tc>
        <w:tc>
          <w:tcPr>
            <w:tcW w:type="dxa" w:w="2880"/>
          </w:tcPr>
          <w:p>
            <w:r/>
            <w:r>
              <w:rPr>
                <w:rFonts w:ascii="Georgia" w:hAnsi="Georgia"/>
                <w:color w:val="333333"/>
                <w:sz w:val="20"/>
              </w:rPr>
              <w:t>Unknown (needs verification)</w:t>
            </w:r>
          </w:p>
        </w:tc>
        <w:tc>
          <w:tcPr>
            <w:tcW w:type="dxa" w:w="1296"/>
          </w:tcPr>
          <w:p>
            <w:r/>
            <w:r>
              <w:rPr>
                <w:rFonts w:ascii="Georgia" w:hAnsi="Georgia"/>
                <w:color w:val="333333"/>
                <w:sz w:val="20"/>
              </w:rPr>
              <w:t>MEDIUM</w:t>
            </w:r>
          </w:p>
        </w:tc>
      </w:tr>
      <w:tr>
        <w:tc>
          <w:tcPr>
            <w:tcW w:type="dxa" w:w="1296"/>
            <w:shd w:fill="F5F3F7" w:val="clear"/>
          </w:tcPr>
          <w:p>
            <w:r/>
            <w:r>
              <w:rPr>
                <w:rFonts w:ascii="Georgia" w:hAnsi="Georgia"/>
                <w:color w:val="333333"/>
                <w:sz w:val="20"/>
              </w:rPr>
              <w:t>88962444</w:t>
            </w:r>
          </w:p>
        </w:tc>
        <w:tc>
          <w:tcPr>
            <w:tcW w:type="dxa" w:w="2016"/>
            <w:shd w:fill="F5F3F7" w:val="clear"/>
          </w:tcPr>
          <w:p>
            <w:r/>
            <w:r>
              <w:rPr>
                <w:rFonts w:ascii="Georgia" w:hAnsi="Georgia"/>
                <w:color w:val="333333"/>
                <w:sz w:val="20"/>
              </w:rPr>
              <w:t>Navya Veeramachaneni</w:t>
            </w:r>
          </w:p>
        </w:tc>
        <w:tc>
          <w:tcPr>
            <w:tcW w:type="dxa" w:w="1152"/>
            <w:shd w:fill="F5F3F7" w:val="clear"/>
          </w:tcPr>
          <w:p>
            <w:r/>
            <w:r>
              <w:rPr>
                <w:rFonts w:ascii="Georgia" w:hAnsi="Georgia"/>
                <w:color w:val="333333"/>
                <w:sz w:val="20"/>
              </w:rPr>
              <w:t>NAVIA</w:t>
            </w:r>
          </w:p>
        </w:tc>
        <w:tc>
          <w:tcPr>
            <w:tcW w:type="dxa" w:w="720"/>
            <w:shd w:fill="F5F3F7" w:val="clear"/>
          </w:tcPr>
          <w:p>
            <w:r/>
            <w:r>
              <w:rPr>
                <w:rFonts w:ascii="Georgia" w:hAnsi="Georgia"/>
                <w:color w:val="333333"/>
                <w:sz w:val="20"/>
              </w:rPr>
              <w:t>18</w:t>
            </w:r>
          </w:p>
        </w:tc>
        <w:tc>
          <w:tcPr>
            <w:tcW w:type="dxa" w:w="2880"/>
            <w:shd w:fill="F5F3F7" w:val="clear"/>
          </w:tcPr>
          <w:p>
            <w:r/>
            <w:r>
              <w:rPr>
                <w:rFonts w:ascii="Georgia" w:hAnsi="Georgia"/>
                <w:color w:val="333333"/>
                <w:sz w:val="20"/>
              </w:rPr>
              <w:t>Handbags</w:t>
            </w:r>
          </w:p>
        </w:tc>
        <w:tc>
          <w:tcPr>
            <w:tcW w:type="dxa" w:w="1296"/>
            <w:shd w:fill="F5F3F7" w:val="clear"/>
          </w:tcPr>
          <w:p>
            <w:r/>
            <w:r>
              <w:rPr>
                <w:rFonts w:ascii="Georgia" w:hAnsi="Georgia"/>
                <w:color w:val="333333"/>
                <w:sz w:val="20"/>
              </w:rPr>
              <w:t>LOW</w:t>
            </w:r>
          </w:p>
        </w:tc>
      </w:tr>
    </w:tbl>
    <w:p>
      <w:r>
        <w:br w:type="page"/>
      </w:r>
    </w:p>
    <w:p>
      <w:pPr>
        <w:spacing w:before="480" w:after="240"/>
      </w:pPr>
      <w:r>
        <w:rPr>
          <w:rFonts w:ascii="Georgia" w:hAnsi="Georgia"/>
          <w:b/>
          <w:color w:val="2B2940"/>
          <w:sz w:val="32"/>
        </w:rPr>
        <w:t>3. Detailed Risk Analysis</w:t>
      </w:r>
    </w:p>
    <w:p>
      <w:pPr>
        <w:spacing w:before="320" w:after="160"/>
      </w:pPr>
      <w:r>
        <w:rPr>
          <w:rFonts w:ascii="Georgia" w:hAnsi="Georgia"/>
          <w:b/>
          <w:color w:val="2B2940"/>
          <w:sz w:val="26"/>
        </w:rPr>
        <w:t>3.1 Central Logic, Inc. (Serial 88494307)</w:t>
      </w:r>
    </w:p>
    <w:p>
      <w:pPr>
        <w:spacing w:after="160"/>
      </w:pPr>
      <w:r>
        <w:rPr>
          <w:rFonts w:ascii="Georgia" w:hAnsi="Georgia"/>
          <w:b/>
          <w:sz w:val="22"/>
        </w:rPr>
        <w:t xml:space="preserve">Risk: </w:t>
      </w:r>
      <w:r>
        <w:rPr>
          <w:rFonts w:ascii="Georgia" w:hAnsi="Georgia"/>
          <w:b/>
          <w:color w:val="C0392B"/>
          <w:sz w:val="22"/>
        </w:rPr>
        <w:t>HIGH</w:t>
      </w:r>
      <w:r>
        <w:rPr>
          <w:rFonts w:ascii="Georgia" w:hAnsi="Georgia"/>
          <w:color w:val="333333"/>
          <w:sz w:val="22"/>
        </w:rPr>
        <w:t xml:space="preserve"> </w:t>
      </w:r>
    </w:p>
    <w:p>
      <w:pPr>
        <w:spacing w:after="160"/>
      </w:pPr>
      <w:r>
        <w:rPr>
          <w:rFonts w:ascii="Georgia" w:hAnsi="Georgia"/>
          <w:b w:val="0"/>
          <w:i w:val="0"/>
          <w:color w:val="333333"/>
          <w:sz w:val="22"/>
        </w:rPr>
        <w:t>Central Logic owns the NAVIA mark for healthcare SaaS software, patient management, and business intelligence in healthcare (Class 42). This is the most significant conflict. Navia's Health section with PDF export for GP/OBGYN, the expert Q&amp;A pipeline, and the overall positioning as a health companion could create confusion in the marketplace.</w:t>
      </w:r>
    </w:p>
    <w:p>
      <w:pPr>
        <w:spacing w:after="160"/>
      </w:pPr>
      <w:r>
        <w:rPr>
          <w:rFonts w:ascii="Georgia" w:hAnsi="Georgia"/>
          <w:b w:val="0"/>
          <w:i w:val="0"/>
          <w:color w:val="333333"/>
          <w:sz w:val="22"/>
        </w:rPr>
        <w:t>Central Logic is an established healthcare technology company that was partnered with HP to build healthcare-focused solutions. Their NAVIA product covers patient tracking, transfer management, and healthcare analytics.</w:t>
      </w:r>
    </w:p>
    <w:p>
      <w:pPr>
        <w:spacing w:after="160"/>
      </w:pPr>
      <w:r>
        <w:rPr>
          <w:rFonts w:ascii="Georgia" w:hAnsi="Georgia"/>
          <w:b w:val="0"/>
          <w:i w:val="0"/>
          <w:color w:val="333333"/>
          <w:sz w:val="22"/>
        </w:rPr>
        <w:t>Mitigating factor: Central Logic's NAVIA is B2B hospital software. Navia (ours) is a B2C consumer wellness companion for women. The target markets, distribution channels, and end users are fundamentally different. However, the overlap in the healthcare domain makes this a serious concern that a trademark examiner would likely flag.</w:t>
      </w:r>
    </w:p>
    <w:p>
      <w:pPr>
        <w:spacing w:before="320" w:after="160"/>
      </w:pPr>
      <w:r>
        <w:rPr>
          <w:rFonts w:ascii="Georgia" w:hAnsi="Georgia"/>
          <w:b/>
          <w:color w:val="2B2940"/>
          <w:sz w:val="26"/>
        </w:rPr>
        <w:t>3.2 Connection-coaches LLC (Serial 99640250)</w:t>
      </w:r>
    </w:p>
    <w:p>
      <w:pPr>
        <w:spacing w:after="160"/>
      </w:pPr>
      <w:r>
        <w:rPr>
          <w:rFonts w:ascii="Georgia" w:hAnsi="Georgia"/>
          <w:b/>
          <w:sz w:val="22"/>
        </w:rPr>
        <w:t xml:space="preserve">Risk: </w:t>
      </w:r>
      <w:r>
        <w:rPr>
          <w:rFonts w:ascii="Georgia" w:hAnsi="Georgia"/>
          <w:b/>
          <w:color w:val="C0392B"/>
          <w:sz w:val="22"/>
        </w:rPr>
        <w:t>HIGH</w:t>
      </w:r>
      <w:r>
        <w:rPr>
          <w:rFonts w:ascii="Georgia" w:hAnsi="Georgia"/>
          <w:color w:val="333333"/>
          <w:sz w:val="22"/>
        </w:rPr>
        <w:t xml:space="preserve"> </w:t>
      </w:r>
    </w:p>
    <w:p>
      <w:pPr>
        <w:spacing w:after="160"/>
      </w:pPr>
      <w:r>
        <w:rPr>
          <w:rFonts w:ascii="Georgia" w:hAnsi="Georgia"/>
          <w:b w:val="0"/>
          <w:i w:val="0"/>
          <w:color w:val="333333"/>
          <w:sz w:val="22"/>
        </w:rPr>
        <w:t>Connection-coaches LLC registered "NAVIA AI" for mobile app hosting, software development, and wireless content delivery to handheld devices (Class 42). This is a direct overlap with Navia's planned mobile application.</w:t>
      </w:r>
    </w:p>
    <w:p>
      <w:pPr>
        <w:spacing w:after="160"/>
      </w:pPr>
      <w:r>
        <w:rPr>
          <w:rFonts w:ascii="Georgia" w:hAnsi="Georgia"/>
          <w:b w:val="0"/>
          <w:i w:val="0"/>
          <w:color w:val="333333"/>
          <w:sz w:val="22"/>
        </w:rPr>
        <w:t>The mark includes the AI suffix, which could be argued as distinguishing. However, trademark law considers the dominant element, and NAVIA is clearly dominant in both marks. A consumer searching for a wellness app called Navia could encounter both products.</w:t>
      </w:r>
    </w:p>
    <w:p>
      <w:pPr>
        <w:spacing w:after="160"/>
      </w:pPr>
      <w:r>
        <w:rPr>
          <w:rFonts w:ascii="Georgia" w:hAnsi="Georgia"/>
          <w:b w:val="0"/>
          <w:i w:val="0"/>
          <w:color w:val="333333"/>
          <w:sz w:val="22"/>
        </w:rPr>
        <w:t>Mitigating factor: the "AI" suffix and different brand positioning (coaching vs. wellness companion) create some distance. But the mobile app + AI + wellness space overlap is significant.</w:t>
      </w:r>
    </w:p>
    <w:p>
      <w:pPr>
        <w:spacing w:before="320" w:after="160"/>
      </w:pPr>
      <w:r>
        <w:rPr>
          <w:rFonts w:ascii="Georgia" w:hAnsi="Georgia"/>
          <w:b/>
          <w:color w:val="2B2940"/>
          <w:sz w:val="26"/>
        </w:rPr>
        <w:t>3.3 Navia.com, LLC (Serial 86833951)</w:t>
      </w:r>
    </w:p>
    <w:p>
      <w:pPr>
        <w:spacing w:after="160"/>
      </w:pPr>
      <w:r>
        <w:rPr>
          <w:rFonts w:ascii="Georgia" w:hAnsi="Georgia"/>
          <w:b/>
          <w:sz w:val="22"/>
        </w:rPr>
        <w:t xml:space="preserve">Risk: </w:t>
      </w:r>
      <w:r>
        <w:rPr>
          <w:rFonts w:ascii="Georgia" w:hAnsi="Georgia"/>
          <w:b/>
          <w:color w:val="D48B0A"/>
          <w:sz w:val="22"/>
        </w:rPr>
        <w:t>MEDIUM</w:t>
      </w:r>
      <w:r>
        <w:rPr>
          <w:rFonts w:ascii="Georgia" w:hAnsi="Georgia"/>
          <w:color w:val="333333"/>
          <w:sz w:val="22"/>
        </w:rPr>
        <w:t xml:space="preserve"> </w:t>
      </w:r>
    </w:p>
    <w:p>
      <w:pPr>
        <w:spacing w:after="160"/>
      </w:pPr>
      <w:r>
        <w:rPr>
          <w:rFonts w:ascii="Georgia" w:hAnsi="Georgia"/>
          <w:b w:val="0"/>
          <w:i w:val="0"/>
          <w:color w:val="333333"/>
          <w:sz w:val="22"/>
        </w:rPr>
        <w:t>Navia.com, LLC holds a trademark for NAVIA. The exact goods/services class could not be confirmed through public search. The domain navia.com is registered. A trademark attorney must verify the current status, goods/services, and whether this registration is still active or has lapsed.</w:t>
      </w:r>
    </w:p>
    <w:p>
      <w:pPr>
        <w:spacing w:before="320" w:after="160"/>
      </w:pPr>
      <w:r>
        <w:rPr>
          <w:rFonts w:ascii="Georgia" w:hAnsi="Georgia"/>
          <w:b/>
          <w:color w:val="2B2940"/>
          <w:sz w:val="26"/>
        </w:rPr>
        <w:t>3.4 Navya Veeramachaneni (Serial 88962444)</w:t>
      </w:r>
    </w:p>
    <w:p>
      <w:pPr>
        <w:spacing w:after="160"/>
      </w:pPr>
      <w:r>
        <w:rPr>
          <w:rFonts w:ascii="Georgia" w:hAnsi="Georgia"/>
          <w:b/>
          <w:sz w:val="22"/>
        </w:rPr>
        <w:t xml:space="preserve">Risk: </w:t>
      </w:r>
      <w:r>
        <w:rPr>
          <w:rFonts w:ascii="Georgia" w:hAnsi="Georgia"/>
          <w:b/>
          <w:color w:val="27AE60"/>
          <w:sz w:val="22"/>
        </w:rPr>
        <w:t>LOW</w:t>
      </w:r>
      <w:r>
        <w:rPr>
          <w:rFonts w:ascii="Georgia" w:hAnsi="Georgia"/>
          <w:color w:val="333333"/>
          <w:sz w:val="22"/>
        </w:rPr>
        <w:t xml:space="preserve"> </w:t>
      </w:r>
    </w:p>
    <w:p>
      <w:pPr>
        <w:spacing w:after="160"/>
      </w:pPr>
      <w:r>
        <w:rPr>
          <w:rFonts w:ascii="Georgia" w:hAnsi="Georgia"/>
          <w:b w:val="0"/>
          <w:i w:val="0"/>
          <w:color w:val="333333"/>
          <w:sz w:val="22"/>
        </w:rPr>
        <w:t>This registration covers handbags (Class 18). No overlap with software, wellness, health, or mobile applications. Not a concern for trademark clearance.</w:t>
      </w:r>
    </w:p>
    <w:p>
      <w:pPr>
        <w:spacing w:before="320" w:after="160"/>
      </w:pPr>
      <w:r>
        <w:rPr>
          <w:rFonts w:ascii="Georgia" w:hAnsi="Georgia"/>
          <w:b/>
          <w:color w:val="2B2940"/>
          <w:sz w:val="26"/>
        </w:rPr>
        <w:t>3.5 Navia Benefit Solutions, Inc.</w:t>
      </w:r>
    </w:p>
    <w:p>
      <w:pPr>
        <w:spacing w:after="160"/>
      </w:pPr>
      <w:r>
        <w:rPr>
          <w:rFonts w:ascii="Georgia" w:hAnsi="Georgia"/>
          <w:b/>
          <w:sz w:val="22"/>
        </w:rPr>
        <w:t xml:space="preserve">Risk: </w:t>
      </w:r>
      <w:r>
        <w:rPr>
          <w:rFonts w:ascii="Georgia" w:hAnsi="Georgia"/>
          <w:b/>
          <w:color w:val="D48B0A"/>
          <w:sz w:val="22"/>
        </w:rPr>
        <w:t>MEDIUM</w:t>
      </w:r>
      <w:r>
        <w:rPr>
          <w:rFonts w:ascii="Georgia" w:hAnsi="Georgia"/>
          <w:color w:val="333333"/>
          <w:sz w:val="22"/>
        </w:rPr>
        <w:t xml:space="preserve"> </w:t>
      </w:r>
    </w:p>
    <w:p>
      <w:pPr>
        <w:spacing w:after="160"/>
      </w:pPr>
      <w:r>
        <w:rPr>
          <w:rFonts w:ascii="Georgia" w:hAnsi="Georgia"/>
          <w:b w:val="0"/>
          <w:i w:val="0"/>
          <w:color w:val="333333"/>
          <w:sz w:val="22"/>
        </w:rPr>
        <w:t>Navia Benefit Solutions is a national employee benefits administrator (FSA, HSA, HRA, COBRA). Founded 1989 as Flex-Plan Services, later rebranded to Navia. Acquired in March 2026. Headquartered in Renton, WA. They operate naviabenefits.com and serve 10,000+ employers across 50 states.</w:t>
      </w:r>
    </w:p>
    <w:p>
      <w:pPr>
        <w:spacing w:after="160"/>
      </w:pPr>
      <w:r>
        <w:rPr>
          <w:rFonts w:ascii="Georgia" w:hAnsi="Georgia"/>
          <w:b w:val="0"/>
          <w:i w:val="0"/>
          <w:color w:val="333333"/>
          <w:sz w:val="22"/>
        </w:rPr>
        <w:t>While they may not have a registered trademark for the standalone word NAVIA in the exact classes relevant to our app, their extensive commercial use of the name in the employee benefits and healthcare-adjacent space creates common law trademark rights that could be asserted against us.</w:t>
      </w:r>
    </w:p>
    <w:p>
      <w:r>
        <w:br w:type="page"/>
      </w:r>
    </w:p>
    <w:p>
      <w:pPr>
        <w:spacing w:before="480" w:after="240"/>
      </w:pPr>
      <w:r>
        <w:rPr>
          <w:rFonts w:ascii="Georgia" w:hAnsi="Georgia"/>
          <w:b/>
          <w:color w:val="2B2940"/>
          <w:sz w:val="32"/>
        </w:rPr>
        <w:t>4. Relevant USPTO Classes for Navia</w:t>
      </w:r>
    </w:p>
    <w:p>
      <w:pPr>
        <w:spacing w:after="160"/>
      </w:pPr>
      <w:r>
        <w:rPr>
          <w:rFonts w:ascii="Georgia" w:hAnsi="Georgia"/>
          <w:b w:val="0"/>
          <w:i w:val="0"/>
          <w:color w:val="333333"/>
          <w:sz w:val="22"/>
        </w:rPr>
        <w:t>To register our NAVIA mark, we would likely file in the following classes:</w:t>
      </w:r>
    </w:p>
    <w:tbl>
      <w:tblPr>
        <w:tblW w:type="auto" w:w="0"/>
        <w:jc w:val="center"/>
        <w:tblLook w:firstColumn="1" w:firstRow="1" w:lastColumn="0" w:lastRow="0" w:noHBand="0" w:noVBand="1" w:val="04A0"/>
      </w:tblPr>
      <w:tblGrid>
        <w:gridCol w:w="3120"/>
        <w:gridCol w:w="3120"/>
        <w:gridCol w:w="3120"/>
      </w:tblGrid>
      <w:tr>
        <w:tc>
          <w:tcPr>
            <w:tcW w:type="dxa" w:w="864"/>
            <w:shd w:fill="2B2940" w:val="clear"/>
          </w:tcPr>
          <w:p>
            <w:r/>
            <w:r>
              <w:rPr>
                <w:rFonts w:ascii="Georgia" w:hAnsi="Georgia"/>
                <w:b/>
                <w:color w:val="FFFFFF"/>
                <w:sz w:val="20"/>
              </w:rPr>
              <w:t>Class</w:t>
            </w:r>
          </w:p>
        </w:tc>
        <w:tc>
          <w:tcPr>
            <w:tcW w:type="dxa" w:w="3888"/>
            <w:shd w:fill="2B2940" w:val="clear"/>
          </w:tcPr>
          <w:p>
            <w:r/>
            <w:r>
              <w:rPr>
                <w:rFonts w:ascii="Georgia" w:hAnsi="Georgia"/>
                <w:b/>
                <w:color w:val="FFFFFF"/>
                <w:sz w:val="20"/>
              </w:rPr>
              <w:t>Description</w:t>
            </w:r>
          </w:p>
        </w:tc>
        <w:tc>
          <w:tcPr>
            <w:tcW w:type="dxa" w:w="4608"/>
            <w:shd w:fill="2B2940" w:val="clear"/>
          </w:tcPr>
          <w:p>
            <w:r/>
            <w:r>
              <w:rPr>
                <w:rFonts w:ascii="Georgia" w:hAnsi="Georgia"/>
                <w:b/>
                <w:color w:val="FFFFFF"/>
                <w:sz w:val="20"/>
              </w:rPr>
              <w:t>Navia Features</w:t>
            </w:r>
          </w:p>
        </w:tc>
      </w:tr>
      <w:tr>
        <w:tc>
          <w:tcPr>
            <w:tcW w:type="dxa" w:w="864"/>
          </w:tcPr>
          <w:p>
            <w:r/>
            <w:r>
              <w:rPr>
                <w:rFonts w:ascii="Georgia" w:hAnsi="Georgia"/>
                <w:color w:val="333333"/>
                <w:sz w:val="20"/>
              </w:rPr>
              <w:t>9</w:t>
            </w:r>
          </w:p>
        </w:tc>
        <w:tc>
          <w:tcPr>
            <w:tcW w:type="dxa" w:w="3888"/>
          </w:tcPr>
          <w:p>
            <w:r/>
            <w:r>
              <w:rPr>
                <w:rFonts w:ascii="Georgia" w:hAnsi="Georgia"/>
                <w:color w:val="333333"/>
                <w:sz w:val="20"/>
              </w:rPr>
              <w:t>Downloadable software / mobile apps</w:t>
            </w:r>
          </w:p>
        </w:tc>
        <w:tc>
          <w:tcPr>
            <w:tcW w:type="dxa" w:w="4608"/>
          </w:tcPr>
          <w:p>
            <w:r/>
            <w:r>
              <w:rPr>
                <w:rFonts w:ascii="Georgia" w:hAnsi="Georgia"/>
                <w:color w:val="333333"/>
                <w:sz w:val="20"/>
              </w:rPr>
              <w:t>iOS app, companion interface</w:t>
            </w:r>
          </w:p>
        </w:tc>
      </w:tr>
      <w:tr>
        <w:tc>
          <w:tcPr>
            <w:tcW w:type="dxa" w:w="864"/>
            <w:shd w:fill="F5F3F7" w:val="clear"/>
          </w:tcPr>
          <w:p>
            <w:r/>
            <w:r>
              <w:rPr>
                <w:rFonts w:ascii="Georgia" w:hAnsi="Georgia"/>
                <w:color w:val="333333"/>
                <w:sz w:val="20"/>
              </w:rPr>
              <w:t>42</w:t>
            </w:r>
          </w:p>
        </w:tc>
        <w:tc>
          <w:tcPr>
            <w:tcW w:type="dxa" w:w="3888"/>
            <w:shd w:fill="F5F3F7" w:val="clear"/>
          </w:tcPr>
          <w:p>
            <w:r/>
            <w:r>
              <w:rPr>
                <w:rFonts w:ascii="Georgia" w:hAnsi="Georgia"/>
                <w:color w:val="333333"/>
                <w:sz w:val="20"/>
              </w:rPr>
              <w:t>SaaS, software hosting, cloud services</w:t>
            </w:r>
          </w:p>
        </w:tc>
        <w:tc>
          <w:tcPr>
            <w:tcW w:type="dxa" w:w="4608"/>
            <w:shd w:fill="F5F3F7" w:val="clear"/>
          </w:tcPr>
          <w:p>
            <w:r/>
            <w:r>
              <w:rPr>
                <w:rFonts w:ascii="Georgia" w:hAnsi="Georgia"/>
                <w:color w:val="333333"/>
                <w:sz w:val="20"/>
              </w:rPr>
              <w:t>Voice API, chat, health tracking</w:t>
            </w:r>
          </w:p>
        </w:tc>
      </w:tr>
      <w:tr>
        <w:tc>
          <w:tcPr>
            <w:tcW w:type="dxa" w:w="864"/>
          </w:tcPr>
          <w:p>
            <w:r/>
            <w:r>
              <w:rPr>
                <w:rFonts w:ascii="Georgia" w:hAnsi="Georgia"/>
                <w:color w:val="333333"/>
                <w:sz w:val="20"/>
              </w:rPr>
              <w:t>44</w:t>
            </w:r>
          </w:p>
        </w:tc>
        <w:tc>
          <w:tcPr>
            <w:tcW w:type="dxa" w:w="3888"/>
          </w:tcPr>
          <w:p>
            <w:r/>
            <w:r>
              <w:rPr>
                <w:rFonts w:ascii="Georgia" w:hAnsi="Georgia"/>
                <w:color w:val="333333"/>
                <w:sz w:val="20"/>
              </w:rPr>
              <w:t>Medical / health services</w:t>
            </w:r>
          </w:p>
        </w:tc>
        <w:tc>
          <w:tcPr>
            <w:tcW w:type="dxa" w:w="4608"/>
          </w:tcPr>
          <w:p>
            <w:r/>
            <w:r>
              <w:rPr>
                <w:rFonts w:ascii="Georgia" w:hAnsi="Georgia"/>
                <w:color w:val="333333"/>
                <w:sz w:val="20"/>
              </w:rPr>
              <w:t>Expert Q&amp;A, health section, GP export</w:t>
            </w:r>
          </w:p>
        </w:tc>
      </w:tr>
      <w:tr>
        <w:tc>
          <w:tcPr>
            <w:tcW w:type="dxa" w:w="864"/>
            <w:shd w:fill="F5F3F7" w:val="clear"/>
          </w:tcPr>
          <w:p>
            <w:r/>
            <w:r>
              <w:rPr>
                <w:rFonts w:ascii="Georgia" w:hAnsi="Georgia"/>
                <w:color w:val="333333"/>
                <w:sz w:val="20"/>
              </w:rPr>
              <w:t>41</w:t>
            </w:r>
          </w:p>
        </w:tc>
        <w:tc>
          <w:tcPr>
            <w:tcW w:type="dxa" w:w="3888"/>
            <w:shd w:fill="F5F3F7" w:val="clear"/>
          </w:tcPr>
          <w:p>
            <w:r/>
            <w:r>
              <w:rPr>
                <w:rFonts w:ascii="Georgia" w:hAnsi="Georgia"/>
                <w:color w:val="333333"/>
                <w:sz w:val="20"/>
              </w:rPr>
              <w:t>Education, entertainment, content</w:t>
            </w:r>
          </w:p>
        </w:tc>
        <w:tc>
          <w:tcPr>
            <w:tcW w:type="dxa" w:w="4608"/>
            <w:shd w:fill="F5F3F7" w:val="clear"/>
          </w:tcPr>
          <w:p>
            <w:r/>
            <w:r>
              <w:rPr>
                <w:rFonts w:ascii="Georgia" w:hAnsi="Georgia"/>
                <w:color w:val="333333"/>
                <w:sz w:val="20"/>
              </w:rPr>
              <w:t>Content library, podcasts, videos</w:t>
            </w:r>
          </w:p>
        </w:tc>
      </w:tr>
    </w:tbl>
    <w:p>
      <w:pPr>
        <w:spacing w:after="160"/>
      </w:pPr>
      <w:r>
        <w:rPr>
          <w:rFonts w:ascii="Georgia" w:hAnsi="Georgia"/>
          <w:b w:val="0"/>
          <w:i w:val="0"/>
          <w:color w:val="333333"/>
          <w:sz w:val="22"/>
        </w:rPr>
      </w:r>
    </w:p>
    <w:p>
      <w:pPr>
        <w:spacing w:after="160"/>
      </w:pPr>
      <w:r>
        <w:rPr>
          <w:rFonts w:ascii="Georgia" w:hAnsi="Georgia"/>
          <w:b w:val="0"/>
          <w:i w:val="0"/>
          <w:color w:val="333333"/>
          <w:sz w:val="22"/>
        </w:rPr>
        <w:t>Class 42 is where the strongest conflicts exist (Central Logic and Connection-coaches both hold NAVIA marks here). Class 44 may also face scrutiny given Navia Benefit Solutions' presence in health-adjacent services.</w:t>
      </w:r>
    </w:p>
    <w:p>
      <w:r>
        <w:br w:type="page"/>
      </w:r>
    </w:p>
    <w:p>
      <w:pPr>
        <w:spacing w:before="480" w:after="240"/>
      </w:pPr>
      <w:r>
        <w:rPr>
          <w:rFonts w:ascii="Georgia" w:hAnsi="Georgia"/>
          <w:b/>
          <w:color w:val="2B2940"/>
          <w:sz w:val="32"/>
        </w:rPr>
        <w:t>5. Strategic Options</w:t>
      </w:r>
    </w:p>
    <w:p>
      <w:pPr>
        <w:spacing w:before="320" w:after="160"/>
      </w:pPr>
      <w:r>
        <w:rPr>
          <w:rFonts w:ascii="Georgia" w:hAnsi="Georgia"/>
          <w:b/>
          <w:color w:val="2B2940"/>
          <w:sz w:val="26"/>
        </w:rPr>
        <w:t>Option A: File for NAVIA and defend differentiation</w:t>
      </w:r>
    </w:p>
    <w:p>
      <w:pPr>
        <w:spacing w:after="160"/>
      </w:pPr>
      <w:r>
        <w:rPr>
          <w:rFonts w:ascii="Georgia" w:hAnsi="Georgia"/>
          <w:b w:val="0"/>
          <w:i w:val="0"/>
          <w:color w:val="333333"/>
          <w:sz w:val="22"/>
        </w:rPr>
        <w:t>File a trademark application for NAVIA in Classes 9, 41, and 44 (avoiding Class 42 initially). Argue that the goods/services are sufficiently different from existing registrations. The B2C wellness companion for women is distinct from B2B hospital SaaS (Central Logic) and coaching tools (Connection-coaches).</w:t>
      </w:r>
    </w:p>
    <w:p>
      <w:pPr>
        <w:spacing w:after="160"/>
      </w:pPr>
      <w:r>
        <w:rPr>
          <w:rFonts w:ascii="Georgia" w:hAnsi="Georgia"/>
          <w:b w:val="0"/>
          <w:i w:val="0"/>
          <w:color w:val="333333"/>
          <w:sz w:val="22"/>
        </w:rPr>
        <w:t>Pros: preserves the brand name Sebastien has built. Cons: risk of opposition proceedings, potential rejection by USPTO examiner, and ongoing legal costs to defend.</w:t>
      </w:r>
    </w:p>
    <w:p>
      <w:pPr>
        <w:spacing w:before="320" w:after="160"/>
      </w:pPr>
      <w:r>
        <w:rPr>
          <w:rFonts w:ascii="Georgia" w:hAnsi="Georgia"/>
          <w:b/>
          <w:color w:val="2B2940"/>
          <w:sz w:val="26"/>
        </w:rPr>
        <w:t>Option B: File for NAVIA with a distinctive modifier</w:t>
      </w:r>
    </w:p>
    <w:p>
      <w:pPr>
        <w:spacing w:after="160"/>
      </w:pPr>
      <w:r>
        <w:rPr>
          <w:rFonts w:ascii="Georgia" w:hAnsi="Georgia"/>
          <w:b w:val="0"/>
          <w:i w:val="0"/>
          <w:color w:val="333333"/>
          <w:sz w:val="22"/>
        </w:rPr>
        <w:t>Consider filing as "NAVIA companion" or "byNAVIA" or another distinctive formulation. The domain bynavia.com is already established. This creates additional distance from existing marks while maintaining brand recognition.</w:t>
      </w:r>
    </w:p>
    <w:p>
      <w:pPr>
        <w:spacing w:after="160"/>
      </w:pPr>
      <w:r>
        <w:rPr>
          <w:rFonts w:ascii="Georgia" w:hAnsi="Georgia"/>
          <w:b w:val="0"/>
          <w:i w:val="0"/>
          <w:color w:val="333333"/>
          <w:sz w:val="22"/>
        </w:rPr>
        <w:t>Pros: stronger filing position, less likely to trigger opposition. Cons: adds complexity to brand identity.</w:t>
      </w:r>
    </w:p>
    <w:p>
      <w:pPr>
        <w:spacing w:before="320" w:after="160"/>
      </w:pPr>
      <w:r>
        <w:rPr>
          <w:rFonts w:ascii="Georgia" w:hAnsi="Georgia"/>
          <w:b/>
          <w:color w:val="2B2940"/>
          <w:sz w:val="26"/>
        </w:rPr>
        <w:t>Option C: Explore acquiring or licensing existing marks</w:t>
      </w:r>
    </w:p>
    <w:p>
      <w:pPr>
        <w:spacing w:after="160"/>
      </w:pPr>
      <w:r>
        <w:rPr>
          <w:rFonts w:ascii="Georgia" w:hAnsi="Georgia"/>
          <w:b w:val="0"/>
          <w:i w:val="0"/>
          <w:color w:val="333333"/>
          <w:sz w:val="22"/>
        </w:rPr>
        <w:t>Contact Navia.com, LLC and/or Connection-coaches LLC to explore acquisition or coexistence agreements. Navia Benefit Solutions, recently acquired, may be open to discussions about the consumer wellness space.</w:t>
      </w:r>
    </w:p>
    <w:p>
      <w:pPr>
        <w:spacing w:after="160"/>
      </w:pPr>
      <w:r>
        <w:rPr>
          <w:rFonts w:ascii="Georgia" w:hAnsi="Georgia"/>
          <w:b w:val="0"/>
          <w:i w:val="0"/>
          <w:color w:val="333333"/>
          <w:sz w:val="22"/>
        </w:rPr>
        <w:t>Pros: eliminates conflict entirely. Cons: potentially expensive, dependent on willingness of current holders.</w:t>
      </w:r>
    </w:p>
    <w:p>
      <w:pPr>
        <w:spacing w:before="320" w:after="160"/>
      </w:pPr>
      <w:r>
        <w:rPr>
          <w:rFonts w:ascii="Georgia" w:hAnsi="Georgia"/>
          <w:b/>
          <w:color w:val="2B2940"/>
          <w:sz w:val="26"/>
        </w:rPr>
        <w:t>Option D: Rebrand before public launch</w:t>
      </w:r>
    </w:p>
    <w:p>
      <w:pPr>
        <w:spacing w:after="160"/>
      </w:pPr>
      <w:r>
        <w:rPr>
          <w:rFonts w:ascii="Georgia" w:hAnsi="Georgia"/>
          <w:b w:val="0"/>
          <w:i w:val="0"/>
          <w:color w:val="333333"/>
          <w:sz w:val="22"/>
        </w:rPr>
        <w:t>If trademark clearance is not achievable, consider a name change before public launch (Phase 3). This is painful but less costly than a forced rebrand after building a user base.</w:t>
      </w:r>
    </w:p>
    <w:p>
      <w:pPr>
        <w:spacing w:after="160"/>
      </w:pPr>
      <w:r>
        <w:rPr>
          <w:rFonts w:ascii="Georgia" w:hAnsi="Georgia"/>
          <w:b w:val="0"/>
          <w:i w:val="0"/>
          <w:color w:val="333333"/>
          <w:sz w:val="22"/>
        </w:rPr>
        <w:t>Pros: clean slate. Cons: loses existing brand equity and domain.</w:t>
      </w:r>
    </w:p>
    <w:p>
      <w:r>
        <w:br w:type="page"/>
      </w:r>
    </w:p>
    <w:p>
      <w:pPr>
        <w:spacing w:before="480" w:after="240"/>
      </w:pPr>
      <w:r>
        <w:rPr>
          <w:rFonts w:ascii="Georgia" w:hAnsi="Georgia"/>
          <w:b/>
          <w:color w:val="2B2940"/>
          <w:sz w:val="32"/>
        </w:rPr>
        <w:t>6. Recommended Next Steps</w:t>
      </w:r>
    </w:p>
    <w:p>
      <w:pPr>
        <w:spacing w:after="160"/>
      </w:pPr>
      <w:r>
        <w:rPr>
          <w:rFonts w:ascii="Georgia" w:hAnsi="Georgia"/>
          <w:b/>
          <w:i w:val="0"/>
          <w:color w:val="333333"/>
          <w:sz w:val="22"/>
        </w:rPr>
        <w:t>1. Engage a trademark attorney for a comprehensive clearance search. Budget: $1,500-3,000 for a full search with legal opinion. This is non-negotiable before Phase 3 (public launch).</w:t>
      </w:r>
    </w:p>
    <w:p>
      <w:pPr>
        <w:spacing w:after="160"/>
      </w:pPr>
      <w:r>
        <w:rPr>
          <w:rFonts w:ascii="Georgia" w:hAnsi="Georgia"/>
          <w:b w:val="0"/>
          <w:i w:val="0"/>
          <w:color w:val="333333"/>
          <w:sz w:val="22"/>
        </w:rPr>
        <w:t>2. The attorney should check federal (USPTO), state, and common law trademark databases, plus international registrations if non-US markets are planned.</w:t>
      </w:r>
    </w:p>
    <w:p>
      <w:pPr>
        <w:spacing w:after="160"/>
      </w:pPr>
      <w:r>
        <w:rPr>
          <w:rFonts w:ascii="Georgia" w:hAnsi="Georgia"/>
          <w:b w:val="0"/>
          <w:i w:val="0"/>
          <w:color w:val="333333"/>
          <w:sz w:val="22"/>
        </w:rPr>
        <w:t>3. Request a formal opinion on likelihood of confusion with Central Logic's NAVIA (the highest risk) and Connection-coaches' NAVIA AI.</w:t>
      </w:r>
    </w:p>
    <w:p>
      <w:pPr>
        <w:spacing w:after="160"/>
      </w:pPr>
      <w:r>
        <w:rPr>
          <w:rFonts w:ascii="Georgia" w:hAnsi="Georgia"/>
          <w:b w:val="0"/>
          <w:i w:val="0"/>
          <w:color w:val="333333"/>
          <w:sz w:val="22"/>
        </w:rPr>
        <w:t>4. If clearance is favorable, file a trademark application for NAVIA in Classes 9, 41, and 44 before public launch. Filing cost: $250-350 per class ($750-1,050 total for three classes) plus attorney fees.</w:t>
      </w:r>
    </w:p>
    <w:p>
      <w:pPr>
        <w:spacing w:after="160"/>
      </w:pPr>
      <w:r>
        <w:rPr>
          <w:rFonts w:ascii="Georgia" w:hAnsi="Georgia"/>
          <w:b w:val="0"/>
          <w:i w:val="0"/>
          <w:color w:val="333333"/>
          <w:sz w:val="22"/>
        </w:rPr>
        <w:t>5. Consider filing an intent-to-use (ITU) application now to establish priority date, even before the app is live. This reserves the mark while development continues.</w:t>
      </w:r>
    </w:p>
    <w:p>
      <w:pPr>
        <w:spacing w:after="160"/>
      </w:pPr>
      <w:r>
        <w:rPr>
          <w:rFonts w:ascii="Georgia" w:hAnsi="Georgia"/>
          <w:b w:val="0"/>
          <w:i w:val="0"/>
          <w:color w:val="333333"/>
          <w:sz w:val="22"/>
        </w:rPr>
        <w:t>6. Monitor the Navia Benefit Solutions acquisition. The new owner may rebrand, which could reduce one conflict.</w:t>
      </w:r>
    </w:p>
    <w:p>
      <w:pPr>
        <w:spacing w:before="480" w:after="240"/>
      </w:pPr>
      <w:r>
        <w:rPr>
          <w:rFonts w:ascii="Georgia" w:hAnsi="Georgia"/>
          <w:b/>
          <w:color w:val="2B2940"/>
          <w:sz w:val="32"/>
        </w:rPr>
        <w:t>7. Timeline and Budget</w:t>
      </w:r>
    </w:p>
    <w:tbl>
      <w:tblPr>
        <w:tblW w:type="auto" w:w="0"/>
        <w:jc w:val="center"/>
        <w:tblLook w:firstColumn="1" w:firstRow="1" w:lastColumn="0" w:lastRow="0" w:noHBand="0" w:noVBand="1" w:val="04A0"/>
      </w:tblPr>
      <w:tblGrid>
        <w:gridCol w:w="3120"/>
        <w:gridCol w:w="3120"/>
        <w:gridCol w:w="3120"/>
      </w:tblGrid>
      <w:tr>
        <w:tc>
          <w:tcPr>
            <w:tcW w:type="dxa" w:w="3600"/>
            <w:shd w:fill="2B2940" w:val="clear"/>
          </w:tcPr>
          <w:p>
            <w:r/>
            <w:r>
              <w:rPr>
                <w:rFonts w:ascii="Georgia" w:hAnsi="Georgia"/>
                <w:b/>
                <w:color w:val="FFFFFF"/>
                <w:sz w:val="20"/>
              </w:rPr>
              <w:t>Action</w:t>
            </w:r>
          </w:p>
        </w:tc>
        <w:tc>
          <w:tcPr>
            <w:tcW w:type="dxa" w:w="2448"/>
            <w:shd w:fill="2B2940" w:val="clear"/>
          </w:tcPr>
          <w:p>
            <w:r/>
            <w:r>
              <w:rPr>
                <w:rFonts w:ascii="Georgia" w:hAnsi="Georgia"/>
                <w:b/>
                <w:color w:val="FFFFFF"/>
                <w:sz w:val="20"/>
              </w:rPr>
              <w:t>Timeline</w:t>
            </w:r>
          </w:p>
        </w:tc>
        <w:tc>
          <w:tcPr>
            <w:tcW w:type="dxa" w:w="3312"/>
            <w:shd w:fill="2B2940" w:val="clear"/>
          </w:tcPr>
          <w:p>
            <w:r/>
            <w:r>
              <w:rPr>
                <w:rFonts w:ascii="Georgia" w:hAnsi="Georgia"/>
                <w:b/>
                <w:color w:val="FFFFFF"/>
                <w:sz w:val="20"/>
              </w:rPr>
              <w:t>Estimated Cost</w:t>
            </w:r>
          </w:p>
        </w:tc>
      </w:tr>
      <w:tr>
        <w:tc>
          <w:tcPr>
            <w:tcW w:type="dxa" w:w="3600"/>
          </w:tcPr>
          <w:p>
            <w:r/>
            <w:r>
              <w:rPr>
                <w:rFonts w:ascii="Georgia" w:hAnsi="Georgia"/>
                <w:color w:val="333333"/>
                <w:sz w:val="20"/>
              </w:rPr>
              <w:t>Comprehensive trademark search</w:t>
            </w:r>
          </w:p>
        </w:tc>
        <w:tc>
          <w:tcPr>
            <w:tcW w:type="dxa" w:w="2448"/>
          </w:tcPr>
          <w:p>
            <w:r/>
            <w:r>
              <w:rPr>
                <w:rFonts w:ascii="Georgia" w:hAnsi="Georgia"/>
                <w:color w:val="333333"/>
                <w:sz w:val="20"/>
              </w:rPr>
              <w:t>2-3 weeks</w:t>
            </w:r>
          </w:p>
        </w:tc>
        <w:tc>
          <w:tcPr>
            <w:tcW w:type="dxa" w:w="3312"/>
          </w:tcPr>
          <w:p>
            <w:r/>
            <w:r>
              <w:rPr>
                <w:rFonts w:ascii="Georgia" w:hAnsi="Georgia"/>
                <w:color w:val="333333"/>
                <w:sz w:val="20"/>
              </w:rPr>
              <w:t>$1,500-3,000</w:t>
            </w:r>
          </w:p>
        </w:tc>
      </w:tr>
      <w:tr>
        <w:tc>
          <w:tcPr>
            <w:tcW w:type="dxa" w:w="3600"/>
            <w:shd w:fill="F5F3F7" w:val="clear"/>
          </w:tcPr>
          <w:p>
            <w:r/>
            <w:r>
              <w:rPr>
                <w:rFonts w:ascii="Georgia" w:hAnsi="Georgia"/>
                <w:color w:val="333333"/>
                <w:sz w:val="20"/>
              </w:rPr>
              <w:t>Attorney clearance opinion</w:t>
            </w:r>
          </w:p>
        </w:tc>
        <w:tc>
          <w:tcPr>
            <w:tcW w:type="dxa" w:w="2448"/>
            <w:shd w:fill="F5F3F7" w:val="clear"/>
          </w:tcPr>
          <w:p>
            <w:r/>
            <w:r>
              <w:rPr>
                <w:rFonts w:ascii="Georgia" w:hAnsi="Georgia"/>
                <w:color w:val="333333"/>
                <w:sz w:val="20"/>
              </w:rPr>
              <w:t>1-2 weeks after search</w:t>
            </w:r>
          </w:p>
        </w:tc>
        <w:tc>
          <w:tcPr>
            <w:tcW w:type="dxa" w:w="3312"/>
            <w:shd w:fill="F5F3F7" w:val="clear"/>
          </w:tcPr>
          <w:p>
            <w:r/>
            <w:r>
              <w:rPr>
                <w:rFonts w:ascii="Georgia" w:hAnsi="Georgia"/>
                <w:color w:val="333333"/>
                <w:sz w:val="20"/>
              </w:rPr>
              <w:t>Included above</w:t>
            </w:r>
          </w:p>
        </w:tc>
      </w:tr>
      <w:tr>
        <w:tc>
          <w:tcPr>
            <w:tcW w:type="dxa" w:w="3600"/>
          </w:tcPr>
          <w:p>
            <w:r/>
            <w:r>
              <w:rPr>
                <w:rFonts w:ascii="Georgia" w:hAnsi="Georgia"/>
                <w:color w:val="333333"/>
                <w:sz w:val="20"/>
              </w:rPr>
              <w:t>Intent-to-use filing (3 classes)</w:t>
            </w:r>
          </w:p>
        </w:tc>
        <w:tc>
          <w:tcPr>
            <w:tcW w:type="dxa" w:w="2448"/>
          </w:tcPr>
          <w:p>
            <w:r/>
            <w:r>
              <w:rPr>
                <w:rFonts w:ascii="Georgia" w:hAnsi="Georgia"/>
                <w:color w:val="333333"/>
                <w:sz w:val="20"/>
              </w:rPr>
              <w:t>Immediately if cleared</w:t>
            </w:r>
          </w:p>
        </w:tc>
        <w:tc>
          <w:tcPr>
            <w:tcW w:type="dxa" w:w="3312"/>
          </w:tcPr>
          <w:p>
            <w:r/>
            <w:r>
              <w:rPr>
                <w:rFonts w:ascii="Georgia" w:hAnsi="Georgia"/>
                <w:color w:val="333333"/>
                <w:sz w:val="20"/>
              </w:rPr>
              <w:t>$750-1,050 + $500-1,000 attorney</w:t>
            </w:r>
          </w:p>
        </w:tc>
      </w:tr>
      <w:tr>
        <w:tc>
          <w:tcPr>
            <w:tcW w:type="dxa" w:w="3600"/>
            <w:shd w:fill="F5F3F7" w:val="clear"/>
          </w:tcPr>
          <w:p>
            <w:r/>
            <w:r>
              <w:rPr>
                <w:rFonts w:ascii="Georgia" w:hAnsi="Georgia"/>
                <w:color w:val="333333"/>
                <w:sz w:val="20"/>
              </w:rPr>
              <w:t>Opposition monitoring</w:t>
            </w:r>
          </w:p>
        </w:tc>
        <w:tc>
          <w:tcPr>
            <w:tcW w:type="dxa" w:w="2448"/>
            <w:shd w:fill="F5F3F7" w:val="clear"/>
          </w:tcPr>
          <w:p>
            <w:r/>
            <w:r>
              <w:rPr>
                <w:rFonts w:ascii="Georgia" w:hAnsi="Georgia"/>
                <w:color w:val="333333"/>
                <w:sz w:val="20"/>
              </w:rPr>
              <w:t>Ongoing</w:t>
            </w:r>
          </w:p>
        </w:tc>
        <w:tc>
          <w:tcPr>
            <w:tcW w:type="dxa" w:w="3312"/>
            <w:shd w:fill="F5F3F7" w:val="clear"/>
          </w:tcPr>
          <w:p>
            <w:r/>
            <w:r>
              <w:rPr>
                <w:rFonts w:ascii="Georgia" w:hAnsi="Georgia"/>
                <w:color w:val="333333"/>
                <w:sz w:val="20"/>
              </w:rPr>
              <w:t>$200-500/year</w:t>
            </w:r>
          </w:p>
        </w:tc>
      </w:tr>
      <w:tr>
        <w:tc>
          <w:tcPr>
            <w:tcW w:type="dxa" w:w="3600"/>
          </w:tcPr>
          <w:p>
            <w:r/>
            <w:r>
              <w:rPr>
                <w:rFonts w:ascii="Georgia" w:hAnsi="Georgia"/>
                <w:color w:val="333333"/>
                <w:sz w:val="20"/>
              </w:rPr>
              <w:t>Total pre-launch IP budget</w:t>
            </w:r>
          </w:p>
        </w:tc>
        <w:tc>
          <w:tcPr>
            <w:tcW w:type="dxa" w:w="2448"/>
          </w:tcPr>
          <w:p>
            <w:r/>
            <w:r>
              <w:rPr>
                <w:rFonts w:ascii="Georgia" w:hAnsi="Georgia"/>
                <w:color w:val="333333"/>
                <w:sz w:val="20"/>
              </w:rPr>
              <w:t>Before Phase 3</w:t>
            </w:r>
          </w:p>
        </w:tc>
        <w:tc>
          <w:tcPr>
            <w:tcW w:type="dxa" w:w="3312"/>
          </w:tcPr>
          <w:p>
            <w:r/>
            <w:r>
              <w:rPr>
                <w:rFonts w:ascii="Georgia" w:hAnsi="Georgia"/>
                <w:color w:val="333333"/>
                <w:sz w:val="20"/>
              </w:rPr>
              <w:t>$3,000-5,500</w:t>
            </w:r>
          </w:p>
        </w:tc>
      </w:tr>
    </w:tbl>
    <w:p>
      <w:pPr>
        <w:spacing w:after="160"/>
      </w:pPr>
      <w:r>
        <w:rPr>
          <w:rFonts w:ascii="Georgia" w:hAnsi="Georgia"/>
          <w:b w:val="0"/>
          <w:i w:val="0"/>
          <w:color w:val="333333"/>
          <w:sz w:val="22"/>
        </w:rPr>
      </w:r>
    </w:p>
    <w:p>
      <w:pPr>
        <w:spacing w:after="160"/>
      </w:pPr>
      <w:r>
        <w:rPr>
          <w:rFonts w:ascii="Georgia" w:hAnsi="Georgia"/>
          <w:b w:val="0"/>
          <w:i/>
          <w:color w:val="6B6880"/>
          <w:sz w:val="22"/>
        </w:rPr>
        <w:t>This analysis is a preliminary overview based on publicly available information. It is not legal advice and should not be relied upon as a substitute for a formal trademark search and attorney clearance opinion.</w:t>
      </w:r>
    </w:p>
    <w:p>
      <w:pPr>
        <w:spacing w:after="0"/>
        <w:jc w:val="center"/>
      </w:pPr>
      <w:r>
        <w:rPr>
          <w:rFonts w:ascii="Georgia" w:hAnsi="Georgia"/>
          <w:b w:val="0"/>
          <w:color w:val="6B6880"/>
          <w:sz w:val="20"/>
        </w:rPr>
        <w:t>— End of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Georgia" w:hAnsi="Georgia"/>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