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50"/>
          <w:sz w:val="40"/>
          <w:szCs w:val="40"/>
        </w:rPr>
        <w:t xml:space="preserve">FlowSpace — Backend Architecture</w:t>
      </w:r>
    </w:p>
    <w:p>
      <w:pPr>
        <w:spacing w:after="300"/>
      </w:pPr>
      <w:r>
        <w:rPr>
          <w:i/>
          <w:iCs/>
          <w:color w:val="5B5B5B"/>
          <w:sz w:val="22"/>
          <w:szCs w:val="22"/>
        </w:rPr>
        <w:t xml:space="preserve">Your original spec, plus the gaps identified and how to close them</w:t>
      </w:r>
    </w:p>
    <w:p>
      <w:pPr>
        <w:spacing w:after="140"/>
      </w:pPr>
      <w:r>
        <w:rPr>
          <w:i w:val="false"/>
          <w:iCs w:val="false"/>
          <w:color w:val="1F2A24"/>
          <w:sz w:val="21"/>
          <w:szCs w:val="21"/>
        </w:rPr>
        <w:t xml:space="preserve">This document has two parts: Part 1 restates your original architecture spec as submitted (Version 1.0), and Part 2 covers what needs to be added or clarified before building against it. Nothing in Part 1 needs to be redesigned — the skeleton is sound. Part 2 is what makes it a complete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F5D50" w:color="auto" w:val="clear"/>
            <w:tcMar>
              <w:top w:type="dxa" w:w="130"/>
              <w:left w:type="dxa" w:w="200"/>
              <w:bottom w:type="dxa" w:w="130"/>
              <w:right w:type="dxa" w:w="200"/>
            </w:tcMar>
          </w:tcPr>
          <w:p>
            <w:r>
              <w:rPr>
                <w:b/>
                <w:bCs/>
                <w:color w:val="FFFFFF"/>
                <w:sz w:val="23"/>
                <w:szCs w:val="23"/>
              </w:rPr>
              <w:t xml:space="preserve">PART 1 — Original Architecture (as specified)</w:t>
            </w:r>
          </w:p>
          <w:p>
            <w:pPr>
              <w:spacing w:before="40"/>
            </w:pPr>
            <w:r>
              <w:rPr>
                <w:i/>
                <w:iCs/>
                <w:color w:val="E9F1EE"/>
                <w:sz w:val="18"/>
                <w:szCs w:val="18"/>
              </w:rPr>
              <w:t xml:space="preserve">Version 1.0, verified sound — no redesign needed</w:t>
            </w:r>
          </w:p>
        </w:tc>
      </w:tr>
    </w:tbl>
    <w:p>
      <w:pPr>
        <w:spacing w:after="160"/>
      </w:pPr>
    </w:p>
    <w:p>
      <w:pPr>
        <w:pStyle w:val="Heading2"/>
        <w:spacing w:after="100" w:before="260"/>
      </w:pPr>
      <w:r>
        <w:rPr>
          <w:b/>
          <w:bCs/>
          <w:color w:val="1F2A24"/>
          <w:sz w:val="24"/>
          <w:szCs w:val="24"/>
        </w:rPr>
        <w:t xml:space="preserve">Overview</w:t>
      </w:r>
    </w:p>
    <w:p>
      <w:pPr>
        <w:spacing w:after="140"/>
      </w:pPr>
      <w:r>
        <w:rPr>
          <w:i w:val="false"/>
          <w:iCs w:val="false"/>
          <w:color w:val="1F2A24"/>
          <w:sz w:val="21"/>
          <w:szCs w:val="21"/>
        </w:rPr>
        <w:t xml:space="preserve">The application follows an offline-first architecture. All user interactions are performed on the local device first, ensuring fast performance and offline capability. Cloud services are used for:</w:t>
      </w:r>
    </w:p>
    <w:p>
      <w:pPr>
        <w:pStyle w:val="ListParagraph"/>
        <w:numPr>
          <w:ilvl w:val="0"/>
          <w:numId w:val="2"/>
        </w:numPr>
        <w:spacing w:after="90"/>
      </w:pPr>
      <w:r>
        <w:rPr>
          <w:color w:val="1F2A24"/>
          <w:sz w:val="21"/>
          <w:szCs w:val="21"/>
        </w:rPr>
        <w:t xml:space="preserve">User authentication</w:t>
      </w:r>
    </w:p>
    <w:p>
      <w:pPr>
        <w:pStyle w:val="ListParagraph"/>
        <w:numPr>
          <w:ilvl w:val="0"/>
          <w:numId w:val="2"/>
        </w:numPr>
        <w:spacing w:after="90"/>
      </w:pPr>
      <w:r>
        <w:rPr>
          <w:color w:val="1F2A24"/>
          <w:sz w:val="21"/>
          <w:szCs w:val="21"/>
        </w:rPr>
        <w:t xml:space="preserve">Multi-device synchronization</w:t>
      </w:r>
    </w:p>
    <w:p>
      <w:pPr>
        <w:pStyle w:val="ListParagraph"/>
        <w:numPr>
          <w:ilvl w:val="0"/>
          <w:numId w:val="2"/>
        </w:numPr>
        <w:spacing w:after="90"/>
      </w:pPr>
      <w:r>
        <w:rPr>
          <w:color w:val="1F2A24"/>
          <w:sz w:val="21"/>
          <w:szCs w:val="21"/>
        </w:rPr>
        <w:t xml:space="preserve">Data recovery</w:t>
      </w:r>
    </w:p>
    <w:p>
      <w:pPr>
        <w:pStyle w:val="ListParagraph"/>
        <w:numPr>
          <w:ilvl w:val="0"/>
          <w:numId w:val="2"/>
        </w:numPr>
        <w:spacing w:after="90"/>
      </w:pPr>
      <w:r>
        <w:rPr>
          <w:color w:val="1F2A24"/>
          <w:sz w:val="21"/>
          <w:szCs w:val="21"/>
        </w:rPr>
        <w:t xml:space="preserve">Optional encrypted Google Drive backups</w:t>
      </w:r>
    </w:p>
    <w:p>
      <w:pPr>
        <w:pStyle w:val="Heading2"/>
        <w:spacing w:after="100" w:before="260"/>
      </w:pPr>
      <w:r>
        <w:rPr>
          <w:b/>
          <w:bCs/>
          <w:color w:val="1F2A24"/>
          <w:sz w:val="24"/>
          <w:szCs w:val="24"/>
        </w:rPr>
        <w:t xml:space="preserve">High-Level Architecture</w:t>
      </w:r>
    </w:p>
    <w:p>
      <w:pPr>
        <w:spacing w:after="60"/>
      </w:pPr>
      <w:r>
        <w:rPr>
          <w:rFonts w:ascii="Consolas" w:cs="Consolas" w:eastAsia="Consolas" w:hAnsi="Consolas"/>
          <w:color w:val="5B5B5B"/>
          <w:sz w:val="18"/>
          <w:szCs w:val="18"/>
        </w:rPr>
        <w:t xml:space="preserve">Flutter Application</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v           v</w:t>
      </w:r>
    </w:p>
    <w:p>
      <w:pPr>
        <w:spacing w:after="60"/>
      </w:pPr>
      <w:r>
        <w:rPr>
          <w:rFonts w:ascii="Consolas" w:cs="Consolas" w:eastAsia="Consolas" w:hAnsi="Consolas"/>
          <w:color w:val="5B5B5B"/>
          <w:sz w:val="18"/>
          <w:szCs w:val="18"/>
        </w:rPr>
        <w:t xml:space="preserve">Local Isar DB   Local Sync Queue</w:t>
      </w:r>
    </w:p>
    <w:p>
      <w:pPr>
        <w:spacing w:after="60"/>
      </w:pPr>
      <w:r>
        <w:rPr>
          <w:rFonts w:ascii="Consolas" w:cs="Consolas" w:eastAsia="Consolas" w:hAnsi="Consolas"/>
          <w:color w:val="5B5B5B"/>
          <w:sz w:val="18"/>
          <w:szCs w:val="18"/>
        </w:rPr>
        <w:t xml:space="preserve">  \           /</w:t>
      </w:r>
    </w:p>
    <w:p>
      <w:pPr>
        <w:spacing w:after="60"/>
      </w:pPr>
      <w:r>
        <w:rPr>
          <w:rFonts w:ascii="Consolas" w:cs="Consolas" w:eastAsia="Consolas" w:hAnsi="Consolas"/>
          <w:color w:val="5B5B5B"/>
          <w:sz w:val="18"/>
          <w:szCs w:val="18"/>
        </w:rPr>
        <w:t xml:space="preserve">   Background Sync Engine</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FastAPI Backend</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v                 v</w:t>
      </w:r>
    </w:p>
    <w:p>
      <w:pPr>
        <w:spacing w:after="60"/>
      </w:pPr>
      <w:r>
        <w:rPr>
          <w:rFonts w:ascii="Consolas" w:cs="Consolas" w:eastAsia="Consolas" w:hAnsi="Consolas"/>
          <w:color w:val="5B5B5B"/>
          <w:sz w:val="18"/>
          <w:szCs w:val="18"/>
        </w:rPr>
        <w:t xml:space="preserve">PostgreSQL DB    Sync Operations Log</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   Device Synchronization</w:t>
      </w:r>
    </w:p>
    <w:p>
      <w:pPr>
        <w:spacing w:after="60"/>
      </w:pPr>
      <w:r>
        <w:rPr>
          <w:rFonts w:ascii="Consolas" w:cs="Consolas" w:eastAsia="Consolas" w:hAnsi="Consolas"/>
          <w:color w:val="5B5B5B"/>
          <w:sz w:val="18"/>
          <w:szCs w:val="18"/>
        </w:rPr>
        <w:t xml:space="preserve">      /            \</w:t>
      </w:r>
    </w:p>
    <w:p>
      <w:pPr>
        <w:spacing w:after="60"/>
      </w:pPr>
      <w:r>
        <w:rPr>
          <w:rFonts w:ascii="Consolas" w:cs="Consolas" w:eastAsia="Consolas" w:hAnsi="Consolas"/>
          <w:color w:val="5B5B5B"/>
          <w:sz w:val="18"/>
          <w:szCs w:val="18"/>
        </w:rPr>
        <w:t xml:space="preserve">  Phone A        Phone B</w:t>
      </w:r>
    </w:p>
    <w:p>
      <w:pPr>
        <w:spacing w:after="60"/>
      </w:pPr>
      <w:r>
        <w:rPr>
          <w:rFonts w:ascii="Consolas" w:cs="Consolas" w:eastAsia="Consolas" w:hAnsi="Consolas"/>
          <w:color w:val="5B5B5B"/>
          <w:sz w:val="18"/>
          <w:szCs w:val="18"/>
        </w:rPr>
        <w:t xml:space="preserve">           |</w:t>
      </w:r>
    </w:p>
    <w:p>
      <w:pPr>
        <w:spacing w:after="60"/>
      </w:pPr>
      <w:r>
        <w:rPr>
          <w:rFonts w:ascii="Consolas" w:cs="Consolas" w:eastAsia="Consolas" w:hAnsi="Consolas"/>
          <w:color w:val="5B5B5B"/>
          <w:sz w:val="18"/>
          <w:szCs w:val="18"/>
        </w:rPr>
        <w:t xml:space="preserve">Optional Encrypted Google Drive Backup</w:t>
      </w:r>
    </w:p>
    <w:p>
      <w:pPr>
        <w:spacing w:after="100"/>
      </w:pPr>
    </w:p>
    <w:p>
      <w:pPr>
        <w:pStyle w:val="Heading2"/>
        <w:spacing w:after="100" w:before="260"/>
      </w:pPr>
      <w:r>
        <w:rPr>
          <w:b/>
          <w:bCs/>
          <w:color w:val="1F2A24"/>
          <w:sz w:val="24"/>
          <w:szCs w:val="24"/>
        </w:rPr>
        <w:t xml:space="preserve">Component Breakdown</w:t>
      </w:r>
    </w:p>
    <w:p>
      <w:pPr>
        <w:spacing w:after="80" w:before="200"/>
      </w:pPr>
      <w:r>
        <w:rPr>
          <w:b/>
          <w:bCs/>
          <w:color w:val="2F5D50"/>
          <w:sz w:val="22"/>
          <w:szCs w:val="22"/>
        </w:rPr>
        <w:t xml:space="preserve">Flutter Application</w:t>
      </w:r>
    </w:p>
    <w:p>
      <w:pPr>
        <w:spacing w:after="140"/>
      </w:pPr>
      <w:r>
        <w:rPr>
          <w:i w:val="false"/>
          <w:iCs w:val="false"/>
          <w:color w:val="1F2A24"/>
          <w:sz w:val="21"/>
          <w:szCs w:val="21"/>
        </w:rPr>
        <w:t xml:space="preserve">Provides the UI and business logic. Reads and writes only to the local Isar database. Synchronization always happens in the background.</w:t>
      </w:r>
    </w:p>
    <w:p>
      <w:pPr>
        <w:spacing w:after="80" w:before="200"/>
      </w:pPr>
      <w:r>
        <w:rPr>
          <w:b/>
          <w:bCs/>
          <w:color w:val="2F5D50"/>
          <w:sz w:val="22"/>
          <w:szCs w:val="22"/>
        </w:rPr>
        <w:t xml:space="preserve">Local Isar Database</w:t>
      </w:r>
    </w:p>
    <w:p>
      <w:pPr>
        <w:spacing w:after="140"/>
      </w:pPr>
      <w:r>
        <w:rPr>
          <w:i w:val="false"/>
          <w:iCs w:val="false"/>
          <w:color w:val="1F2A24"/>
          <w:sz w:val="21"/>
          <w:szCs w:val="21"/>
        </w:rPr>
        <w:t xml:space="preserve">Primary working database storing tasks, notes, habits, journals, goals, calendar data, settings, and preferences. Optimized for speed and offline use.</w:t>
      </w:r>
    </w:p>
    <w:p>
      <w:pPr>
        <w:spacing w:after="80" w:before="200"/>
      </w:pPr>
      <w:r>
        <w:rPr>
          <w:b/>
          <w:bCs/>
          <w:color w:val="2F5D50"/>
          <w:sz w:val="22"/>
          <w:szCs w:val="22"/>
        </w:rPr>
        <w:t xml:space="preserve">Local Sync Queue</w:t>
      </w:r>
    </w:p>
    <w:p>
      <w:pPr>
        <w:spacing w:after="140"/>
      </w:pPr>
      <w:r>
        <w:rPr>
          <w:i w:val="false"/>
          <w:iCs w:val="false"/>
          <w:color w:val="1F2A24"/>
          <w:sz w:val="21"/>
          <w:szCs w:val="21"/>
        </w:rPr>
        <w:t xml:space="preserve">Stores pending operations (create, update, delete) until they are successfully uploaded. Each item includes operation ID, entity type, entity ID, timestamp, payload, and status.</w:t>
      </w:r>
    </w:p>
    <w:p>
      <w:pPr>
        <w:spacing w:after="80" w:before="200"/>
      </w:pPr>
      <w:r>
        <w:rPr>
          <w:b/>
          <w:bCs/>
          <w:color w:val="2F5D50"/>
          <w:sz w:val="22"/>
          <w:szCs w:val="22"/>
        </w:rPr>
        <w:t xml:space="preserve">Background Sync Engine</w:t>
      </w:r>
    </w:p>
    <w:p>
      <w:pPr>
        <w:spacing w:after="140"/>
      </w:pPr>
      <w:r>
        <w:rPr>
          <w:i w:val="false"/>
          <w:iCs w:val="false"/>
          <w:color w:val="1F2A24"/>
          <w:sz w:val="21"/>
          <w:szCs w:val="21"/>
        </w:rPr>
        <w:t xml:space="preserve">Automatically uploads pending operations, downloads missing operations, updates the local database, and clears completed queue entries.</w:t>
      </w:r>
    </w:p>
    <w:p>
      <w:pPr>
        <w:spacing w:after="80" w:before="200"/>
      </w:pPr>
      <w:r>
        <w:rPr>
          <w:b/>
          <w:bCs/>
          <w:color w:val="2F5D50"/>
          <w:sz w:val="22"/>
          <w:szCs w:val="22"/>
        </w:rPr>
        <w:t xml:space="preserve">FastAPI Backend</w:t>
      </w:r>
    </w:p>
    <w:p>
      <w:pPr>
        <w:spacing w:after="140"/>
      </w:pPr>
      <w:r>
        <w:rPr>
          <w:i w:val="false"/>
          <w:iCs w:val="false"/>
          <w:color w:val="1F2A24"/>
          <w:sz w:val="21"/>
          <w:szCs w:val="21"/>
        </w:rPr>
        <w:t xml:space="preserve">Authenticates users, receives operations, updates PostgreSQL, maintains the synchronization log, and returns missing operations to devices.</w:t>
      </w:r>
    </w:p>
    <w:p>
      <w:pPr>
        <w:spacing w:after="80" w:before="200"/>
      </w:pPr>
      <w:r>
        <w:rPr>
          <w:b/>
          <w:bCs/>
          <w:color w:val="2F5D50"/>
          <w:sz w:val="22"/>
          <w:szCs w:val="22"/>
        </w:rPr>
        <w:t xml:space="preserve">PostgreSQL Database</w:t>
      </w:r>
    </w:p>
    <w:p>
      <w:pPr>
        <w:spacing w:after="140"/>
      </w:pPr>
      <w:r>
        <w:rPr>
          <w:i w:val="false"/>
          <w:iCs w:val="false"/>
          <w:color w:val="1F2A24"/>
          <w:sz w:val="21"/>
          <w:szCs w:val="21"/>
        </w:rPr>
        <w:t xml:space="preserve">Stores the latest synchronized version of every user's data. This is the source of truth for synchronized content.</w:t>
      </w:r>
    </w:p>
    <w:p>
      <w:pPr>
        <w:spacing w:after="80" w:before="200"/>
      </w:pPr>
      <w:r>
        <w:rPr>
          <w:b/>
          <w:bCs/>
          <w:color w:val="2F5D50"/>
          <w:sz w:val="22"/>
          <w:szCs w:val="22"/>
        </w:rPr>
        <w:t xml:space="preserve">Sync Operations Log</w:t>
      </w:r>
    </w:p>
    <w:p>
      <w:pPr>
        <w:spacing w:after="140"/>
      </w:pPr>
      <w:r>
        <w:rPr>
          <w:i w:val="false"/>
          <w:iCs w:val="false"/>
          <w:color w:val="1F2A24"/>
          <w:sz w:val="21"/>
          <w:szCs w:val="21"/>
        </w:rPr>
        <w:t xml:space="preserve">Stores temporary operations so other devices can download only the changes they have not yet processed. Old operations are cleaned after they are no longer needed.</w:t>
      </w:r>
    </w:p>
    <w:p>
      <w:pPr>
        <w:spacing w:after="80" w:before="200"/>
      </w:pPr>
      <w:r>
        <w:rPr>
          <w:b/>
          <w:bCs/>
          <w:color w:val="2F5D50"/>
          <w:sz w:val="22"/>
          <w:szCs w:val="22"/>
        </w:rPr>
        <w:t xml:space="preserve">Google Drive Backup</w:t>
      </w:r>
    </w:p>
    <w:p>
      <w:pPr>
        <w:spacing w:after="140"/>
      </w:pPr>
      <w:r>
        <w:rPr>
          <w:i w:val="false"/>
          <w:iCs w:val="false"/>
          <w:color w:val="1F2A24"/>
          <w:sz w:val="21"/>
          <w:szCs w:val="21"/>
        </w:rPr>
        <w:t xml:space="preserve">Stores an encrypted backup of the user's local database in the user's own Google Drive. Used only for disaster recovery and phone migration — not for synchronization.</w:t>
      </w:r>
    </w:p>
    <w:p>
      <w:pPr>
        <w:spacing w:after="80" w:before="200"/>
      </w:pPr>
      <w:r>
        <w:rPr>
          <w:b/>
          <w:bCs/>
          <w:color w:val="2F5D50"/>
          <w:sz w:val="22"/>
          <w:szCs w:val="22"/>
        </w:rPr>
        <w:t xml:space="preserve">Security (as specified)</w:t>
      </w:r>
    </w:p>
    <w:p>
      <w:pPr>
        <w:spacing w:after="140"/>
      </w:pPr>
      <w:r>
        <w:rPr>
          <w:i w:val="false"/>
          <w:iCs w:val="false"/>
          <w:color w:val="1F2A24"/>
          <w:sz w:val="21"/>
          <w:szCs w:val="21"/>
        </w:rPr>
        <w:t xml:space="preserve">Use HTTPS, JWT authentication, encrypted Google Drive backups, and secure server-side validation.</w:t>
      </w:r>
    </w:p>
    <w:p>
      <w:pPr>
        <w:spacing w:after="80" w:before="200"/>
      </w:pPr>
      <w:r>
        <w:rPr>
          <w:b/>
          <w:bCs/>
          <w:color w:val="2F5D50"/>
          <w:sz w:val="22"/>
          <w:szCs w:val="22"/>
        </w:rPr>
        <w:t xml:space="preserve">Technology Stack</w:t>
      </w:r>
    </w:p>
    <w:p>
      <w:pPr>
        <w:spacing w:after="140"/>
      </w:pPr>
      <w:r>
        <w:rPr>
          <w:i w:val="false"/>
          <w:iCs w:val="false"/>
          <w:color w:val="1F2A24"/>
          <w:sz w:val="21"/>
          <w:szCs w:val="21"/>
        </w:rPr>
        <w:t xml:space="preserve">Flutter, Isar, FastAPI, PostgreSQL, Background Sync Engine, Google Sign-In, Apple Sign-In (iOS), Optional Email Authentication, Google Drive Backup.</w:t>
      </w:r>
    </w:p>
    <w:p>
      <w:pPr>
        <w:spacing w:after="80" w:before="200"/>
      </w:pPr>
      <w:r>
        <w:rPr>
          <w:b/>
          <w:bCs/>
          <w:color w:val="2F5D50"/>
          <w:sz w:val="22"/>
          <w:szCs w:val="22"/>
        </w:rPr>
        <w:t xml:space="preserve">Guiding Principle</w:t>
      </w:r>
    </w:p>
    <w:p>
      <w:pPr>
        <w:spacing w:after="140"/>
      </w:pPr>
      <w:r>
        <w:rPr>
          <w:i w:val="false"/>
          <w:iCs w:val="false"/>
          <w:color w:val="1F2A24"/>
          <w:sz w:val="21"/>
          <w:szCs w:val="21"/>
        </w:rPr>
        <w:t xml:space="preserve">Local First. Cloud for Synchronization. Google Drive for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EDD" w:color="auto" w:val="clear"/>
            <w:tcMar>
              <w:top w:type="dxa" w:w="130"/>
              <w:left w:type="dxa" w:w="200"/>
              <w:bottom w:type="dxa" w:w="130"/>
              <w:right w:type="dxa" w:w="200"/>
            </w:tcMar>
          </w:tcPr>
          <w:p>
            <w:r>
              <w:rPr>
                <w:b/>
                <w:bCs/>
                <w:color w:val="8A4B08"/>
                <w:sz w:val="23"/>
                <w:szCs w:val="23"/>
              </w:rPr>
              <w:t xml:space="preserve">PART 2 — Gaps to Close Before Building</w:t>
            </w:r>
          </w:p>
          <w:p>
            <w:pPr>
              <w:spacing w:before="40"/>
            </w:pPr>
            <w:r>
              <w:rPr>
                <w:i/>
                <w:iCs/>
                <w:color w:val="8A4B08"/>
                <w:sz w:val="18"/>
                <w:szCs w:val="18"/>
              </w:rPr>
              <w:t xml:space="preserve">Nothing here contradicts Part 1 — these fill in what's missing</w:t>
            </w:r>
          </w:p>
        </w:tc>
      </w:tr>
    </w:tbl>
    <w:p>
      <w:pPr>
        <w:spacing w:after="160"/>
      </w:pPr>
    </w:p>
    <w:p>
      <w:pPr>
        <w:pStyle w:val="Heading2"/>
        <w:spacing w:after="100" w:before="260"/>
      </w:pPr>
      <w:r>
        <w:rPr>
          <w:b/>
          <w:bCs/>
          <w:color w:val="1F2A24"/>
          <w:sz w:val="24"/>
          <w:szCs w:val="24"/>
        </w:rPr>
        <w:t xml:space="preserve">1. Conflict Resolution Strategy — the most important gap</w:t>
      </w:r>
    </w:p>
    <w:p>
      <w:pPr>
        <w:spacing w:after="140"/>
      </w:pPr>
      <w:r>
        <w:rPr>
          <w:i w:val="false"/>
          <w:iCs w:val="false"/>
          <w:color w:val="1F2A24"/>
          <w:sz w:val="21"/>
          <w:szCs w:val="21"/>
        </w:rPr>
        <w:t xml:space="preserve">Not addressed anywhere in the original spec. If Phone A and Phone B both edit the same habit or transaction while offline, then both sync, the spec doesn't say what wins.</w:t>
      </w:r>
    </w:p>
    <w:p>
      <w:pPr>
        <w:pStyle w:val="ListParagraph"/>
        <w:numPr>
          <w:ilvl w:val="0"/>
          <w:numId w:val="2"/>
        </w:numPr>
        <w:spacing w:after="90"/>
      </w:pPr>
      <w:r>
        <w:rPr>
          <w:color w:val="1F2A24"/>
          <w:sz w:val="21"/>
          <w:szCs w:val="21"/>
        </w:rPr>
        <w:t xml:space="preserve">Minimum viable fix: last-write-wins (LWW) using a server-assigned timestamp on each operation.</w:t>
      </w:r>
    </w:p>
    <w:p>
      <w:pPr>
        <w:pStyle w:val="ListParagraph"/>
        <w:numPr>
          <w:ilvl w:val="0"/>
          <w:numId w:val="2"/>
        </w:numPr>
        <w:spacing w:after="90"/>
      </w:pPr>
      <w:r>
        <w:rPr>
          <w:color w:val="1F2A24"/>
          <w:sz w:val="21"/>
          <w:szCs w:val="21"/>
        </w:rPr>
        <w:t xml:space="preserve">Better fix for list-like or additive data (todo ordering, habit streak counts, transaction lists): per-field merge rather than whole-record overwrite, so one device's edit can't silently clobber another's.</w:t>
      </w:r>
    </w:p>
    <w:p>
      <w:pPr>
        <w:pStyle w:val="ListParagraph"/>
        <w:numPr>
          <w:ilvl w:val="0"/>
          <w:numId w:val="2"/>
        </w:numPr>
        <w:spacing w:after="90"/>
      </w:pPr>
      <w:r>
        <w:rPr>
          <w:color w:val="1F2A24"/>
          <w:sz w:val="21"/>
          <w:szCs w:val="21"/>
        </w:rPr>
        <w:t xml:space="preserve">Finance data specifically needs this nailed down before launch — silently dropping a transaction during a sync conflict is a trust-breaking bug, not a minor one.</w:t>
      </w:r>
    </w:p>
    <w:p>
      <w:pPr>
        <w:pStyle w:val="Heading2"/>
        <w:spacing w:after="100" w:before="260"/>
      </w:pPr>
      <w:r>
        <w:rPr>
          <w:b/>
          <w:bCs/>
          <w:color w:val="1F2A24"/>
          <w:sz w:val="24"/>
          <w:szCs w:val="24"/>
        </w:rPr>
        <w:t xml:space="preserve">2. Idempotency on Sync Operations</w:t>
      </w:r>
    </w:p>
    <w:p>
      <w:pPr>
        <w:spacing w:after="140"/>
      </w:pPr>
      <w:r>
        <w:rPr>
          <w:i w:val="false"/>
          <w:iCs w:val="false"/>
          <w:color w:val="1F2A24"/>
          <w:sz w:val="21"/>
          <w:szCs w:val="21"/>
        </w:rPr>
        <w:t xml:space="preserve">If a sync request times out and the client retries, does the server apply that operation twice? Not addressed.</w:t>
      </w:r>
    </w:p>
    <w:p>
      <w:pPr>
        <w:pStyle w:val="ListParagraph"/>
        <w:numPr>
          <w:ilvl w:val="0"/>
          <w:numId w:val="2"/>
        </w:numPr>
        <w:spacing w:after="90"/>
      </w:pPr>
      <w:r>
        <w:rPr>
          <w:color w:val="1F2A24"/>
          <w:sz w:val="21"/>
          <w:szCs w:val="21"/>
        </w:rPr>
        <w:t xml:space="preserve">Each queued operation already has an operation ID (per the spec) — use it as an idempotency key the server checks before applying, so retried operations are safely ignored if already processed.</w:t>
      </w:r>
    </w:p>
    <w:p>
      <w:pPr>
        <w:pStyle w:val="Heading2"/>
        <w:spacing w:after="100" w:before="260"/>
      </w:pPr>
      <w:r>
        <w:rPr>
          <w:b/>
          <w:bCs/>
          <w:color w:val="1F2A24"/>
          <w:sz w:val="24"/>
          <w:szCs w:val="24"/>
        </w:rPr>
        <w:t xml:space="preserve">3. Shared / Social Data Model</w:t>
      </w:r>
    </w:p>
    <w:p>
      <w:pPr>
        <w:spacing w:after="140"/>
      </w:pPr>
      <w:r>
        <w:rPr>
          <w:i w:val="false"/>
          <w:iCs w:val="false"/>
          <w:color w:val="1F2A24"/>
          <w:sz w:val="21"/>
          <w:szCs w:val="21"/>
        </w:rPr>
        <w:t xml:space="preserve">The product plan includes Friends, a status feed, and scoped chat — this is shared data between users, a fundamentally different access pattern than each user's private data, and the current architecture only really describes single-user sync.</w:t>
      </w:r>
    </w:p>
    <w:p>
      <w:pPr>
        <w:pStyle w:val="ListParagraph"/>
        <w:numPr>
          <w:ilvl w:val="0"/>
          <w:numId w:val="2"/>
        </w:numPr>
        <w:spacing w:after="90"/>
      </w:pPr>
      <w:r>
        <w:rPr>
          <w:color w:val="1F2A24"/>
          <w:sz w:val="21"/>
          <w:szCs w:val="21"/>
        </w:rPr>
        <w:t xml:space="preserve">Add an explicit section covering: how friend relationships are stored, who can read a given piece of status/chat data, and how this is enforced server-side (e.g. row-level security scoped by relationship, not just by owning user_id).</w:t>
      </w:r>
    </w:p>
    <w:p>
      <w:pPr>
        <w:pStyle w:val="Heading2"/>
        <w:spacing w:after="100" w:before="260"/>
      </w:pPr>
      <w:r>
        <w:rPr>
          <w:b/>
          <w:bCs/>
          <w:color w:val="1F2A24"/>
          <w:sz w:val="24"/>
          <w:szCs w:val="24"/>
        </w:rPr>
        <w:t xml:space="preserve">4. Object / Media Storage</w:t>
      </w:r>
    </w:p>
    <w:p>
      <w:pPr>
        <w:spacing w:after="140"/>
      </w:pPr>
      <w:r>
        <w:rPr>
          <w:i w:val="false"/>
          <w:iCs w:val="false"/>
          <w:color w:val="1F2A24"/>
          <w:sz w:val="21"/>
          <w:szCs w:val="21"/>
        </w:rPr>
        <w:t xml:space="preserve">Avatars, habit icons, workout images, and QR codes aren't addressed. Isar and Postgres aren't built for binary blobs at scale.</w:t>
      </w:r>
    </w:p>
    <w:p>
      <w:pPr>
        <w:pStyle w:val="ListParagraph"/>
        <w:numPr>
          <w:ilvl w:val="0"/>
          <w:numId w:val="2"/>
        </w:numPr>
        <w:spacing w:after="90"/>
      </w:pPr>
      <w:r>
        <w:rPr>
          <w:color w:val="1F2A24"/>
          <w:sz w:val="21"/>
          <w:szCs w:val="21"/>
        </w:rPr>
        <w:t xml:space="preserve">Add a dedicated object storage component (S3-compatible bucket, e.g. AWS S3, Cloudflare R2, or Supabase Storage) for media, with the database storing only a reference URL/key.</w:t>
      </w:r>
    </w:p>
    <w:p>
      <w:pPr>
        <w:pStyle w:val="Heading2"/>
        <w:spacing w:after="100" w:before="260"/>
      </w:pPr>
      <w:r>
        <w:rPr>
          <w:b/>
          <w:bCs/>
          <w:color w:val="1F2A24"/>
          <w:sz w:val="24"/>
          <w:szCs w:val="24"/>
        </w:rPr>
        <w:t xml:space="preserve">5. Push Notification Backend</w:t>
      </w:r>
    </w:p>
    <w:p>
      <w:pPr>
        <w:spacing w:after="140"/>
      </w:pPr>
      <w:r>
        <w:rPr>
          <w:i w:val="false"/>
          <w:iCs w:val="false"/>
          <w:color w:val="1F2A24"/>
          <w:sz w:val="21"/>
          <w:szCs w:val="21"/>
        </w:rPr>
        <w:t xml:space="preserve">Challenge Alarms, habit reminders, and friend nudges all require server-triggered push notifications — not currently in the architecture.</w:t>
      </w:r>
    </w:p>
    <w:p>
      <w:pPr>
        <w:pStyle w:val="ListParagraph"/>
        <w:numPr>
          <w:ilvl w:val="0"/>
          <w:numId w:val="2"/>
        </w:numPr>
        <w:spacing w:after="90"/>
      </w:pPr>
      <w:r>
        <w:rPr>
          <w:color w:val="1F2A24"/>
          <w:sz w:val="21"/>
          <w:szCs w:val="21"/>
        </w:rPr>
        <w:t xml:space="preserve">Add FCM (Android) and APNs (iOS) integration as an explicit backend component, triggered by the FastAPI backend on relevant events (reminder due, friend nudge sent, etc.).</w:t>
      </w:r>
    </w:p>
    <w:p>
      <w:pPr>
        <w:pStyle w:val="Heading2"/>
        <w:spacing w:after="100" w:before="260"/>
      </w:pPr>
      <w:r>
        <w:rPr>
          <w:b/>
          <w:bCs/>
          <w:color w:val="1F2A24"/>
          <w:sz w:val="24"/>
          <w:szCs w:val="24"/>
        </w:rPr>
        <w:t xml:space="preserve">6. AI Integration Point</w:t>
      </w:r>
    </w:p>
    <w:p>
      <w:pPr>
        <w:spacing w:after="140"/>
      </w:pPr>
      <w:r>
        <w:rPr>
          <w:i w:val="false"/>
          <w:iCs w:val="false"/>
          <w:color w:val="1F2A24"/>
          <w:sz w:val="21"/>
          <w:szCs w:val="21"/>
        </w:rPr>
        <w:t xml:space="preserve">The product plan's AI features (auto-categorized transactions, AI-generated weekly review, data-grounded chat) require the backend to call out to an LLM API somewhere — not addressed.</w:t>
      </w:r>
    </w:p>
    <w:p>
      <w:pPr>
        <w:pStyle w:val="ListParagraph"/>
        <w:numPr>
          <w:ilvl w:val="0"/>
          <w:numId w:val="2"/>
        </w:numPr>
        <w:spacing w:after="90"/>
      </w:pPr>
      <w:r>
        <w:rPr>
          <w:color w:val="1F2A24"/>
          <w:sz w:val="21"/>
          <w:szCs w:val="21"/>
        </w:rPr>
        <w:t xml:space="preserve">Add this as an explicit component: a backend service/endpoint that assembles the relevant user data, calls the LLM API, and returns the result — rather than letting it get bolted onto FastAPI ad hoc later.</w:t>
      </w:r>
    </w:p>
    <w:p>
      <w:pPr>
        <w:pStyle w:val="Heading2"/>
        <w:spacing w:after="100" w:before="260"/>
      </w:pPr>
      <w:r>
        <w:rPr>
          <w:b/>
          <w:bCs/>
          <w:color w:val="1F2A24"/>
          <w:sz w:val="24"/>
          <w:szCs w:val="24"/>
        </w:rPr>
        <w:t xml:space="preserve">7. Backup Encryption — key ownership is unclear</w:t>
      </w:r>
    </w:p>
    <w:p>
      <w:pPr>
        <w:spacing w:after="140"/>
      </w:pPr>
      <w:r>
        <w:rPr>
          <w:i w:val="false"/>
          <w:iCs w:val="false"/>
          <w:color w:val="1F2A24"/>
          <w:sz w:val="21"/>
          <w:szCs w:val="21"/>
        </w:rPr>
        <w:t xml:space="preserve">“Encrypted Google Drive backups” doesn't specify who holds the encryption key. This matters a lot given Finance data lives in that backup.</w:t>
      </w:r>
    </w:p>
    <w:p>
      <w:pPr>
        <w:pStyle w:val="ListParagraph"/>
        <w:numPr>
          <w:ilvl w:val="0"/>
          <w:numId w:val="2"/>
        </w:numPr>
        <w:spacing w:after="90"/>
      </w:pPr>
      <w:r>
        <w:rPr>
          <w:color w:val="1F2A24"/>
          <w:sz w:val="21"/>
          <w:szCs w:val="21"/>
        </w:rPr>
        <w:t xml:space="preserve">Decide and document explicitly: is the backup encrypted with a key derived from the user's own password/passphrase (user-controlled, more private, but unrecoverable if lost), or a key managed server-side (recoverable, but the server technically could decrypt it)? Pick one and state it — don't leave this implicit.</w:t>
      </w:r>
    </w:p>
    <w:p>
      <w:pPr>
        <w:pStyle w:val="Heading2"/>
        <w:spacing w:after="100" w:before="260"/>
      </w:pPr>
      <w:r>
        <w:rPr>
          <w:b/>
          <w:bCs/>
          <w:color w:val="1F2A24"/>
          <w:sz w:val="24"/>
          <w:szCs w:val="24"/>
        </w:rPr>
        <w:t xml:space="preserve">8. Rate Limiting / Abuse Protection</w:t>
      </w:r>
    </w:p>
    <w:p>
      <w:pPr>
        <w:spacing w:after="140"/>
      </w:pPr>
      <w:r>
        <w:rPr>
          <w:i w:val="false"/>
          <w:iCs w:val="false"/>
          <w:color w:val="1F2A24"/>
          <w:sz w:val="21"/>
          <w:szCs w:val="21"/>
        </w:rPr>
        <w:t xml:space="preserve">Not mentioned under Security in the original spec.</w:t>
      </w:r>
    </w:p>
    <w:p>
      <w:pPr>
        <w:pStyle w:val="ListParagraph"/>
        <w:numPr>
          <w:ilvl w:val="0"/>
          <w:numId w:val="2"/>
        </w:numPr>
        <w:spacing w:after="90"/>
      </w:pPr>
      <w:r>
        <w:rPr>
          <w:color w:val="1F2A24"/>
          <w:sz w:val="21"/>
          <w:szCs w:val="21"/>
        </w:rPr>
        <w:t xml:space="preserve">Add basic rate limiting on the FastAPI backend (per-user and per-IP) to protect authentication endpoints and sync endpoints from abuse.</w:t>
      </w:r>
    </w:p>
    <w:p>
      <w:pPr>
        <w:spacing w:after="160"/>
      </w:pPr>
    </w:p>
    <w:p>
      <w:pPr>
        <w:spacing w:after="140"/>
      </w:pPr>
      <w:r>
        <w:rPr>
          <w:i/>
          <w:iCs/>
          <w:color w:val="1F2A24"/>
          <w:sz w:val="21"/>
          <w:szCs w:val="21"/>
        </w:rPr>
        <w:t xml:space="preserve">Suggested priority: fix items 1–3 before writing any sync logic — conflict resolution especially, since retrofitting it after real user data exists is painful. Items 4–8 can be added to the spec now and implemented as their corresponding features (media uploads, notifications, AI features, backups) are actually built.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2026-07-22T07:06:09.124Z</dcterms:created>
  <dcterms:modified xsi:type="dcterms:W3CDTF">2026-07-22T07:06:09.135Z</dcterms:modified>
</cp:coreProperties>
</file>

<file path=docProps/custom.xml><?xml version="1.0" encoding="utf-8"?>
<Properties xmlns="http://schemas.openxmlformats.org/officeDocument/2006/custom-properties" xmlns:vt="http://schemas.openxmlformats.org/officeDocument/2006/docPropsVTypes"/>
</file>