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sz w:val="24"/>
        </w:rPr>
      </w:r>
    </w:p>
    <w:p>
      <w:pPr>
        <w:spacing w:after="120"/>
      </w:pPr>
      <w:r>
        <w:rPr>
          <w:b w:val="0"/>
          <w:i w:val="0"/>
          <w:sz w:val="24"/>
        </w:rPr>
      </w:r>
    </w:p>
    <w:p>
      <w:pPr>
        <w:spacing w:after="120"/>
      </w:pPr>
      <w:r>
        <w:rPr>
          <w:b w:val="0"/>
          <w:i w:val="0"/>
          <w:sz w:val="24"/>
        </w:rPr>
      </w:r>
    </w:p>
    <w:p>
      <w:pPr>
        <w:spacing w:after="120"/>
        <w:jc w:val="center"/>
      </w:pPr>
      <w:r>
        <w:rPr>
          <w:b/>
          <w:i w:val="0"/>
          <w:sz w:val="28"/>
        </w:rPr>
        <w:t>ASSIGNMENT SUBMISSION SHEET</w:t>
      </w:r>
    </w:p>
    <w:p>
      <w:pPr>
        <w:spacing w:after="120"/>
      </w:pPr>
      <w:r>
        <w:rPr>
          <w:b w:val="0"/>
          <w:i w:val="0"/>
          <w:sz w:val="24"/>
        </w:rPr>
      </w:r>
    </w:p>
    <w:p>
      <w:pPr>
        <w:spacing w:after="120"/>
      </w:pPr>
      <w:r>
        <w:rPr>
          <w:b w:val="0"/>
          <w:i w:val="0"/>
          <w:sz w:val="24"/>
        </w:rPr>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22"/>
              </w:rPr>
              <w:t>Field</w:t>
            </w:r>
          </w:p>
        </w:tc>
        <w:tc>
          <w:tcPr>
            <w:tcW w:type="dxa" w:w="4680"/>
          </w:tcPr>
          <w:p>
            <w:r/>
            <w:r>
              <w:rPr>
                <w:b/>
                <w:sz w:val="22"/>
              </w:rPr>
              <w:t>Detail</w:t>
            </w:r>
          </w:p>
        </w:tc>
      </w:tr>
      <w:tr>
        <w:tc>
          <w:tcPr>
            <w:tcW w:type="dxa" w:w="4680"/>
          </w:tcPr>
          <w:p>
            <w:r/>
            <w:r>
              <w:rPr>
                <w:sz w:val="22"/>
              </w:rPr>
              <w:t>Course Code</w:t>
            </w:r>
          </w:p>
        </w:tc>
        <w:tc>
          <w:tcPr>
            <w:tcW w:type="dxa" w:w="4680"/>
          </w:tcPr>
          <w:p>
            <w:r/>
            <w:r>
              <w:rPr>
                <w:sz w:val="22"/>
              </w:rPr>
              <w:t>[YOUR COURSE CODE]</w:t>
            </w:r>
          </w:p>
        </w:tc>
      </w:tr>
      <w:tr>
        <w:tc>
          <w:tcPr>
            <w:tcW w:type="dxa" w:w="4680"/>
          </w:tcPr>
          <w:p>
            <w:r/>
            <w:r>
              <w:rPr>
                <w:sz w:val="22"/>
              </w:rPr>
              <w:t>Course Title</w:t>
            </w:r>
          </w:p>
        </w:tc>
        <w:tc>
          <w:tcPr>
            <w:tcW w:type="dxa" w:w="4680"/>
          </w:tcPr>
          <w:p>
            <w:r/>
            <w:r>
              <w:rPr>
                <w:sz w:val="22"/>
              </w:rPr>
              <w:t>[YOUR COURSE TITLE]</w:t>
            </w:r>
          </w:p>
        </w:tc>
      </w:tr>
      <w:tr>
        <w:tc>
          <w:tcPr>
            <w:tcW w:type="dxa" w:w="4680"/>
          </w:tcPr>
          <w:p>
            <w:r/>
            <w:r>
              <w:rPr>
                <w:sz w:val="22"/>
              </w:rPr>
              <w:t>Lecturer</w:t>
            </w:r>
          </w:p>
        </w:tc>
        <w:tc>
          <w:tcPr>
            <w:tcW w:type="dxa" w:w="4680"/>
          </w:tcPr>
          <w:p>
            <w:r/>
            <w:r>
              <w:rPr>
                <w:sz w:val="22"/>
              </w:rPr>
              <w:t>[YOUR LECTURER NAME]</w:t>
            </w:r>
          </w:p>
        </w:tc>
      </w:tr>
      <w:tr>
        <w:tc>
          <w:tcPr>
            <w:tcW w:type="dxa" w:w="4680"/>
          </w:tcPr>
          <w:p>
            <w:r/>
            <w:r>
              <w:rPr>
                <w:sz w:val="22"/>
              </w:rPr>
              <w:t>Title of Assignment</w:t>
            </w:r>
          </w:p>
        </w:tc>
        <w:tc>
          <w:tcPr>
            <w:tcW w:type="dxa" w:w="4680"/>
          </w:tcPr>
          <w:p>
            <w:r/>
            <w:r>
              <w:rPr>
                <w:sz w:val="22"/>
              </w:rPr>
              <w:t>[ASSIGNMENT NUMBER / TITLE]</w:t>
            </w:r>
          </w:p>
        </w:tc>
      </w:tr>
      <w:tr>
        <w:tc>
          <w:tcPr>
            <w:tcW w:type="dxa" w:w="4680"/>
          </w:tcPr>
          <w:p>
            <w:r/>
            <w:r>
              <w:rPr>
                <w:sz w:val="22"/>
              </w:rPr>
              <w:t>Section</w:t>
            </w:r>
          </w:p>
        </w:tc>
        <w:tc>
          <w:tcPr>
            <w:tcW w:type="dxa" w:w="4680"/>
          </w:tcPr>
          <w:p>
            <w:r/>
            <w:r>
              <w:rPr>
                <w:sz w:val="22"/>
              </w:rPr>
              <w:t>[YOUR SECTION]</w:t>
            </w:r>
          </w:p>
        </w:tc>
      </w:tr>
      <w:tr>
        <w:tc>
          <w:tcPr>
            <w:tcW w:type="dxa" w:w="4680"/>
          </w:tcPr>
          <w:p>
            <w:r/>
            <w:r>
              <w:rPr>
                <w:sz w:val="22"/>
              </w:rPr>
              <w:t>Submission Date</w:t>
            </w:r>
          </w:p>
        </w:tc>
        <w:tc>
          <w:tcPr>
            <w:tcW w:type="dxa" w:w="4680"/>
          </w:tcPr>
          <w:p>
            <w:r/>
            <w:r>
              <w:rPr>
                <w:sz w:val="22"/>
              </w:rPr>
              <w:t>[DATE]</w:t>
            </w:r>
          </w:p>
        </w:tc>
      </w:tr>
    </w:tbl>
    <w:p/>
    <w:p>
      <w:pPr>
        <w:spacing w:after="120"/>
      </w:pPr>
      <w:r>
        <w:rPr>
          <w:b w:val="0"/>
          <w:i w:val="0"/>
          <w:sz w:val="24"/>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22"/>
              </w:rPr>
              <w:t>Student Name</w:t>
            </w:r>
          </w:p>
        </w:tc>
        <w:tc>
          <w:tcPr>
            <w:tcW w:type="dxa" w:w="3120"/>
          </w:tcPr>
          <w:p>
            <w:r/>
            <w:r>
              <w:rPr>
                <w:b/>
                <w:sz w:val="22"/>
              </w:rPr>
              <w:t>Matric Number</w:t>
            </w:r>
          </w:p>
        </w:tc>
        <w:tc>
          <w:tcPr>
            <w:tcW w:type="dxa" w:w="3120"/>
          </w:tcPr>
          <w:p>
            <w:r/>
            <w:r>
              <w:rPr>
                <w:b/>
                <w:sz w:val="22"/>
              </w:rPr>
              <w:t>Mobile Number</w:t>
            </w:r>
          </w:p>
        </w:tc>
      </w:tr>
      <w:tr>
        <w:tc>
          <w:tcPr>
            <w:tcW w:type="dxa" w:w="3120"/>
          </w:tcPr>
          <w:p>
            <w:r/>
            <w:r>
              <w:rPr>
                <w:sz w:val="22"/>
              </w:rPr>
              <w:t>NUR BADZLINA RAZI BINTI MOHAMED GAZALI</w:t>
            </w:r>
          </w:p>
        </w:tc>
        <w:tc>
          <w:tcPr>
            <w:tcW w:type="dxa" w:w="3120"/>
          </w:tcPr>
          <w:p>
            <w:r/>
            <w:r>
              <w:rPr>
                <w:sz w:val="22"/>
              </w:rPr>
              <w:t>MC251139118</w:t>
            </w:r>
          </w:p>
        </w:tc>
        <w:tc>
          <w:tcPr>
            <w:tcW w:type="dxa" w:w="3120"/>
          </w:tcPr>
          <w:p>
            <w:r/>
            <w:r>
              <w:rPr>
                <w:sz w:val="22"/>
              </w:rPr>
              <w:t>+60 18-278 0523</w:t>
            </w:r>
          </w:p>
        </w:tc>
      </w:tr>
    </w:tbl>
    <w:p/>
    <w:p>
      <w:r>
        <w:br w:type="page"/>
      </w:r>
    </w:p>
    <w:p>
      <w:pPr>
        <w:spacing w:after="120"/>
      </w:pPr>
      <w:r>
        <w:rPr>
          <w:b/>
          <w:i w:val="0"/>
          <w:sz w:val="28"/>
        </w:rPr>
        <w:t>Table of Contents</w:t>
      </w:r>
    </w:p>
    <w:p>
      <w:pPr>
        <w:spacing w:after="40"/>
      </w:pPr>
      <w:r>
        <w:t>1. Introduction</w:t>
      </w:r>
    </w:p>
    <w:p>
      <w:pPr>
        <w:spacing w:after="40"/>
      </w:pPr>
      <w:r>
        <w:t xml:space="preserve">    1.1 The Business</w:t>
      </w:r>
    </w:p>
    <w:p>
      <w:pPr>
        <w:spacing w:after="40"/>
      </w:pPr>
      <w:r>
        <w:t xml:space="preserve">    1.2 Project Objective</w:t>
      </w:r>
    </w:p>
    <w:p>
      <w:pPr>
        <w:spacing w:after="40"/>
      </w:pPr>
      <w:r>
        <w:t xml:space="preserve">    1.3 Roles and Responsibilities</w:t>
      </w:r>
    </w:p>
    <w:p>
      <w:pPr>
        <w:spacing w:after="40"/>
      </w:pPr>
      <w:r>
        <w:t xml:space="preserve">    1.4 Final Site Structure (22 Pages)</w:t>
      </w:r>
    </w:p>
    <w:p>
      <w:pPr>
        <w:spacing w:after="40"/>
      </w:pPr>
      <w:r>
        <w:t>2. Front-End Implementation</w:t>
      </w:r>
    </w:p>
    <w:p>
      <w:pPr>
        <w:spacing w:after="40"/>
      </w:pPr>
      <w:r>
        <w:t xml:space="preserve">    2.1 Visual Design and Branding</w:t>
      </w:r>
    </w:p>
    <w:p>
      <w:pPr>
        <w:spacing w:after="40"/>
      </w:pPr>
      <w:r>
        <w:t xml:space="preserve">    2.2 CSS Techniques and the Concepts They Demonstrate</w:t>
      </w:r>
    </w:p>
    <w:p>
      <w:pPr>
        <w:spacing w:after="40"/>
      </w:pPr>
      <w:r>
        <w:t xml:space="preserve">    2.3 Representative Example: the Pricing Toggle</w:t>
      </w:r>
    </w:p>
    <w:p>
      <w:pPr>
        <w:spacing w:after="40"/>
      </w:pPr>
      <w:r>
        <w:t xml:space="preserve">    2.4 Representative Example: the FAQ Accordion</w:t>
      </w:r>
    </w:p>
    <w:p>
      <w:pPr>
        <w:spacing w:after="40"/>
      </w:pPr>
      <w:r>
        <w:t>3. Form Validation</w:t>
      </w:r>
    </w:p>
    <w:p>
      <w:pPr>
        <w:spacing w:after="40"/>
      </w:pPr>
      <w:r>
        <w:t xml:space="preserve">    3.1 HTML5 Constraint Validation</w:t>
      </w:r>
    </w:p>
    <w:p>
      <w:pPr>
        <w:spacing w:after="40"/>
      </w:pPr>
      <w:r>
        <w:t xml:space="preserve">    3.2 CSS Validation Feedback</w:t>
      </w:r>
    </w:p>
    <w:p>
      <w:pPr>
        <w:spacing w:after="40"/>
      </w:pPr>
      <w:r>
        <w:t>4. Content and Media</w:t>
      </w:r>
    </w:p>
    <w:p>
      <w:pPr>
        <w:spacing w:after="40"/>
      </w:pPr>
      <w:r>
        <w:t>5. Accessibility and Web Standards</w:t>
      </w:r>
    </w:p>
    <w:p>
      <w:pPr>
        <w:spacing w:after="40"/>
      </w:pPr>
      <w:r>
        <w:t>6. Code Documentation and Maintainability</w:t>
      </w:r>
    </w:p>
    <w:p>
      <w:pPr>
        <w:spacing w:after="40"/>
      </w:pPr>
      <w:r>
        <w:t>7. Testing Evidence</w:t>
      </w:r>
    </w:p>
    <w:p>
      <w:pPr>
        <w:spacing w:after="40"/>
      </w:pPr>
      <w:r>
        <w:t>8. Conclusion</w:t>
      </w:r>
    </w:p>
    <w:p>
      <w:r>
        <w:br w:type="page"/>
      </w:r>
    </w:p>
    <w:p>
      <w:pPr>
        <w:spacing w:before="320" w:after="160"/>
      </w:pPr>
      <w:r>
        <w:rPr>
          <w:b/>
          <w:sz w:val="28"/>
        </w:rPr>
        <w:t>1. Introduction</w:t>
      </w:r>
    </w:p>
    <w:p>
      <w:pPr>
        <w:spacing w:before="200" w:after="80"/>
      </w:pPr>
      <w:r>
        <w:rPr>
          <w:b/>
          <w:sz w:val="24"/>
        </w:rPr>
        <w:t>1.1 The Business</w:t>
      </w:r>
    </w:p>
    <w:p>
      <w:pPr>
        <w:spacing w:after="120"/>
      </w:pPr>
      <w:r>
        <w:rPr>
          <w:b w:val="0"/>
          <w:i w:val="0"/>
          <w:sz w:val="24"/>
        </w:rPr>
        <w:t>Nova Badzlina Global is a content production business based in Kota Bharu, Kelantan, serving brands in Malaysia and internationally. It is owned and operated by a single creator working under the public name Ara Aranya. The business offers twenty-four services across four groups: short-form video (UGC Creator, Canvas UGC, Tech UGC, Mom UGC and content creation), live commerce (TikTok Live and Shopee Live hosting, and affiliate partnerships), photography (product, food, kids and family, and photo editing), and talent work (voice-over, paid and movie reviews, KOL and KOC campaigns, brand ambassadorship and commercial acting). The website is the primary marketing and lead-generation channel for the business, and doubles as the portfolio a brand is sent before booking.</w:t>
      </w:r>
    </w:p>
    <w:p>
      <w:pPr>
        <w:spacing w:before="200" w:after="80"/>
      </w:pPr>
      <w:r>
        <w:rPr>
          <w:b/>
          <w:sz w:val="24"/>
        </w:rPr>
        <w:t>1.2 Project Objective</w:t>
      </w:r>
    </w:p>
    <w:p>
      <w:pPr>
        <w:spacing w:after="120"/>
      </w:pPr>
      <w:r>
        <w:rPr>
          <w:b w:val="0"/>
          <w:i w:val="0"/>
          <w:sz w:val="24"/>
        </w:rPr>
        <w:t>The objective was to build a complete commercial website for the business using only HTML and CSS, with no JavaScript and no server-side code. This constraint was set at the outset and held throughout. It shaped every design decision in the project, because behaviour normally delegated to JavaScript had to be achieved through the HTML and CSS specifications themselves.</w:t>
      </w:r>
    </w:p>
    <w:p>
      <w:pPr>
        <w:spacing w:after="120"/>
      </w:pPr>
      <w:r>
        <w:rPr>
          <w:b w:val="0"/>
          <w:i w:val="0"/>
          <w:sz w:val="24"/>
        </w:rPr>
        <w:t>The requirements the site was built to satisfy were: a minimum of ten pages, a clear introduction to the business and its services, and a Contact Us page carrying the business address, contact number and email addresses, with form validation.</w:t>
      </w:r>
    </w:p>
    <w:p>
      <w:pPr>
        <w:spacing w:before="200" w:after="80"/>
      </w:pPr>
      <w:r>
        <w:rPr>
          <w:b/>
          <w:sz w:val="24"/>
        </w:rPr>
        <w:t>1.3 Roles and Responsibilities</w:t>
      </w:r>
    </w:p>
    <w:p>
      <w:pPr>
        <w:spacing w:after="120"/>
      </w:pPr>
      <w:r>
        <w:rPr>
          <w:b w:val="0"/>
          <w:i w:val="0"/>
          <w:sz w:val="24"/>
        </w:rPr>
        <w:t>This project was completed individually. All work described in this report — information architecture, visual design, HTML authoring, CSS authoring, content writing, media preparation, form design, validation, accessibility and testing — was carried out by the author. The site was additionally produced in two languages, English and Bahasa Melayu, which doubled the authoring workload but was retained because the business serves both local and international clients.</w:t>
      </w:r>
    </w:p>
    <w:p>
      <w:pPr>
        <w:spacing w:before="200" w:after="80"/>
      </w:pPr>
      <w:r>
        <w:rPr>
          <w:b/>
          <w:sz w:val="24"/>
        </w:rPr>
        <w:t>1.4 Final Site Structure (22 Pages)</w:t>
      </w:r>
    </w:p>
    <w:p>
      <w:pPr>
        <w:spacing w:after="120"/>
      </w:pPr>
      <w:r>
        <w:rPr>
          <w:b w:val="0"/>
          <w:i w:val="0"/>
          <w:sz w:val="24"/>
        </w:rPr>
        <w:t>The site contains 22 HTML pages: 11 in English and 11 in Bahasa Melayu. Every English page has a Bahasa Melayu counterpart, and a language switcher in the navigation links each page to its twin rather than returning the visitor to the home page.</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22"/>
              </w:rPr>
              <w:t>Page</w:t>
            </w:r>
          </w:p>
        </w:tc>
        <w:tc>
          <w:tcPr>
            <w:tcW w:type="dxa" w:w="4680"/>
          </w:tcPr>
          <w:p>
            <w:r/>
            <w:r>
              <w:rPr>
                <w:b/>
                <w:sz w:val="22"/>
              </w:rPr>
              <w:t>Purpose</w:t>
            </w:r>
          </w:p>
        </w:tc>
      </w:tr>
      <w:tr>
        <w:tc>
          <w:tcPr>
            <w:tcW w:type="dxa" w:w="4680"/>
          </w:tcPr>
          <w:p>
            <w:r/>
            <w:r>
              <w:rPr>
                <w:sz w:val="22"/>
              </w:rPr>
              <w:t>index.html</w:t>
            </w:r>
          </w:p>
        </w:tc>
        <w:tc>
          <w:tcPr>
            <w:tcW w:type="dxa" w:w="4680"/>
          </w:tcPr>
          <w:p>
            <w:r/>
            <w:r>
              <w:rPr>
                <w:sz w:val="22"/>
              </w:rPr>
              <w:t>Home — hero, introduction video, why the business, services, rates, downloads</w:t>
            </w:r>
          </w:p>
        </w:tc>
      </w:tr>
      <w:tr>
        <w:tc>
          <w:tcPr>
            <w:tcW w:type="dxa" w:w="4680"/>
          </w:tcPr>
          <w:p>
            <w:r/>
            <w:r>
              <w:rPr>
                <w:sz w:val="22"/>
              </w:rPr>
              <w:t>pricing.html</w:t>
            </w:r>
          </w:p>
        </w:tc>
        <w:tc>
          <w:tcPr>
            <w:tcW w:type="dxa" w:w="4680"/>
          </w:tcPr>
          <w:p>
            <w:r/>
            <w:r>
              <w:rPr>
                <w:sz w:val="22"/>
              </w:rPr>
              <w:t>Three service packages with a billing toggle and a feature comparison table</w:t>
            </w:r>
          </w:p>
        </w:tc>
      </w:tr>
      <w:tr>
        <w:tc>
          <w:tcPr>
            <w:tcW w:type="dxa" w:w="4680"/>
          </w:tcPr>
          <w:p>
            <w:r/>
            <w:r>
              <w:rPr>
                <w:sz w:val="22"/>
              </w:rPr>
              <w:t>work.html</w:t>
            </w:r>
          </w:p>
        </w:tc>
        <w:tc>
          <w:tcPr>
            <w:tcW w:type="dxa" w:w="4680"/>
          </w:tcPr>
          <w:p>
            <w:r/>
            <w:r>
              <w:rPr>
                <w:sz w:val="22"/>
              </w:rPr>
              <w:t>Portfolio — video gallery grouped by service, and a photography gallery</w:t>
            </w:r>
          </w:p>
        </w:tc>
      </w:tr>
      <w:tr>
        <w:tc>
          <w:tcPr>
            <w:tcW w:type="dxa" w:w="4680"/>
          </w:tcPr>
          <w:p>
            <w:r/>
            <w:r>
              <w:rPr>
                <w:sz w:val="22"/>
              </w:rPr>
              <w:t>voice.html</w:t>
            </w:r>
          </w:p>
        </w:tc>
        <w:tc>
          <w:tcPr>
            <w:tcW w:type="dxa" w:w="4680"/>
          </w:tcPr>
          <w:p>
            <w:r/>
            <w:r>
              <w:rPr>
                <w:sz w:val="22"/>
              </w:rPr>
              <w:t>Voice-over demo library with in-page audio players</w:t>
            </w:r>
          </w:p>
        </w:tc>
      </w:tr>
      <w:tr>
        <w:tc>
          <w:tcPr>
            <w:tcW w:type="dxa" w:w="4680"/>
          </w:tcPr>
          <w:p>
            <w:r/>
            <w:r>
              <w:rPr>
                <w:sz w:val="22"/>
              </w:rPr>
              <w:t>faq.html</w:t>
            </w:r>
          </w:p>
        </w:tc>
        <w:tc>
          <w:tcPr>
            <w:tcW w:type="dxa" w:w="4680"/>
          </w:tcPr>
          <w:p>
            <w:r/>
            <w:r>
              <w:rPr>
                <w:sz w:val="22"/>
              </w:rPr>
              <w:t>Seventeen frequently asked questions in an accordion</w:t>
            </w:r>
          </w:p>
        </w:tc>
      </w:tr>
      <w:tr>
        <w:tc>
          <w:tcPr>
            <w:tcW w:type="dxa" w:w="4680"/>
          </w:tcPr>
          <w:p>
            <w:r/>
            <w:r>
              <w:rPr>
                <w:sz w:val="22"/>
              </w:rPr>
              <w:t>book.html</w:t>
            </w:r>
          </w:p>
        </w:tc>
        <w:tc>
          <w:tcPr>
            <w:tcW w:type="dxa" w:w="4680"/>
          </w:tcPr>
          <w:p>
            <w:r/>
            <w:r>
              <w:rPr>
                <w:sz w:val="22"/>
              </w:rPr>
              <w:t>Full booking form with terms displayed before submission</w:t>
            </w:r>
          </w:p>
        </w:tc>
      </w:tr>
      <w:tr>
        <w:tc>
          <w:tcPr>
            <w:tcW w:type="dxa" w:w="4680"/>
          </w:tcPr>
          <w:p>
            <w:r/>
            <w:r>
              <w:rPr>
                <w:sz w:val="22"/>
              </w:rPr>
              <w:t>contact.html</w:t>
            </w:r>
          </w:p>
        </w:tc>
        <w:tc>
          <w:tcPr>
            <w:tcW w:type="dxa" w:w="4680"/>
          </w:tcPr>
          <w:p>
            <w:r/>
            <w:r>
              <w:rPr>
                <w:sz w:val="22"/>
              </w:rPr>
              <w:t>Address, telephone, email, and a validated enquiry form</w:t>
            </w:r>
          </w:p>
        </w:tc>
      </w:tr>
      <w:tr>
        <w:tc>
          <w:tcPr>
            <w:tcW w:type="dxa" w:w="4680"/>
          </w:tcPr>
          <w:p>
            <w:r/>
            <w:r>
              <w:rPr>
                <w:sz w:val="22"/>
              </w:rPr>
              <w:t>payment.html</w:t>
            </w:r>
          </w:p>
        </w:tc>
        <w:tc>
          <w:tcPr>
            <w:tcW w:type="dxa" w:w="4680"/>
          </w:tcPr>
          <w:p>
            <w:r/>
            <w:r>
              <w:rPr>
                <w:sz w:val="22"/>
              </w:rPr>
              <w:t>Payment methods, bank details and billing patterns</w:t>
            </w:r>
          </w:p>
        </w:tc>
      </w:tr>
      <w:tr>
        <w:tc>
          <w:tcPr>
            <w:tcW w:type="dxa" w:w="4680"/>
          </w:tcPr>
          <w:p>
            <w:r/>
            <w:r>
              <w:rPr>
                <w:sz w:val="22"/>
              </w:rPr>
              <w:t>contract.html</w:t>
            </w:r>
          </w:p>
        </w:tc>
        <w:tc>
          <w:tcPr>
            <w:tcW w:type="dxa" w:w="4680"/>
          </w:tcPr>
          <w:p>
            <w:r/>
            <w:r>
              <w:rPr>
                <w:sz w:val="22"/>
              </w:rPr>
              <w:t>The booking agreement, readable in the browser</w:t>
            </w:r>
          </w:p>
        </w:tc>
      </w:tr>
      <w:tr>
        <w:tc>
          <w:tcPr>
            <w:tcW w:type="dxa" w:w="4680"/>
          </w:tcPr>
          <w:p>
            <w:r/>
            <w:r>
              <w:rPr>
                <w:sz w:val="22"/>
              </w:rPr>
              <w:t>invoice.html</w:t>
            </w:r>
          </w:p>
        </w:tc>
        <w:tc>
          <w:tcPr>
            <w:tcW w:type="dxa" w:w="4680"/>
          </w:tcPr>
          <w:p>
            <w:r/>
            <w:r>
              <w:rPr>
                <w:sz w:val="22"/>
              </w:rPr>
              <w:t>Invoice template, print-formatted</w:t>
            </w:r>
          </w:p>
        </w:tc>
      </w:tr>
      <w:tr>
        <w:tc>
          <w:tcPr>
            <w:tcW w:type="dxa" w:w="4680"/>
          </w:tcPr>
          <w:p>
            <w:r/>
            <w:r>
              <w:rPr>
                <w:sz w:val="22"/>
              </w:rPr>
              <w:t>receipt.html</w:t>
            </w:r>
          </w:p>
        </w:tc>
        <w:tc>
          <w:tcPr>
            <w:tcW w:type="dxa" w:w="4680"/>
          </w:tcPr>
          <w:p>
            <w:r/>
            <w:r>
              <w:rPr>
                <w:sz w:val="22"/>
              </w:rPr>
              <w:t>Receipt template, print-formatted</w:t>
            </w:r>
          </w:p>
        </w:tc>
      </w:tr>
    </w:tbl>
    <w:p/>
    <w:p>
      <w:pPr>
        <w:spacing w:after="120"/>
      </w:pPr>
      <w:r>
        <w:rPr>
          <w:b w:val="0"/>
          <w:i w:val="0"/>
          <w:sz w:val="24"/>
        </w:rPr>
        <w:t>This satisfies the requirement for at least ten pages, a business introduction, and a validated Contact Us page containing the address, phone number and email addresses.</w:t>
      </w:r>
    </w:p>
    <w:p>
      <w:pPr>
        <w:spacing w:before="320" w:after="160"/>
      </w:pPr>
      <w:r>
        <w:rPr>
          <w:b/>
          <w:sz w:val="28"/>
        </w:rPr>
        <w:t>2. Front-End Implementation</w:t>
      </w:r>
    </w:p>
    <w:p>
      <w:pPr>
        <w:spacing w:before="200" w:after="80"/>
      </w:pPr>
      <w:r>
        <w:rPr>
          <w:b/>
          <w:sz w:val="24"/>
        </w:rPr>
        <w:t>2.1 Visual Design and Branding</w:t>
      </w:r>
    </w:p>
    <w:p>
      <w:pPr>
        <w:spacing w:after="120"/>
      </w:pPr>
      <w:r>
        <w:rPr>
          <w:b w:val="0"/>
          <w:i w:val="0"/>
          <w:sz w:val="24"/>
        </w:rPr>
        <w:t>The site uses a single external stylesheet of 1688 lines applied to all 22 pages. A design system is defined at the top of that file as 42 CSS custom properties covering colour, typography, spacing, shadows and easing curves. Because every rule references these variables rather than literal values, the entire site can be re-themed by editing one block — a change that was in fact carried out mid-project when the visual direction moved from a plum palette to the current midnight navy scheme.</w:t>
      </w:r>
    </w:p>
    <w:p>
      <w:pPr>
        <w:spacing w:after="120"/>
      </w:pPr>
      <w:r>
        <w:rPr>
          <w:b w:val="0"/>
          <w:i w:val="0"/>
          <w:sz w:val="24"/>
        </w:rPr>
        <w:t>The palette is built on a deep midnight navy canvas (#0B1233) with electric orchid purple used for atmospheric glows, a graded family of pinks from soft to dark for decorative detail, and a liquid gold gradient reserved for headings and primary buttons. Typography pairs a high-contrast serif for headlines with a geometric sans for body text and a French script face used sparingly for accents.</w:t>
      </w:r>
    </w:p>
    <w:p>
      <w:pPr>
        <w:spacing w:after="120"/>
      </w:pPr>
      <w:r>
        <w:rPr>
          <w:b w:val="0"/>
          <w:i w:val="0"/>
          <w:sz w:val="24"/>
        </w:rPr>
        <w:t>The brand mark is a monogram delivered as inline SVG in the page and as an SVG data URI for the favicon. Using vector rather than raster means it stays sharp at any size and on high-density displays, and embedding the favicon as a data URI removes an HTTP request entirely.</w:t>
      </w:r>
    </w:p>
    <w:p>
      <w:pPr>
        <w:spacing w:before="200" w:after="80"/>
      </w:pPr>
      <w:r>
        <w:rPr>
          <w:b/>
          <w:sz w:val="24"/>
        </w:rPr>
        <w:t>2.2 CSS Techniques and the Concepts They Demonstrate</w:t>
      </w:r>
    </w:p>
    <w:p>
      <w:pPr>
        <w:spacing w:after="120"/>
      </w:pPr>
      <w:r>
        <w:rPr>
          <w:b w:val="0"/>
          <w:i w:val="0"/>
          <w:sz w:val="24"/>
        </w:rPr>
        <w:t>With JavaScript excluded, interactive behaviour had to be expressed in CSS and in the semantics of HTML itself. The table below lists the interactive features on the site and the technique each one demonstrates.</w:t>
      </w:r>
    </w:p>
    <w:tbl>
      <w:tblPr>
        <w:tblStyle w:val="TableGrid"/>
        <w:tblW w:type="auto" w:w="0"/>
        <w:jc w:val="center"/>
        <w:tblLook w:firstColumn="1" w:firstRow="1" w:lastColumn="0" w:lastRow="0" w:noHBand="0" w:noVBand="1" w:val="04A0"/>
      </w:tblPr>
      <w:tblGrid>
        <w:gridCol w:w="4680"/>
        <w:gridCol w:w="4680"/>
      </w:tblGrid>
      <w:tr>
        <w:tc>
          <w:tcPr>
            <w:tcW w:type="dxa" w:w="4680"/>
          </w:tcPr>
          <w:p>
            <w:r/>
            <w:r>
              <w:rPr>
                <w:b/>
                <w:sz w:val="22"/>
              </w:rPr>
              <w:t>Feature (page)</w:t>
            </w:r>
          </w:p>
        </w:tc>
        <w:tc>
          <w:tcPr>
            <w:tcW w:type="dxa" w:w="4680"/>
          </w:tcPr>
          <w:p>
            <w:r/>
            <w:r>
              <w:rPr>
                <w:b/>
                <w:sz w:val="22"/>
              </w:rPr>
              <w:t>Technique demonstrated</w:t>
            </w:r>
          </w:p>
        </w:tc>
      </w:tr>
      <w:tr>
        <w:tc>
          <w:tcPr>
            <w:tcW w:type="dxa" w:w="4680"/>
          </w:tcPr>
          <w:p>
            <w:r/>
            <w:r>
              <w:rPr>
                <w:sz w:val="22"/>
              </w:rPr>
              <w:t>Billing toggle (Pricing)</w:t>
            </w:r>
          </w:p>
        </w:tc>
        <w:tc>
          <w:tcPr>
            <w:tcW w:type="dxa" w:w="4680"/>
          </w:tcPr>
          <w:p>
            <w:r/>
            <w:r>
              <w:rPr>
                <w:sz w:val="22"/>
              </w:rPr>
              <w:t>Hidden radio inputs, :checked pseudo-class, general sibling combinator</w:t>
            </w:r>
          </w:p>
        </w:tc>
      </w:tr>
      <w:tr>
        <w:tc>
          <w:tcPr>
            <w:tcW w:type="dxa" w:w="4680"/>
          </w:tcPr>
          <w:p>
            <w:r/>
            <w:r>
              <w:rPr>
                <w:sz w:val="22"/>
              </w:rPr>
              <w:t>FAQ accordion (FAQ)</w:t>
            </w:r>
          </w:p>
        </w:tc>
        <w:tc>
          <w:tcPr>
            <w:tcW w:type="dxa" w:w="4680"/>
          </w:tcPr>
          <w:p>
            <w:r/>
            <w:r>
              <w:rPr>
                <w:sz w:val="22"/>
              </w:rPr>
              <w:t>Native &lt;details&gt; and &lt;summary&gt; elements, ::marker suppression</w:t>
            </w:r>
          </w:p>
        </w:tc>
      </w:tr>
      <w:tr>
        <w:tc>
          <w:tcPr>
            <w:tcW w:type="dxa" w:w="4680"/>
          </w:tcPr>
          <w:p>
            <w:r/>
            <w:r>
              <w:rPr>
                <w:sz w:val="22"/>
              </w:rPr>
              <w:t>Image carousel (Home)</w:t>
            </w:r>
          </w:p>
        </w:tc>
        <w:tc>
          <w:tcPr>
            <w:tcW w:type="dxa" w:w="4680"/>
          </w:tcPr>
          <w:p>
            <w:r/>
            <w:r>
              <w:rPr>
                <w:sz w:val="22"/>
              </w:rPr>
              <w:t>Radio inputs with &lt;label for&gt; acting as controls, sibling selectors</w:t>
            </w:r>
          </w:p>
        </w:tc>
      </w:tr>
      <w:tr>
        <w:tc>
          <w:tcPr>
            <w:tcW w:type="dxa" w:w="4680"/>
          </w:tcPr>
          <w:p>
            <w:r/>
            <w:r>
              <w:rPr>
                <w:sz w:val="22"/>
              </w:rPr>
              <w:t>Payment method tabs (Payment)</w:t>
            </w:r>
          </w:p>
        </w:tc>
        <w:tc>
          <w:tcPr>
            <w:tcW w:type="dxa" w:w="4680"/>
          </w:tcPr>
          <w:p>
            <w:r/>
            <w:r>
              <w:rPr>
                <w:sz w:val="22"/>
              </w:rPr>
              <w:t>Same radio-and-label pattern applied to panel switching</w:t>
            </w:r>
          </w:p>
        </w:tc>
      </w:tr>
      <w:tr>
        <w:tc>
          <w:tcPr>
            <w:tcW w:type="dxa" w:w="4680"/>
          </w:tcPr>
          <w:p>
            <w:r/>
            <w:r>
              <w:rPr>
                <w:sz w:val="22"/>
              </w:rPr>
              <w:t>Form validation feedback (Contact)</w:t>
            </w:r>
          </w:p>
        </w:tc>
        <w:tc>
          <w:tcPr>
            <w:tcW w:type="dxa" w:w="4680"/>
          </w:tcPr>
          <w:p>
            <w:r/>
            <w:r>
              <w:rPr>
                <w:sz w:val="22"/>
              </w:rPr>
              <w:t>:user-invalid and :user-valid pseudo-classes</w:t>
            </w:r>
          </w:p>
        </w:tc>
      </w:tr>
      <w:tr>
        <w:tc>
          <w:tcPr>
            <w:tcW w:type="dxa" w:w="4680"/>
          </w:tcPr>
          <w:p>
            <w:r/>
            <w:r>
              <w:rPr>
                <w:sz w:val="22"/>
              </w:rPr>
              <w:t>Scroll-reveal animations (all)</w:t>
            </w:r>
          </w:p>
        </w:tc>
        <w:tc>
          <w:tcPr>
            <w:tcW w:type="dxa" w:w="4680"/>
          </w:tcPr>
          <w:p>
            <w:r/>
            <w:r>
              <w:rPr>
                <w:sz w:val="22"/>
              </w:rPr>
              <w:t>animation-timeline: view(), gated behind @supports</w:t>
            </w:r>
          </w:p>
        </w:tc>
      </w:tr>
      <w:tr>
        <w:tc>
          <w:tcPr>
            <w:tcW w:type="dxa" w:w="4680"/>
          </w:tcPr>
          <w:p>
            <w:r/>
            <w:r>
              <w:rPr>
                <w:sz w:val="22"/>
              </w:rPr>
              <w:t>Hover states on cards (all)</w:t>
            </w:r>
          </w:p>
        </w:tc>
        <w:tc>
          <w:tcPr>
            <w:tcW w:type="dxa" w:w="4680"/>
          </w:tcPr>
          <w:p>
            <w:r/>
            <w:r>
              <w:rPr>
                <w:sz w:val="22"/>
              </w:rPr>
              <w:t>Layered box-shadow, transform, transition</w:t>
            </w:r>
          </w:p>
        </w:tc>
      </w:tr>
      <w:tr>
        <w:tc>
          <w:tcPr>
            <w:tcW w:type="dxa" w:w="4680"/>
          </w:tcPr>
          <w:p>
            <w:r/>
            <w:r>
              <w:rPr>
                <w:sz w:val="22"/>
              </w:rPr>
              <w:t>Responsive layout (all)</w:t>
            </w:r>
          </w:p>
        </w:tc>
        <w:tc>
          <w:tcPr>
            <w:tcW w:type="dxa" w:w="4680"/>
          </w:tcPr>
          <w:p>
            <w:r/>
            <w:r>
              <w:rPr>
                <w:sz w:val="22"/>
              </w:rPr>
              <w:t>CSS Grid auto-fit with minmax(), Flexbox, 7 media queries</w:t>
            </w:r>
          </w:p>
        </w:tc>
      </w:tr>
      <w:tr>
        <w:tc>
          <w:tcPr>
            <w:tcW w:type="dxa" w:w="4680"/>
          </w:tcPr>
          <w:p>
            <w:r/>
            <w:r>
              <w:rPr>
                <w:sz w:val="22"/>
              </w:rPr>
              <w:t>Print layouts (documents)</w:t>
            </w:r>
          </w:p>
        </w:tc>
        <w:tc>
          <w:tcPr>
            <w:tcW w:type="dxa" w:w="4680"/>
          </w:tcPr>
          <w:p>
            <w:r/>
            <w:r>
              <w:rPr>
                <w:sz w:val="22"/>
              </w:rPr>
              <w:t>@page sizing, page-break control, print-color-adjust</w:t>
            </w:r>
          </w:p>
        </w:tc>
      </w:tr>
    </w:tbl>
    <w:p/>
    <w:p>
      <w:pPr>
        <w:spacing w:after="120"/>
      </w:pPr>
      <w:r>
        <w:rPr>
          <w:b w:val="0"/>
          <w:i w:val="0"/>
          <w:sz w:val="24"/>
        </w:rPr>
        <w:t>The stylesheet contains 34 Flexbox rules, 41 Grid rules and 10 keyframe animations. Layout is handled predominantly by Grid using auto-fit and minmax(), which allows most of the site to reflow across screen sizes without a media query at all; the 7 media queries present handle only the cases where the layout must change structurally rather than simply reflow.</w:t>
      </w:r>
    </w:p>
    <w:p>
      <w:pPr>
        <w:spacing w:before="200" w:after="80"/>
      </w:pPr>
      <w:r>
        <w:rPr>
          <w:b/>
          <w:sz w:val="24"/>
        </w:rPr>
        <w:t>2.3 Representative Example: the Pricing Toggle</w:t>
      </w:r>
    </w:p>
    <w:p>
      <w:pPr>
        <w:spacing w:after="120"/>
      </w:pPr>
      <w:r>
        <w:rPr>
          <w:b w:val="0"/>
          <w:i w:val="0"/>
          <w:sz w:val="24"/>
        </w:rPr>
        <w:t>The pricing page lets a visitor switch every price on the page between monthly and three-month billing. This is conventionally a JavaScript task. It is achieved here with two hidden radio inputs placed before the content they control, and the general sibling combinator:</w:t>
      </w:r>
    </w:p>
    <w:p>
      <w:pPr>
        <w:spacing w:after="160"/>
        <w:ind w:left="454"/>
      </w:pPr>
      <w:r>
        <w:rPr>
          <w:rFonts w:ascii="Consolas" w:hAnsi="Consolas"/>
          <w:sz w:val="19"/>
        </w:rPr>
        <w:t>&lt;input type="radio" name="billing" id="bill-month" checked /&gt;</w:t>
        <w:br/>
        <w:t>&lt;input type="radio" name="billing" id="bill-quarter" /&gt;</w:t>
        <w:br/>
        <w:br/>
        <w:t>.price__q { display: none; }</w:t>
        <w:br/>
        <w:t>#bill-quarter:checked ~ * .price__m { display: none; }</w:t>
        <w:br/>
        <w:t>#bill-quarter:checked ~ * .price__q { display: block; }</w:t>
      </w:r>
    </w:p>
    <w:p>
      <w:pPr>
        <w:spacing w:after="120"/>
      </w:pPr>
      <w:r>
        <w:rPr>
          <w:b w:val="0"/>
          <w:i w:val="0"/>
          <w:sz w:val="24"/>
        </w:rPr>
        <w:t>The radios must appear before the priced content in source order, because the sibling combinator can only look forward. They are removed from view with a clip-path rather than display:none, so they remain focusable by keyboard and operable by screen reader.</w:t>
      </w:r>
    </w:p>
    <w:p>
      <w:pPr>
        <w:spacing w:before="200" w:after="80"/>
      </w:pPr>
      <w:r>
        <w:rPr>
          <w:b/>
          <w:sz w:val="24"/>
        </w:rPr>
        <w:t>2.4 Representative Example: the FAQ Accordion</w:t>
      </w:r>
    </w:p>
    <w:p>
      <w:pPr>
        <w:spacing w:after="120"/>
      </w:pPr>
      <w:r>
        <w:rPr>
          <w:b w:val="0"/>
          <w:i w:val="0"/>
          <w:sz w:val="24"/>
        </w:rPr>
        <w:t>The FAQ uses the native &lt;details&gt; element rather than any scripted show-hide. The browser provides the open and close behaviour, the correct ARIA semantics and keyboard support with no author code at all. CSS only styles it:</w:t>
      </w:r>
    </w:p>
    <w:p>
      <w:pPr>
        <w:spacing w:after="160"/>
        <w:ind w:left="454"/>
      </w:pPr>
      <w:r>
        <w:rPr>
          <w:rFonts w:ascii="Consolas" w:hAnsi="Consolas"/>
          <w:sz w:val="19"/>
        </w:rPr>
        <w:t>.faq summary::after { content: "+"; }</w:t>
        <w:br/>
        <w:t>.faq details[open] summary::after { content: "−"; }</w:t>
        <w:br/>
        <w:t>.faq details[open] { border-color: var(--pink); }</w:t>
      </w:r>
    </w:p>
    <w:p>
      <w:pPr>
        <w:spacing w:after="120"/>
      </w:pPr>
      <w:r>
        <w:rPr>
          <w:b w:val="0"/>
          <w:i w:val="0"/>
          <w:sz w:val="24"/>
        </w:rPr>
        <w:t>Choosing the native element over a scripted accordion means the feature works with JavaScript disabled, is announced correctly by assistive technology, and required roughly a dozen lines of CSS rather than a scripted component.</w:t>
      </w:r>
    </w:p>
    <w:p>
      <w:pPr>
        <w:spacing w:before="320" w:after="160"/>
      </w:pPr>
      <w:r>
        <w:rPr>
          <w:b/>
          <w:sz w:val="28"/>
        </w:rPr>
        <w:t>3. Form Validation</w:t>
      </w:r>
    </w:p>
    <w:p>
      <w:pPr>
        <w:spacing w:after="120"/>
      </w:pPr>
      <w:r>
        <w:rPr>
          <w:b w:val="0"/>
          <w:i w:val="0"/>
          <w:sz w:val="24"/>
        </w:rPr>
        <w:t>The site contains 4 forms carrying 40 required fields and 120 correctly associated &lt;label for&gt; elements. Validation is implemented in two layers, neither of which is JavaScript.</w:t>
      </w:r>
    </w:p>
    <w:p>
      <w:pPr>
        <w:spacing w:before="200" w:after="80"/>
      </w:pPr>
      <w:r>
        <w:rPr>
          <w:b/>
          <w:sz w:val="24"/>
        </w:rPr>
        <w:t>3.1 HTML5 Constraint Validation</w:t>
      </w:r>
    </w:p>
    <w:p>
      <w:pPr>
        <w:spacing w:after="120"/>
      </w:pPr>
      <w:r>
        <w:rPr>
          <w:b w:val="0"/>
          <w:i w:val="0"/>
          <w:sz w:val="24"/>
        </w:rPr>
        <w:t>Each field declares its own rule as an attribute. The browser enforces these natively and refuses to submit the form until they are satisfied.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22"/>
              </w:rPr>
              <w:t>Field</w:t>
            </w:r>
          </w:p>
        </w:tc>
        <w:tc>
          <w:tcPr>
            <w:tcW w:type="dxa" w:w="3120"/>
          </w:tcPr>
          <w:p>
            <w:r/>
            <w:r>
              <w:rPr>
                <w:b/>
                <w:sz w:val="22"/>
              </w:rPr>
              <w:t>Constraint</w:t>
            </w:r>
          </w:p>
        </w:tc>
        <w:tc>
          <w:tcPr>
            <w:tcW w:type="dxa" w:w="3120"/>
          </w:tcPr>
          <w:p>
            <w:r/>
            <w:r>
              <w:rPr>
                <w:b/>
                <w:sz w:val="22"/>
              </w:rPr>
              <w:t>Rejects</w:t>
            </w:r>
          </w:p>
        </w:tc>
      </w:tr>
      <w:tr>
        <w:tc>
          <w:tcPr>
            <w:tcW w:type="dxa" w:w="3120"/>
          </w:tcPr>
          <w:p>
            <w:r/>
            <w:r>
              <w:rPr>
                <w:sz w:val="22"/>
              </w:rPr>
              <w:t>Name</w:t>
            </w:r>
          </w:p>
        </w:tc>
        <w:tc>
          <w:tcPr>
            <w:tcW w:type="dxa" w:w="3120"/>
          </w:tcPr>
          <w:p>
            <w:r/>
            <w:r>
              <w:rPr>
                <w:sz w:val="22"/>
              </w:rPr>
              <w:t>required, minlength="2", maxlength="80"</w:t>
            </w:r>
          </w:p>
        </w:tc>
        <w:tc>
          <w:tcPr>
            <w:tcW w:type="dxa" w:w="3120"/>
          </w:tcPr>
          <w:p>
            <w:r/>
            <w:r>
              <w:rPr>
                <w:sz w:val="22"/>
              </w:rPr>
              <w:t>Empty or single-character entries</w:t>
            </w:r>
          </w:p>
        </w:tc>
      </w:tr>
      <w:tr>
        <w:tc>
          <w:tcPr>
            <w:tcW w:type="dxa" w:w="3120"/>
          </w:tcPr>
          <w:p>
            <w:r/>
            <w:r>
              <w:rPr>
                <w:sz w:val="22"/>
              </w:rPr>
              <w:t>Email</w:t>
            </w:r>
          </w:p>
        </w:tc>
        <w:tc>
          <w:tcPr>
            <w:tcW w:type="dxa" w:w="3120"/>
          </w:tcPr>
          <w:p>
            <w:r/>
            <w:r>
              <w:rPr>
                <w:sz w:val="22"/>
              </w:rPr>
              <w:t>type="email", required</w:t>
            </w:r>
          </w:p>
        </w:tc>
        <w:tc>
          <w:tcPr>
            <w:tcW w:type="dxa" w:w="3120"/>
          </w:tcPr>
          <w:p>
            <w:r/>
            <w:r>
              <w:rPr>
                <w:sz w:val="22"/>
              </w:rPr>
              <w:t>Anything not shaped like an address</w:t>
            </w:r>
          </w:p>
        </w:tc>
      </w:tr>
      <w:tr>
        <w:tc>
          <w:tcPr>
            <w:tcW w:type="dxa" w:w="3120"/>
          </w:tcPr>
          <w:p>
            <w:r/>
            <w:r>
              <w:rPr>
                <w:sz w:val="22"/>
              </w:rPr>
              <w:t>Phone</w:t>
            </w:r>
          </w:p>
        </w:tc>
        <w:tc>
          <w:tcPr>
            <w:tcW w:type="dxa" w:w="3120"/>
          </w:tcPr>
          <w:p>
            <w:r/>
            <w:r>
              <w:rPr>
                <w:sz w:val="22"/>
              </w:rPr>
              <w:t>required, pattern="[0-9+\-\s\(\)]{8,20}"</w:t>
            </w:r>
          </w:p>
        </w:tc>
        <w:tc>
          <w:tcPr>
            <w:tcW w:type="dxa" w:w="3120"/>
          </w:tcPr>
          <w:p>
            <w:r/>
            <w:r>
              <w:rPr>
                <w:sz w:val="22"/>
              </w:rPr>
              <w:t>Letters, symbols, entries under 8 characters</w:t>
            </w:r>
          </w:p>
        </w:tc>
      </w:tr>
      <w:tr>
        <w:tc>
          <w:tcPr>
            <w:tcW w:type="dxa" w:w="3120"/>
          </w:tcPr>
          <w:p>
            <w:r/>
            <w:r>
              <w:rPr>
                <w:sz w:val="22"/>
              </w:rPr>
              <w:t>Subject</w:t>
            </w:r>
          </w:p>
        </w:tc>
        <w:tc>
          <w:tcPr>
            <w:tcW w:type="dxa" w:w="3120"/>
          </w:tcPr>
          <w:p>
            <w:r/>
            <w:r>
              <w:rPr>
                <w:sz w:val="22"/>
              </w:rPr>
              <w:t>required (select)</w:t>
            </w:r>
          </w:p>
        </w:tc>
        <w:tc>
          <w:tcPr>
            <w:tcW w:type="dxa" w:w="3120"/>
          </w:tcPr>
          <w:p>
            <w:r/>
            <w:r>
              <w:rPr>
                <w:sz w:val="22"/>
              </w:rPr>
              <w:t>Submission with nothing chosen</w:t>
            </w:r>
          </w:p>
        </w:tc>
      </w:tr>
      <w:tr>
        <w:tc>
          <w:tcPr>
            <w:tcW w:type="dxa" w:w="3120"/>
          </w:tcPr>
          <w:p>
            <w:r/>
            <w:r>
              <w:rPr>
                <w:sz w:val="22"/>
              </w:rPr>
              <w:t>Message</w:t>
            </w:r>
          </w:p>
        </w:tc>
        <w:tc>
          <w:tcPr>
            <w:tcW w:type="dxa" w:w="3120"/>
          </w:tcPr>
          <w:p>
            <w:r/>
            <w:r>
              <w:rPr>
                <w:sz w:val="22"/>
              </w:rPr>
              <w:t>required, minlength="20"</w:t>
            </w:r>
          </w:p>
        </w:tc>
        <w:tc>
          <w:tcPr>
            <w:tcW w:type="dxa" w:w="3120"/>
          </w:tcPr>
          <w:p>
            <w:r/>
            <w:r>
              <w:rPr>
                <w:sz w:val="22"/>
              </w:rPr>
              <w:t>Empty or very short messages</w:t>
            </w:r>
          </w:p>
        </w:tc>
      </w:tr>
      <w:tr>
        <w:tc>
          <w:tcPr>
            <w:tcW w:type="dxa" w:w="3120"/>
          </w:tcPr>
          <w:p>
            <w:r/>
            <w:r>
              <w:rPr>
                <w:sz w:val="22"/>
              </w:rPr>
              <w:t>Consent</w:t>
            </w:r>
          </w:p>
        </w:tc>
        <w:tc>
          <w:tcPr>
            <w:tcW w:type="dxa" w:w="3120"/>
          </w:tcPr>
          <w:p>
            <w:r/>
            <w:r>
              <w:rPr>
                <w:sz w:val="22"/>
              </w:rPr>
              <w:t>required (checkbox)</w:t>
            </w:r>
          </w:p>
        </w:tc>
        <w:tc>
          <w:tcPr>
            <w:tcW w:type="dxa" w:w="3120"/>
          </w:tcPr>
          <w:p>
            <w:r/>
            <w:r>
              <w:rPr>
                <w:sz w:val="22"/>
              </w:rPr>
              <w:t>Submission without agreement</w:t>
            </w:r>
          </w:p>
        </w:tc>
      </w:tr>
    </w:tbl>
    <w:p/>
    <w:p>
      <w:pPr>
        <w:spacing w:after="120"/>
      </w:pPr>
      <w:r>
        <w:rPr>
          <w:b w:val="0"/>
          <w:i w:val="0"/>
          <w:sz w:val="24"/>
        </w:rPr>
        <w:t>One defect was found and corrected during testing. The phone pattern was originally written [0-9+\-\s()]{8,20}. Current versions of Chrome compile the pattern attribute with the regular-expression v flag, under which an unescaped parenthesis inside a character class is a syntax error — and an invalid pattern is silently ignored rather than reported. The field therefore accepted any input at all while appearing to be validated. Escaping the parentheses restored the constraint. This is documented here because the failure was invisible: nothing appeared in the console, and the form looked correct until it was tested with deliberately invalid data.</w:t>
      </w:r>
    </w:p>
    <w:p>
      <w:pPr>
        <w:spacing w:before="200" w:after="80"/>
      </w:pPr>
      <w:r>
        <w:rPr>
          <w:b/>
          <w:sz w:val="24"/>
        </w:rPr>
        <w:t>3.2 CSS Validation Feedback</w:t>
      </w:r>
    </w:p>
    <w:p>
      <w:pPr>
        <w:spacing w:after="120"/>
      </w:pPr>
      <w:r>
        <w:rPr>
          <w:b w:val="0"/>
          <w:i w:val="0"/>
          <w:sz w:val="24"/>
        </w:rPr>
        <w:t>Native browser messages appear only on submission. To give feedback as the visitor works, the :user-invalid and :user-valid pseudo-classes are used. These match only after the user has actually interacted with a field, so nothing turns red before anything has been typed:</w:t>
      </w:r>
    </w:p>
    <w:p>
      <w:pPr>
        <w:spacing w:after="160"/>
        <w:ind w:left="454"/>
      </w:pPr>
      <w:r>
        <w:rPr>
          <w:rFonts w:ascii="Consolas" w:hAnsi="Consolas"/>
          <w:sz w:val="19"/>
        </w:rPr>
        <w:t>.form input:user-invalid { border-color: #ff6fa5; }</w:t>
        <w:br/>
        <w:t>.form input:user-invalid ~ .field__err { display: block; }</w:t>
        <w:br/>
        <w:t>.form input:user-valid   { border-color: var(--gold-deep); }</w:t>
        <w:br/>
        <w:br/>
        <w:t>@supports not selector(:user-invalid) {</w:t>
        <w:br/>
        <w:t xml:space="preserve">  .form input:not(:placeholder-shown):invalid { border-color: #ff6fa5; }</w:t>
        <w:br/>
        <w:t>}</w:t>
      </w:r>
    </w:p>
    <w:p>
      <w:pPr>
        <w:spacing w:after="120"/>
      </w:pPr>
      <w:r>
        <w:rPr>
          <w:b w:val="0"/>
          <w:i w:val="0"/>
          <w:sz w:val="24"/>
        </w:rPr>
        <w:t>A @supports block provides a fallback for browsers without :user-invalid, using :not(:placeholder-shown):invalid so that a field is only flagged once it contains something.</w:t>
      </w:r>
    </w:p>
    <w:p>
      <w:pPr>
        <w:spacing w:after="120"/>
      </w:pPr>
      <w:r>
        <w:rPr>
          <w:b w:val="0"/>
          <w:i w:val="0"/>
          <w:sz w:val="24"/>
        </w:rPr>
        <w:t>Because the project excludes server-side code, the form action is a mailto: URL, which opens the visitor's own mail client with the fields populated. This is the only submission mechanism available without a backend, and its limitation is stated on the page itself so a visitor is not misled into thinking the message was transmitted by the website.</w:t>
      </w:r>
    </w:p>
    <w:p>
      <w:pPr>
        <w:spacing w:before="320" w:after="160"/>
      </w:pPr>
      <w:r>
        <w:rPr>
          <w:b/>
          <w:sz w:val="28"/>
        </w:rPr>
        <w:t>4. Content and Media</w:t>
      </w:r>
    </w:p>
    <w:p>
      <w:pPr>
        <w:spacing w:after="120"/>
      </w:pPr>
      <w:r>
        <w:rPr>
          <w:b w:val="0"/>
          <w:i w:val="0"/>
          <w:sz w:val="24"/>
        </w:rPr>
        <w:t>The site presents 38 images, 56 video players and 44 audio players. Video is served two ways: twelve pieces are embedded from YouTube using &lt;iframe&gt;, and the remainder are local &lt;video&gt; elements. The split exists for a practical reason — the source files are full HD and several exceed 100 MB, which is beyond the per-file limit of free static hosting, so those pieces were uploaded to YouTube as unlisted videos and embedded. An &lt;iframe&gt; is plain HTML and does not breach the no-JavaScript constraint.</w:t>
      </w:r>
    </w:p>
    <w:p>
      <w:pPr>
        <w:spacing w:after="120"/>
      </w:pPr>
      <w:r>
        <w:rPr>
          <w:b w:val="0"/>
          <w:i w:val="0"/>
          <w:sz w:val="24"/>
        </w:rPr>
        <w:t>Every local &lt;video&gt; element carries fallback content inside the tag — a download link shown by any browser that cannot decode the format. Photographs supplied in Apple HEIC format were converted to JPEG before use, because no major browser except Safari can display HEIC.</w:t>
      </w:r>
    </w:p>
    <w:p>
      <w:pPr>
        <w:spacing w:before="320" w:after="160"/>
      </w:pPr>
      <w:r>
        <w:rPr>
          <w:b/>
          <w:sz w:val="28"/>
        </w:rPr>
        <w:t>5. Accessibility and Web Standards</w:t>
      </w:r>
    </w:p>
    <w:p>
      <w:pPr>
        <w:pStyle w:val="ListBullet"/>
        <w:spacing w:after="60"/>
      </w:pPr>
      <w:r>
        <w:t>Semantic structure — &lt;header&gt;, &lt;nav&gt;, &lt;main&gt; content sections, &lt;article&gt;, &lt;footer&gt; and &lt;figure&gt; are used for their meaning rather than &lt;div&gt; throughout.</w:t>
      </w:r>
    </w:p>
    <w:p>
      <w:pPr>
        <w:pStyle w:val="ListBullet"/>
        <w:spacing w:after="60"/>
      </w:pPr>
      <w:r>
        <w:t>Alternative text — all 38 images carry an alt attribute.</w:t>
      </w:r>
    </w:p>
    <w:p>
      <w:pPr>
        <w:pStyle w:val="ListBullet"/>
        <w:spacing w:after="60"/>
      </w:pPr>
      <w:r>
        <w:t>Labelled controls — 120 form fields use &lt;label for&gt; bound to the input id.</w:t>
      </w:r>
    </w:p>
    <w:p>
      <w:pPr>
        <w:pStyle w:val="ListBullet"/>
        <w:spacing w:after="60"/>
      </w:pPr>
      <w:r>
        <w:t>ARIA — 52 aria- attributes supplement the native semantics where needed.</w:t>
      </w:r>
    </w:p>
    <w:p>
      <w:pPr>
        <w:pStyle w:val="ListBullet"/>
        <w:spacing w:after="60"/>
      </w:pPr>
      <w:r>
        <w:t>Language declaration — English pages declare lang="en" and Bahasa Melayu pages lang="ms", so a screen reader pronounces each correctly.</w:t>
      </w:r>
    </w:p>
    <w:p>
      <w:pPr>
        <w:pStyle w:val="ListBullet"/>
        <w:spacing w:after="60"/>
      </w:pPr>
      <w:r>
        <w:t>Reduced motion — all scroll animations sit inside @media (prefers-reduced-motion: no-preference), so a visitor who has asked their system to reduce motion receives a static page.</w:t>
      </w:r>
    </w:p>
    <w:p>
      <w:pPr>
        <w:pStyle w:val="ListBullet"/>
        <w:spacing w:after="60"/>
      </w:pPr>
      <w:r>
        <w:t>Structured data — the business address is marked up with schema.org microdata attributes rather than a JSON-LD script block, giving search engines the same information without introducing JavaScript.</w:t>
      </w:r>
    </w:p>
    <w:p>
      <w:pPr>
        <w:spacing w:before="320" w:after="160"/>
      </w:pPr>
      <w:r>
        <w:rPr>
          <w:b/>
          <w:sz w:val="28"/>
        </w:rPr>
        <w:t>6. Code Documentation and Maintainability</w:t>
      </w:r>
    </w:p>
    <w:p>
      <w:pPr>
        <w:spacing w:after="120"/>
      </w:pPr>
      <w:r>
        <w:rPr>
          <w:b w:val="0"/>
          <w:i w:val="0"/>
          <w:sz w:val="24"/>
        </w:rPr>
        <w:t>The stylesheet is organised into commented sections in the order a page is built: design tokens, reset, navigation, hero, components, page-specific blocks, responsive overrides, and print. Comments explain decisions rather than restate the code. Where a rule exists for a non-obvious reason, that reason is recorded — for example:</w:t>
      </w:r>
    </w:p>
    <w:p>
      <w:pPr>
        <w:spacing w:after="160"/>
        <w:ind w:left="454"/>
      </w:pPr>
      <w:r>
        <w:rPr>
          <w:rFonts w:ascii="Consolas" w:hAnsi="Consolas"/>
          <w:sz w:val="19"/>
        </w:rPr>
        <w:t>/* the radios must sit BEFORE .billing for the ~ selector to reach the</w:t>
        <w:br/>
        <w:t xml:space="preserve">   labels, so they are hidden by id rather than by descendant selector */</w:t>
        <w:br/>
        <w:br/>
        <w:t>/* bottom padding clears the absolutely-positioned footer */</w:t>
      </w:r>
    </w:p>
    <w:p>
      <w:pPr>
        <w:spacing w:after="120"/>
      </w:pPr>
      <w:r>
        <w:rPr>
          <w:b w:val="0"/>
          <w:i w:val="0"/>
          <w:sz w:val="24"/>
        </w:rPr>
        <w:t>Naming follows a consistent block-element convention (.media, .media__frame, .media__cap), which makes the relationship between a component and its parts readable from the class name alone and avoids collisions between sections of the site.</w:t>
      </w:r>
    </w:p>
    <w:p>
      <w:pPr>
        <w:spacing w:before="320" w:after="160"/>
      </w:pPr>
      <w:r>
        <w:rPr>
          <w:b/>
          <w:sz w:val="28"/>
        </w:rPr>
        <w:t>7. Testing Evidence</w:t>
      </w:r>
    </w:p>
    <w:p>
      <w:pPr>
        <w:spacing w:after="120"/>
      </w:pPr>
      <w:r>
        <w:rPr>
          <w:b w:val="0"/>
          <w:i w:val="0"/>
          <w:sz w:val="24"/>
        </w:rPr>
        <w:t>Testing was carried out in Chrome, with the constraint-validation behaviour verified programmatically against the live page rather than by inspection.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22"/>
              </w:rPr>
              <w:t>Test case</w:t>
            </w:r>
          </w:p>
        </w:tc>
        <w:tc>
          <w:tcPr>
            <w:tcW w:type="dxa" w:w="3120"/>
          </w:tcPr>
          <w:p>
            <w:r/>
            <w:r>
              <w:rPr>
                <w:b/>
                <w:sz w:val="22"/>
              </w:rPr>
              <w:t>Expected result</w:t>
            </w:r>
          </w:p>
        </w:tc>
        <w:tc>
          <w:tcPr>
            <w:tcW w:type="dxa" w:w="3120"/>
          </w:tcPr>
          <w:p>
            <w:r/>
            <w:r>
              <w:rPr>
                <w:b/>
                <w:sz w:val="22"/>
              </w:rPr>
              <w:t>Outcome</w:t>
            </w:r>
          </w:p>
        </w:tc>
      </w:tr>
      <w:tr>
        <w:tc>
          <w:tcPr>
            <w:tcW w:type="dxa" w:w="3120"/>
          </w:tcPr>
          <w:p>
            <w:r/>
            <w:r>
              <w:rPr>
                <w:sz w:val="22"/>
              </w:rPr>
              <w:t>Load all 22 pages</w:t>
            </w:r>
          </w:p>
        </w:tc>
        <w:tc>
          <w:tcPr>
            <w:tcW w:type="dxa" w:w="3120"/>
          </w:tcPr>
          <w:p>
            <w:r/>
            <w:r>
              <w:rPr>
                <w:sz w:val="22"/>
              </w:rPr>
              <w:t>Layout intact, stylesheet applied</w:t>
            </w:r>
          </w:p>
        </w:tc>
        <w:tc>
          <w:tcPr>
            <w:tcW w:type="dxa" w:w="3120"/>
          </w:tcPr>
          <w:p>
            <w:r/>
            <w:r>
              <w:rPr>
                <w:sz w:val="22"/>
              </w:rPr>
              <w:t>Pass</w:t>
            </w:r>
          </w:p>
        </w:tc>
      </w:tr>
      <w:tr>
        <w:tc>
          <w:tcPr>
            <w:tcW w:type="dxa" w:w="3120"/>
          </w:tcPr>
          <w:p>
            <w:r/>
            <w:r>
              <w:rPr>
                <w:sz w:val="22"/>
              </w:rPr>
              <w:t>Internal link check across the site</w:t>
            </w:r>
          </w:p>
        </w:tc>
        <w:tc>
          <w:tcPr>
            <w:tcW w:type="dxa" w:w="3120"/>
          </w:tcPr>
          <w:p>
            <w:r/>
            <w:r>
              <w:rPr>
                <w:sz w:val="22"/>
              </w:rPr>
              <w:t>Every local link resolves</w:t>
            </w:r>
          </w:p>
        </w:tc>
        <w:tc>
          <w:tcPr>
            <w:tcW w:type="dxa" w:w="3120"/>
          </w:tcPr>
          <w:p>
            <w:r/>
            <w:r>
              <w:rPr>
                <w:sz w:val="22"/>
              </w:rPr>
              <w:t>Pass — 852 links checked</w:t>
            </w:r>
          </w:p>
        </w:tc>
      </w:tr>
      <w:tr>
        <w:tc>
          <w:tcPr>
            <w:tcW w:type="dxa" w:w="3120"/>
          </w:tcPr>
          <w:p>
            <w:r/>
            <w:r>
              <w:rPr>
                <w:sz w:val="22"/>
              </w:rPr>
              <w:t>Contact form: empty required fields</w:t>
            </w:r>
          </w:p>
        </w:tc>
        <w:tc>
          <w:tcPr>
            <w:tcW w:type="dxa" w:w="3120"/>
          </w:tcPr>
          <w:p>
            <w:r/>
            <w:r>
              <w:rPr>
                <w:sz w:val="22"/>
              </w:rPr>
              <w:t>Submission blocked</w:t>
            </w:r>
          </w:p>
        </w:tc>
        <w:tc>
          <w:tcPr>
            <w:tcW w:type="dxa" w:w="3120"/>
          </w:tcPr>
          <w:p>
            <w:r/>
            <w:r>
              <w:rPr>
                <w:sz w:val="22"/>
              </w:rPr>
              <w:t>Pass</w:t>
            </w:r>
          </w:p>
        </w:tc>
      </w:tr>
      <w:tr>
        <w:tc>
          <w:tcPr>
            <w:tcW w:type="dxa" w:w="3120"/>
          </w:tcPr>
          <w:p>
            <w:r/>
            <w:r>
              <w:rPr>
                <w:sz w:val="22"/>
              </w:rPr>
              <w:t>Contact form: email "notanemail"</w:t>
            </w:r>
          </w:p>
        </w:tc>
        <w:tc>
          <w:tcPr>
            <w:tcW w:type="dxa" w:w="3120"/>
          </w:tcPr>
          <w:p>
            <w:r/>
            <w:r>
              <w:rPr>
                <w:sz w:val="22"/>
              </w:rPr>
              <w:t>Rejected, typeMismatch true</w:t>
            </w:r>
          </w:p>
        </w:tc>
        <w:tc>
          <w:tcPr>
            <w:tcW w:type="dxa" w:w="3120"/>
          </w:tcPr>
          <w:p>
            <w:r/>
            <w:r>
              <w:rPr>
                <w:sz w:val="22"/>
              </w:rPr>
              <w:t>Pass</w:t>
            </w:r>
          </w:p>
        </w:tc>
      </w:tr>
      <w:tr>
        <w:tc>
          <w:tcPr>
            <w:tcW w:type="dxa" w:w="3120"/>
          </w:tcPr>
          <w:p>
            <w:r/>
            <w:r>
              <w:rPr>
                <w:sz w:val="22"/>
              </w:rPr>
              <w:t>Contact form: phone "abc"</w:t>
            </w:r>
          </w:p>
        </w:tc>
        <w:tc>
          <w:tcPr>
            <w:tcW w:type="dxa" w:w="3120"/>
          </w:tcPr>
          <w:p>
            <w:r/>
            <w:r>
              <w:rPr>
                <w:sz w:val="22"/>
              </w:rPr>
              <w:t>Rejected</w:t>
            </w:r>
          </w:p>
        </w:tc>
        <w:tc>
          <w:tcPr>
            <w:tcW w:type="dxa" w:w="3120"/>
          </w:tcPr>
          <w:p>
            <w:r/>
            <w:r>
              <w:rPr>
                <w:sz w:val="22"/>
              </w:rPr>
              <w:t>Fail on first run — invalid pattern; passed after fix</w:t>
            </w:r>
          </w:p>
        </w:tc>
      </w:tr>
      <w:tr>
        <w:tc>
          <w:tcPr>
            <w:tcW w:type="dxa" w:w="3120"/>
          </w:tcPr>
          <w:p>
            <w:r/>
            <w:r>
              <w:rPr>
                <w:sz w:val="22"/>
              </w:rPr>
              <w:t>Contact form: phone "+60 12-345 6789"</w:t>
            </w:r>
          </w:p>
        </w:tc>
        <w:tc>
          <w:tcPr>
            <w:tcW w:type="dxa" w:w="3120"/>
          </w:tcPr>
          <w:p>
            <w:r/>
            <w:r>
              <w:rPr>
                <w:sz w:val="22"/>
              </w:rPr>
              <w:t>Accepted</w:t>
            </w:r>
          </w:p>
        </w:tc>
        <w:tc>
          <w:tcPr>
            <w:tcW w:type="dxa" w:w="3120"/>
          </w:tcPr>
          <w:p>
            <w:r/>
            <w:r>
              <w:rPr>
                <w:sz w:val="22"/>
              </w:rPr>
              <w:t>Pass</w:t>
            </w:r>
          </w:p>
        </w:tc>
      </w:tr>
      <w:tr>
        <w:tc>
          <w:tcPr>
            <w:tcW w:type="dxa" w:w="3120"/>
          </w:tcPr>
          <w:p>
            <w:r/>
            <w:r>
              <w:rPr>
                <w:sz w:val="22"/>
              </w:rPr>
              <w:t>Contact form: consent unticked</w:t>
            </w:r>
          </w:p>
        </w:tc>
        <w:tc>
          <w:tcPr>
            <w:tcW w:type="dxa" w:w="3120"/>
          </w:tcPr>
          <w:p>
            <w:r/>
            <w:r>
              <w:rPr>
                <w:sz w:val="22"/>
              </w:rPr>
              <w:t>Submission blocked</w:t>
            </w:r>
          </w:p>
        </w:tc>
        <w:tc>
          <w:tcPr>
            <w:tcW w:type="dxa" w:w="3120"/>
          </w:tcPr>
          <w:p>
            <w:r/>
            <w:r>
              <w:rPr>
                <w:sz w:val="22"/>
              </w:rPr>
              <w:t>Pass</w:t>
            </w:r>
          </w:p>
        </w:tc>
      </w:tr>
      <w:tr>
        <w:tc>
          <w:tcPr>
            <w:tcW w:type="dxa" w:w="3120"/>
          </w:tcPr>
          <w:p>
            <w:r/>
            <w:r>
              <w:rPr>
                <w:sz w:val="22"/>
              </w:rPr>
              <w:t>Pricing toggle switched to 3 months</w:t>
            </w:r>
          </w:p>
        </w:tc>
        <w:tc>
          <w:tcPr>
            <w:tcW w:type="dxa" w:w="3120"/>
          </w:tcPr>
          <w:p>
            <w:r/>
            <w:r>
              <w:rPr>
                <w:sz w:val="22"/>
              </w:rPr>
              <w:t>All prices change to discounted figures</w:t>
            </w:r>
          </w:p>
        </w:tc>
        <w:tc>
          <w:tcPr>
            <w:tcW w:type="dxa" w:w="3120"/>
          </w:tcPr>
          <w:p>
            <w:r/>
            <w:r>
              <w:rPr>
                <w:sz w:val="22"/>
              </w:rPr>
              <w:t>Pass</w:t>
            </w:r>
          </w:p>
        </w:tc>
      </w:tr>
      <w:tr>
        <w:tc>
          <w:tcPr>
            <w:tcW w:type="dxa" w:w="3120"/>
          </w:tcPr>
          <w:p>
            <w:r/>
            <w:r>
              <w:rPr>
                <w:sz w:val="22"/>
              </w:rPr>
              <w:t>FAQ accordion open and close</w:t>
            </w:r>
          </w:p>
        </w:tc>
        <w:tc>
          <w:tcPr>
            <w:tcW w:type="dxa" w:w="3120"/>
          </w:tcPr>
          <w:p>
            <w:r/>
            <w:r>
              <w:rPr>
                <w:sz w:val="22"/>
              </w:rPr>
              <w:t>One panel opens, marker changes</w:t>
            </w:r>
          </w:p>
        </w:tc>
        <w:tc>
          <w:tcPr>
            <w:tcW w:type="dxa" w:w="3120"/>
          </w:tcPr>
          <w:p>
            <w:r/>
            <w:r>
              <w:rPr>
                <w:sz w:val="22"/>
              </w:rPr>
              <w:t>Pass</w:t>
            </w:r>
          </w:p>
        </w:tc>
      </w:tr>
      <w:tr>
        <w:tc>
          <w:tcPr>
            <w:tcW w:type="dxa" w:w="3120"/>
          </w:tcPr>
          <w:p>
            <w:r/>
            <w:r>
              <w:rPr>
                <w:sz w:val="22"/>
              </w:rPr>
              <w:t>Language switcher on every page</w:t>
            </w:r>
          </w:p>
        </w:tc>
        <w:tc>
          <w:tcPr>
            <w:tcW w:type="dxa" w:w="3120"/>
          </w:tcPr>
          <w:p>
            <w:r/>
            <w:r>
              <w:rPr>
                <w:sz w:val="22"/>
              </w:rPr>
              <w:t>Loads the matching page, not the home page</w:t>
            </w:r>
          </w:p>
        </w:tc>
        <w:tc>
          <w:tcPr>
            <w:tcW w:type="dxa" w:w="3120"/>
          </w:tcPr>
          <w:p>
            <w:r/>
            <w:r>
              <w:rPr>
                <w:sz w:val="22"/>
              </w:rPr>
              <w:t>Pass</w:t>
            </w:r>
          </w:p>
        </w:tc>
      </w:tr>
      <w:tr>
        <w:tc>
          <w:tcPr>
            <w:tcW w:type="dxa" w:w="3120"/>
          </w:tcPr>
          <w:p>
            <w:r/>
            <w:r>
              <w:rPr>
                <w:sz w:val="22"/>
              </w:rPr>
              <w:t>Responsive check at 375px width</w:t>
            </w:r>
          </w:p>
        </w:tc>
        <w:tc>
          <w:tcPr>
            <w:tcW w:type="dxa" w:w="3120"/>
          </w:tcPr>
          <w:p>
            <w:r/>
            <w:r>
              <w:rPr>
                <w:sz w:val="22"/>
              </w:rPr>
              <w:t>Single column, no horizontal scroll</w:t>
            </w:r>
          </w:p>
        </w:tc>
        <w:tc>
          <w:tcPr>
            <w:tcW w:type="dxa" w:w="3120"/>
          </w:tcPr>
          <w:p>
            <w:r/>
            <w:r>
              <w:rPr>
                <w:sz w:val="22"/>
              </w:rPr>
              <w:t>Pass</w:t>
            </w:r>
          </w:p>
        </w:tc>
      </w:tr>
      <w:tr>
        <w:tc>
          <w:tcPr>
            <w:tcW w:type="dxa" w:w="3120"/>
          </w:tcPr>
          <w:p>
            <w:r/>
            <w:r>
              <w:rPr>
                <w:sz w:val="22"/>
              </w:rPr>
              <w:t>JavaScript audit across all pages</w:t>
            </w:r>
          </w:p>
        </w:tc>
        <w:tc>
          <w:tcPr>
            <w:tcW w:type="dxa" w:w="3120"/>
          </w:tcPr>
          <w:p>
            <w:r/>
            <w:r>
              <w:rPr>
                <w:sz w:val="22"/>
              </w:rPr>
              <w:t>Zero script tags, handlers, javascript: URLs</w:t>
            </w:r>
          </w:p>
        </w:tc>
        <w:tc>
          <w:tcPr>
            <w:tcW w:type="dxa" w:w="3120"/>
          </w:tcPr>
          <w:p>
            <w:r/>
            <w:r>
              <w:rPr>
                <w:sz w:val="22"/>
              </w:rPr>
              <w:t>Pass</w:t>
            </w:r>
          </w:p>
        </w:tc>
      </w:tr>
    </w:tbl>
    <w:p/>
    <w:p>
      <w:pPr>
        <w:spacing w:before="320" w:after="160"/>
      </w:pPr>
      <w:r>
        <w:rPr>
          <w:b/>
          <w:sz w:val="28"/>
        </w:rPr>
        <w:t>8. Conclusion</w:t>
      </w:r>
    </w:p>
    <w:p>
      <w:pPr>
        <w:spacing w:after="120"/>
      </w:pPr>
      <w:r>
        <w:rPr>
          <w:b w:val="0"/>
          <w:i w:val="0"/>
          <w:sz w:val="24"/>
        </w:rPr>
        <w:t>The completed site comprises 22 pages in two languages, built from a single 1688-line stylesheet and containing no JavaScript whatsoever — verified by automated audit as zero script elements, zero inline event handlers and zero javascript: URLs across every page.</w:t>
      </w:r>
    </w:p>
    <w:p>
      <w:pPr>
        <w:spacing w:after="120"/>
      </w:pPr>
      <w:r>
        <w:rPr>
          <w:b w:val="0"/>
          <w:i w:val="0"/>
          <w:sz w:val="24"/>
        </w:rPr>
        <w:t>The most significant finding of the project was how much genuine interactivity modern CSS and HTML can carry without scripting. A billing toggle, an image carousel, tabbed panels, an accordion and live form-validation feedback were all delivered using the :checked and :user-invalid pseudo-classes, the sibling combinator, and the native &lt;details&gt; element. In each case the CSS or native-element solution was shorter than the scripted equivalent would have been, and continued to function with scripting disabled.</w:t>
      </w:r>
    </w:p>
    <w:p>
      <w:pPr>
        <w:spacing w:after="120"/>
      </w:pPr>
      <w:r>
        <w:rPr>
          <w:b w:val="0"/>
          <w:i w:val="0"/>
          <w:sz w:val="24"/>
        </w:rPr>
        <w:t>The most valuable lesson was the phone-pattern defect described in section 3.1. An invalid regular expression in a pattern attribute is discarded silently, so a validation rule can appear to be present while enforcing nothing. It was caught only because the form was tested with deliberately invalid input rather than checked by reading the code. The wider point is that a feature which looks correct is not evidence that it 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