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  <w:lang w:val="bg-BG" w:eastAsia="bg-BG"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(десетично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5C58D4">
        <w:t>“</w:t>
      </w:r>
      <w:r w:rsidR="005C58D4" w:rsidRPr="00E72522">
        <w:rPr>
          <w:rStyle w:val="CodeChar"/>
        </w:rPr>
        <w:t>m</w:t>
      </w:r>
      <w:r w:rsidR="005C58D4">
        <w:t xml:space="preserve">” </w:t>
      </w:r>
      <w:r w:rsidR="005C58D4">
        <w:rPr>
          <w:lang w:val="bg-BG"/>
        </w:rPr>
        <w:t xml:space="preserve">или </w:t>
      </w:r>
      <w:r w:rsidR="005C58D4">
        <w:t>“</w:t>
      </w:r>
      <w:r w:rsidR="005C58D4" w:rsidRPr="00E72522">
        <w:rPr>
          <w:rStyle w:val="CodeChar"/>
        </w:rPr>
        <w:t>f</w:t>
      </w:r>
      <w:r w:rsidR="005C58D4">
        <w:t>”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  <w:lang w:val="bg-BG" w:eastAsia="bg-BG"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lastRenderedPageBreak/>
        <w:t>Напишете програма</w:t>
      </w:r>
      <w:r w:rsidR="006D6BB7">
        <w:rPr>
          <w:lang w:val="bg-BG"/>
        </w:rPr>
        <w:t xml:space="preserve">, която чете </w:t>
      </w:r>
      <w:r w:rsidR="006D6BB7" w:rsidRPr="00903CCA">
        <w:rPr>
          <w:b/>
          <w:lang w:val="bg-BG"/>
        </w:rPr>
        <w:t>град</w:t>
      </w:r>
      <w:r w:rsidR="006D6BB7">
        <w:rPr>
          <w:lang w:val="bg-BG"/>
        </w:rPr>
        <w:t xml:space="preserve"> (стринг), </w:t>
      </w:r>
      <w:r w:rsidR="006D6BB7" w:rsidRPr="00903CCA">
        <w:rPr>
          <w:b/>
          <w:lang w:val="bg-BG"/>
        </w:rPr>
        <w:t>продукт</w:t>
      </w:r>
      <w:r w:rsidR="006D6BB7">
        <w:rPr>
          <w:lang w:val="bg-BG"/>
        </w:rPr>
        <w:t xml:space="preserve"> (стринг) и </w:t>
      </w:r>
      <w:r w:rsidR="006D6BB7" w:rsidRPr="00903CCA">
        <w:rPr>
          <w:b/>
          <w:lang w:val="bg-BG"/>
        </w:rPr>
        <w:t>количество</w:t>
      </w:r>
      <w:r w:rsidR="006D6BB7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  <w:lang w:val="bg-BG" w:eastAsia="bg-BG"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lastRenderedPageBreak/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lastRenderedPageBreak/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bg-BG" w:eastAsia="bg-BG"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C14" w:rsidRDefault="009D7C14" w:rsidP="009D7C14">
      <w:pPr>
        <w:pStyle w:val="Heading2"/>
      </w:pPr>
      <w:r>
        <w:t>Ден от седмицата</w:t>
      </w:r>
    </w:p>
    <w:p w:rsidR="009D7C14" w:rsidRPr="00FE15E5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“</w:t>
      </w:r>
      <w:r w:rsidRPr="00FE15E5">
        <w:rPr>
          <w:b/>
          <w:lang w:val="bg-BG"/>
        </w:rPr>
        <w:t>Error</w:t>
      </w:r>
      <w:r w:rsidRPr="00FE15E5">
        <w:rPr>
          <w:lang w:val="bg-BG"/>
        </w:rPr>
        <w:t xml:space="preserve">”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>. Примери: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C14" w:rsidRDefault="009D7C14" w:rsidP="009D7C14"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43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:rsidR="009D7C14" w:rsidRDefault="009D7C14" w:rsidP="009D7C14">
      <w:pPr>
        <w:pStyle w:val="Heading2"/>
      </w:pPr>
      <w:r>
        <w:lastRenderedPageBreak/>
        <w:t>Клас животно</w:t>
      </w:r>
    </w:p>
    <w:p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5765E8" w:rsidRPr="005765E8" w:rsidRDefault="005765E8" w:rsidP="009D7C14">
      <w:pPr>
        <w:pStyle w:val="ListParagraph"/>
        <w:numPr>
          <w:ilvl w:val="0"/>
          <w:numId w:val="11"/>
        </w:numPr>
        <w:rPr>
          <w:lang w:val="bg-BG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9D7C14" w:rsidRPr="00D63ED1" w:rsidRDefault="009D7C14" w:rsidP="009D7C14">
      <w:pPr>
        <w:rPr>
          <w:rFonts w:ascii="Calibri" w:eastAsia="MS Mincho" w:hAnsi="Calibri" w:cs="Times New Roman"/>
          <w:b/>
          <w:sz w:val="24"/>
          <w:szCs w:val="24"/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C14" w:rsidRPr="009D7C14" w:rsidRDefault="009D7C14" w:rsidP="009D7C1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Използвайте условната конструкция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9D7C14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EA61E9">
      <w:pPr>
        <w:rPr>
          <w:lang w:val="bg-BG"/>
        </w:rPr>
      </w:pPr>
      <w:r>
        <w:rPr>
          <w:lang w:val="bg-BG"/>
        </w:rPr>
        <w:lastRenderedPageBreak/>
        <w:t xml:space="preserve">Входните данни се въвеждат от потребителя, в следния вид: 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5765E8" w:rsidRPr="005765E8" w:rsidRDefault="00D22CD7" w:rsidP="005765E8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:rsidR="005765E8" w:rsidRPr="005765E8" w:rsidRDefault="005765E8" w:rsidP="005765E8">
      <w:pPr>
        <w:spacing w:before="120" w:line="240" w:lineRule="auto"/>
        <w:jc w:val="both"/>
        <w:rPr>
          <w:lang w:val="bg-BG"/>
        </w:rPr>
      </w:pP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9D7C14" w:rsidRPr="00AB3A1F" w:rsidRDefault="005765E8" w:rsidP="009D7C14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F9C47F0" wp14:editId="7980695F">
            <wp:simplePos x="0" y="0"/>
            <wp:positionH relativeFrom="margin">
              <wp:posOffset>4638675</wp:posOffset>
            </wp:positionH>
            <wp:positionV relativeFrom="margin">
              <wp:posOffset>7174230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CD3" w:rsidRDefault="007B063D" w:rsidP="002F7CD3">
      <w:pPr>
        <w:pStyle w:val="Heading2"/>
      </w:pPr>
      <w:r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цяло число </w:t>
      </w:r>
      <w:r w:rsidR="009D7C14" w:rsidRPr="00135EAA">
        <w:rPr>
          <w:rStyle w:val="CodeChar"/>
        </w:rPr>
        <w:t>h</w:t>
      </w:r>
      <w:r w:rsidR="009D7C14">
        <w:t xml:space="preserve"> </w:t>
      </w:r>
      <w:r w:rsidR="009D7C14">
        <w:rPr>
          <w:lang w:val="bg-BG"/>
        </w:rPr>
        <w:t xml:space="preserve">и координатите на дадена </w:t>
      </w:r>
      <w:r w:rsidR="009D7C14" w:rsidRPr="009E52BD">
        <w:rPr>
          <w:b/>
          <w:lang w:val="bg-BG"/>
        </w:rPr>
        <w:t>точка</w:t>
      </w:r>
      <w:r w:rsidR="009D7C14" w:rsidRPr="009E52BD">
        <w:rPr>
          <w:lang w:val="bg-BG"/>
        </w:rPr>
        <w:t xml:space="preserve"> </w:t>
      </w:r>
      <w:r w:rsidR="009D7C14" w:rsidRPr="009E52BD">
        <w:t>{</w:t>
      </w:r>
      <w:r w:rsidR="009D7C14" w:rsidRPr="009E52BD">
        <w:rPr>
          <w:rStyle w:val="CodeChar"/>
        </w:rPr>
        <w:t>x</w:t>
      </w:r>
      <w:r w:rsidR="009D7C14" w:rsidRPr="009E52BD">
        <w:t xml:space="preserve">, </w:t>
      </w:r>
      <w:r w:rsidR="009D7C14" w:rsidRPr="009E52BD">
        <w:rPr>
          <w:rStyle w:val="CodeChar"/>
        </w:rPr>
        <w:t>y</w:t>
      </w:r>
      <w:r w:rsidR="009D7C14" w:rsidRPr="009E52BD">
        <w:t>}</w:t>
      </w:r>
      <w:r w:rsidR="009D7C14">
        <w:t xml:space="preserve"> </w:t>
      </w:r>
      <w:r w:rsidR="009D7C14">
        <w:rPr>
          <w:lang w:val="bg-BG"/>
        </w:rPr>
        <w:t xml:space="preserve">(цели числа), въведени от потребителя,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152E06" w:rsidRDefault="00552842" w:rsidP="009E52BD">
      <w:r>
        <w:rPr>
          <w:lang w:val="bg-BG"/>
        </w:rPr>
        <w:lastRenderedPageBreak/>
        <w:t>Примери:</w:t>
      </w:r>
      <w:r w:rsidR="00152E06">
        <w:t>1</w:t>
      </w:r>
      <w:bookmarkStart w:id="0" w:name="_GoBack"/>
      <w:bookmarkEnd w:id="0"/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9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9D7C14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Pr="005765E8" w:rsidRDefault="005765E8" w:rsidP="009D7C14">
      <w:pPr>
        <w:pStyle w:val="ListParagraph"/>
        <w:spacing w:before="120"/>
        <w:rPr>
          <w:lang w:val="bg-BG"/>
        </w:rPr>
      </w:pPr>
    </w:p>
    <w:p w:rsidR="00F924BA" w:rsidRPr="00F924BA" w:rsidRDefault="00F924BA">
      <w:pPr>
        <w:pStyle w:val="Heading1"/>
      </w:pPr>
      <w:r>
        <w:rPr>
          <w:lang w:val="bg-BG"/>
        </w:rPr>
        <w:lastRenderedPageBreak/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Heading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  <w:lang w:val="bg-BG" w:eastAsia="bg-BG"/>
        </w:rPr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ListParagraph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lastRenderedPageBreak/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Paragraph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5C58D4">
        <w:tc>
          <w:tcPr>
            <w:tcW w:w="9701" w:type="dxa"/>
          </w:tcPr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5C58D4">
        <w:tc>
          <w:tcPr>
            <w:tcW w:w="9701" w:type="dxa"/>
          </w:tcPr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5C58D4">
        <w:tc>
          <w:tcPr>
            <w:tcW w:w="9701" w:type="dxa"/>
          </w:tcPr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245C5A" w:rsidRPr="00245C5A" w:rsidRDefault="00245C5A" w:rsidP="00245C5A">
      <w:pPr>
        <w:pStyle w:val="Heading1"/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9D7C14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9D7C14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5C58D4">
        <w:tc>
          <w:tcPr>
            <w:tcW w:w="94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5C58D4">
        <w:trPr>
          <w:trHeight w:val="17"/>
        </w:trPr>
        <w:tc>
          <w:tcPr>
            <w:tcW w:w="9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15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8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3:18 hours before 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the start</w:t>
            </w:r>
          </w:p>
        </w:tc>
      </w:tr>
    </w:tbl>
    <w:p w:rsidR="0076087D" w:rsidRDefault="00F924BA" w:rsidP="0076087D">
      <w:pPr>
        <w:pStyle w:val="Heading2"/>
      </w:pPr>
      <w:r>
        <w:lastRenderedPageBreak/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5C58D4">
        <w:tc>
          <w:tcPr>
            <w:tcW w:w="985" w:type="dxa"/>
            <w:shd w:val="clear" w:color="auto" w:fill="D9D9D9"/>
          </w:tcPr>
          <w:p w:rsidR="0076087D" w:rsidRPr="00882C2F" w:rsidRDefault="0076087D" w:rsidP="005C58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5C58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475F1" w:rsidRDefault="00E475F1" w:rsidP="00E475F1">
      <w:pPr>
        <w:rPr>
          <w:lang w:val="bg-BG"/>
        </w:rPr>
      </w:pPr>
    </w:p>
    <w:p w:rsidR="003D7E26" w:rsidRDefault="003D7E26" w:rsidP="00E475F1">
      <w:pPr>
        <w:rPr>
          <w:lang w:val="bg-BG"/>
        </w:rPr>
      </w:pPr>
    </w:p>
    <w:p w:rsidR="003D7E26" w:rsidRPr="00E475F1" w:rsidRDefault="003D7E26" w:rsidP="00E475F1">
      <w:pPr>
        <w:rPr>
          <w:lang w:val="bg-BG"/>
        </w:rPr>
      </w:pPr>
    </w:p>
    <w:p w:rsidR="00245C5A" w:rsidRDefault="00F924BA" w:rsidP="00245C5A">
      <w:pPr>
        <w:pStyle w:val="Heading2"/>
      </w:pPr>
      <w:r>
        <w:lastRenderedPageBreak/>
        <w:t xml:space="preserve">* </w:t>
      </w:r>
      <w:r w:rsidR="00245C5A">
        <w:t>Операции между числа</w:t>
      </w:r>
    </w:p>
    <w:p w:rsidR="00E475F1" w:rsidRPr="00634E57" w:rsidRDefault="00E475F1" w:rsidP="00E475F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3D7E26" w:rsidRDefault="003D7E26" w:rsidP="003D7E26">
      <w:pPr>
        <w:pStyle w:val="Heading2"/>
        <w:numPr>
          <w:ilvl w:val="0"/>
          <w:numId w:val="0"/>
        </w:numPr>
        <w:ind w:left="360"/>
      </w:pPr>
    </w:p>
    <w:p w:rsidR="003D7E26" w:rsidRPr="003D7E26" w:rsidRDefault="003D7E26" w:rsidP="003D7E26">
      <w:pPr>
        <w:rPr>
          <w:lang w:val="bg-BG"/>
        </w:rPr>
      </w:pPr>
    </w:p>
    <w:p w:rsidR="00E475F1" w:rsidRPr="00F924BA" w:rsidRDefault="00E475F1" w:rsidP="00E475F1">
      <w:pPr>
        <w:pStyle w:val="Heading2"/>
        <w:rPr>
          <w:lang w:val="en-US"/>
        </w:rPr>
      </w:pPr>
      <w:r>
        <w:lastRenderedPageBreak/>
        <w:t>* Билети за мач</w:t>
      </w:r>
    </w:p>
    <w:p w:rsidR="00E475F1" w:rsidRPr="0076087D" w:rsidRDefault="00E475F1" w:rsidP="00E475F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E475F1" w:rsidRDefault="00E475F1" w:rsidP="00E475F1">
      <w:pPr>
        <w:pStyle w:val="ListParagraph"/>
        <w:numPr>
          <w:ilvl w:val="0"/>
          <w:numId w:val="2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E475F1" w:rsidRPr="00933536" w:rsidRDefault="00E475F1" w:rsidP="00E475F1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E475F1" w:rsidRDefault="00E475F1" w:rsidP="00E475F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E475F1" w:rsidTr="001D386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75F1" w:rsidTr="001D386B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E475F1" w:rsidTr="001D386B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75F1" w:rsidTr="001D386B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lastRenderedPageBreak/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E475F1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5C58D4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5C58D4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5C58D4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5C58D4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5C58D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5C58D4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5C58D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5C58D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5C58D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5C58D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5C58D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5C58D4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60"/>
      <w:footerReference w:type="default" r:id="rId6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66A" w:rsidRDefault="0048266A" w:rsidP="008068A2">
      <w:pPr>
        <w:spacing w:after="0" w:line="240" w:lineRule="auto"/>
      </w:pPr>
      <w:r>
        <w:separator/>
      </w:r>
    </w:p>
  </w:endnote>
  <w:endnote w:type="continuationSeparator" w:id="0">
    <w:p w:rsidR="0048266A" w:rsidRDefault="00482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06" w:rsidRPr="00AC77AD" w:rsidRDefault="00152E0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56CA6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2E06" w:rsidRDefault="00152E06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52E06" w:rsidRDefault="00152E0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2E06" w:rsidRPr="008C2B83" w:rsidRDefault="00152E06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044">
                            <w:rPr>
                              <w:noProof/>
                              <w:sz w:val="18"/>
                              <w:szCs w:val="18"/>
                            </w:rPr>
                            <w:t>21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044">
                            <w:rPr>
                              <w:noProof/>
                              <w:sz w:val="18"/>
                              <w:szCs w:val="18"/>
                            </w:rPr>
                            <w:t>25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52E06" w:rsidRPr="008C2B83" w:rsidRDefault="00152E06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0044">
                      <w:rPr>
                        <w:noProof/>
                        <w:sz w:val="18"/>
                        <w:szCs w:val="18"/>
                      </w:rPr>
                      <w:t>21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0044">
                      <w:rPr>
                        <w:noProof/>
                        <w:sz w:val="18"/>
                        <w:szCs w:val="18"/>
                      </w:rPr>
                      <w:t>25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2E06" w:rsidRDefault="00152E06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52E06" w:rsidRDefault="00152E0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2E06" w:rsidRDefault="00152E0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52E06" w:rsidRDefault="00152E06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52E06" w:rsidRDefault="00152E0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52E06" w:rsidRDefault="00152E0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66A" w:rsidRDefault="0048266A" w:rsidP="008068A2">
      <w:pPr>
        <w:spacing w:after="0" w:line="240" w:lineRule="auto"/>
      </w:pPr>
      <w:r>
        <w:separator/>
      </w:r>
    </w:p>
  </w:footnote>
  <w:footnote w:type="continuationSeparator" w:id="0">
    <w:p w:rsidR="0048266A" w:rsidRDefault="00482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06" w:rsidRDefault="00152E0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2E06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266A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044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757A3AA-03D9-4033-9FC3-5E1A0216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55" Type="http://schemas.openxmlformats.org/officeDocument/2006/relationships/hyperlink" Target="https://judge.softuni.bg/Contests/Practice/Index/169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image" Target="media/image33.png"/><Relationship Id="rId58" Type="http://schemas.openxmlformats.org/officeDocument/2006/relationships/hyperlink" Target="https://judge.softuni.bg/Contests/Practice/Index/233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developer.mozilla.org/en-US/docs/Web/JavaScript/Reference/Statements/switch" TargetMode="External"/><Relationship Id="rId48" Type="http://schemas.openxmlformats.org/officeDocument/2006/relationships/image" Target="media/image29.png"/><Relationship Id="rId56" Type="http://schemas.openxmlformats.org/officeDocument/2006/relationships/hyperlink" Target="https://judge.softuni.bg/Contests/Compete/Index/179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27.png"/><Relationship Id="rId59" Type="http://schemas.openxmlformats.org/officeDocument/2006/relationships/hyperlink" Target="https://judge.softuni.bg/Contests/Practice/Index/274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image" Target="media/image3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53" TargetMode="External"/><Relationship Id="rId57" Type="http://schemas.openxmlformats.org/officeDocument/2006/relationships/hyperlink" Target="https://judge.softuni.bg/Contests/Practice/Index/181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image" Target="media/image32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3869D-06D6-4681-BB1F-7EB4DEE7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25</Pages>
  <Words>5251</Words>
  <Characters>29937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NIkola Grigorov</cp:lastModifiedBy>
  <cp:revision>3</cp:revision>
  <cp:lastPrinted>2015-10-26T22:35:00Z</cp:lastPrinted>
  <dcterms:created xsi:type="dcterms:W3CDTF">2017-05-20T12:22:00Z</dcterms:created>
  <dcterms:modified xsi:type="dcterms:W3CDTF">2017-09-26T14:26:00Z</dcterms:modified>
  <cp:category>programming, education, software engineering, software development</cp:category>
</cp:coreProperties>
</file>