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Границы, WBS и журнал решений</w:t>
      </w:r>
    </w:p>
    <w:p>
      <w:r>
        <w:t>pulse! - материалы к календарному плану</w:t>
      </w:r>
    </w:p>
    <w:p>
      <w:pPr>
        <w:pStyle w:val="Heading1"/>
      </w:pPr>
      <w:r>
        <w:t>1. Границы проекта (Scope)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739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Делаем в MVP</w:t>
            </w:r>
          </w:p>
        </w:tc>
        <w:tc>
          <w:tcPr>
            <w:tcW w:type="dxa" w:w="739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Не делаем сейчас</w:t>
            </w:r>
          </w:p>
        </w:tc>
      </w:tr>
      <w:tr>
        <w:tc>
          <w:tcPr>
            <w:tcW w:type="dxa" w:w="73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Игрок указывает публичную ссылку на профиль osu!standard; приложение получает доступные recent и best scores без входа в аккаунт.</w:t>
            </w:r>
          </w:p>
        </w:tc>
        <w:tc>
          <w:tcPr>
            <w:tcW w:type="dxa" w:w="73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Другие режимы osu! и большой список навыков, которые мы пока не можем надежно оценить.</w:t>
            </w:r>
          </w:p>
        </w:tc>
      </w:tr>
      <w:tr>
        <w:tc>
          <w:tcPr>
            <w:tcW w:type="dxa" w:w="73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Игрок загружает .osu или .osz; приложение извлекает признаки карты и нагрузку по участкам.</w:t>
            </w:r>
          </w:p>
        </w:tc>
        <w:tc>
          <w:tcPr>
            <w:tcW w:type="dxa" w:w="73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Вход через cookie, пароль или токен игрового клиента; обязательный OAuth игрока.</w:t>
            </w:r>
          </w:p>
        </w:tc>
      </w:tr>
      <w:tr>
        <w:tc>
          <w:tcPr>
            <w:tcW w:type="dxa" w:w="73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Приложение строит профиль навыков игрока для согласованного набора скиллсетов; первая проверяемая пара - aim и speed.</w:t>
            </w:r>
          </w:p>
        </w:tc>
        <w:tc>
          <w:tcPr>
            <w:tcW w:type="dxa" w:w="73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Массовый сбор данных чужих аккаунтов и обучение на best scores как на полной истории попыток.</w:t>
            </w:r>
          </w:p>
        </w:tc>
      </w:tr>
      <w:tr>
        <w:tc>
          <w:tcPr>
            <w:tcW w:type="dxa" w:w="73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Для выбранной карты приложение показывает персональную сложность по этим скиллсетам, вероятность pass и ожидаемую accuracy.</w:t>
            </w:r>
          </w:p>
        </w:tc>
        <w:tc>
          <w:tcPr>
            <w:tcW w:type="dxa" w:w="73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Персональные рекомендации тренировочных карт по слабым навыкам; это следующая версия.</w:t>
            </w:r>
          </w:p>
        </w:tc>
      </w:tr>
      <w:tr>
        <w:tc>
          <w:tcPr>
            <w:tcW w:type="dxa" w:w="73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 нехватке данных показывается предварительная оценка. Модель сравнивается с простым расчетом по прошлым играм на новых попытках.</w:t>
            </w:r>
          </w:p>
        </w:tc>
        <w:tc>
          <w:tcPr>
            <w:tcW w:type="dxa" w:w="73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Платная подписка и прием платежей; спрос на это сначала нужно проверить.</w:t>
            </w:r>
          </w:p>
        </w:tc>
      </w:tr>
      <w:tr>
        <w:tc>
          <w:tcPr>
            <w:tcW w:type="dxa" w:w="73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Команда сохраняет сырые попытки для обучения, проводит пилот, тестирует сценарий и передает код, инструкцию и отчет.</w:t>
            </w:r>
          </w:p>
        </w:tc>
        <w:tc>
          <w:tcPr>
            <w:tcW w:type="dxa" w:w="73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Доказательство влияния сервиса на удержание всех игроков osu! и постоянная эксплуатация веб-сервиса.</w:t>
            </w:r>
          </w:p>
        </w:tc>
      </w:tr>
    </w:tbl>
    <w:p/>
    <w:p>
      <w:r>
        <w:t>Спорный пункт: более тонкие скиллсеты, например aim на высоком BPM. Риск без границы: команда потратит время на недоказуемую детализацию и не проверит базовый сценарий.</w:t>
      </w:r>
    </w:p>
    <w:p>
      <w:pPr>
        <w:pStyle w:val="Heading1"/>
      </w:pPr>
      <w:r>
        <w:t>2. План работ (WBS): 6 блоков, 20 задач и 5 вех</w:t>
      </w:r>
    </w:p>
    <w:p>
      <w:r>
        <w:t>WBS - список всех работ по блокам. Веха - контрольная точка без длительности. Один рабочий день в плане равен 8 часам; это длительность задачи, а не количество часов одного человека.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WBS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ID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Блок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Работа / веха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Выход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Готово, когда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1.1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T01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ТЗ и управление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Согласовать паспорт и границы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Паспорт и Scope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1.2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T02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ТЗ и управление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Уточнить требования и приемку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Реестр и критерии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1.3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T03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ТЗ и управление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Проверить ТЗ, WBS и план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ТЗ и WBS версии 1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1.4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M01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ТЗ и управление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Веха: ТЗ и WBS согласованы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Решение о переходе к MVP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Решение зафиксировано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2.1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T04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Добавить хранение сырых попыток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Таблица попыток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2.2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T05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Проверить импорт профиля и карт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Протокол импорта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2.3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T06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Подготовить сбор данных добровольцев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Форма согласия и схема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2.4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T07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Собрать пилотные попытки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Пилотный набор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2.5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T08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Очистить данные и проверить утечки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Проверенный датасет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2.6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M02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Данные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Веха: данные готовы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Отчет по данным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Решение зафиксировано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3.1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T09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Признаки и модели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Определить скиллсеты и признаки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Список признаков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3.2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T10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Признаки и модели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Построить начальную оценку навыков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Профиль навыков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3.3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T11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Признаки и модели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Рассчитать сложность карты по навыкам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Оценки по скиллсетам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3.4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T12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Признаки и модели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Обучить и проверить прогноз прохождения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Brier score и сравнение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3.5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T13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Признаки и модели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Обучить и проверить прогноз точности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MAE и сравнение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4.1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T14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Приложение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Обновить экран профиля и карты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Интерфейс MVP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4.2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T15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Приложение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Связать оценки и модели с приложением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Рабочий сценарий MVP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4.3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M03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Приложение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Веха: MVP готов к показу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Демо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Решение зафиксировано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5.1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T16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Проверка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Провести автоматические тесты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Протокол тестов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5.2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T17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Проверка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Провести пилот с игроками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Отзывы и новые игры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5.3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T18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Проверка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Проверить прогноз на новых попытках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Отчет по метрикам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5.4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M04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Проверка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Веха: проверка завершена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Решение по качеству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Решение зафиксировано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6.1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T19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Передача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Обновить инструкцию и документы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Комплект передачи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6.2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T20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Передача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Исправить критичные дефекты и принять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Протокол приемки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Результат проверен в ТЗ/тесте</w:t>
            </w:r>
          </w:p>
        </w:tc>
      </w:tr>
      <w:tr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6.3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M05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Передача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Веха: проект передан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Защита и передача</w:t>
            </w:r>
          </w:p>
        </w:tc>
        <w:tc>
          <w:tcPr>
            <w:tcW w:type="dxa" w:w="2466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Решение зафиксировано</w:t>
            </w:r>
          </w:p>
        </w:tc>
      </w:tr>
    </w:tbl>
    <w:p/>
    <w:p>
      <w:r>
        <w:t>Проверка 100%: есть требования, данные, признаки, обе модели, интерфейс, тесты, пилот, отчет, инструкция и приемка. Оплата и другие режимы osu! не включены.</w:t>
      </w:r>
    </w:p>
    <w:p>
      <w:pPr>
        <w:pStyle w:val="Heading1"/>
      </w:pPr>
      <w:r>
        <w:t>3. Журнал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</w:trPr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ID / дата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Решение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Почему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b/>
                <w:sz w:val="16"/>
              </w:rPr>
              <w:t>Влияние / статус</w:t>
            </w:r>
          </w:p>
        </w:tc>
      </w:tr>
      <w:tr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D01 / 17.10.2026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Публичный профиль без входа игрока - базовый путь.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Игрок может начать анализ по ссылке; OAuth приложения не нужен для базового источника.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Есть зависимость от Hinamizawa. Рабочее решение, подтвердить с заказчиком.</w:t>
            </w:r>
          </w:p>
        </w:tc>
      </w:tr>
      <w:tr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D02 / 17.10.2026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Для обучения хранить сырые попытки, включая повторы карт; best не считать полной историей.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Выборка лучших игр не содержит нужную долю неудач и завышает оценку pass.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Нужны новая таблица и добровольный сбор. Рабочее решение.</w:t>
            </w:r>
          </w:p>
        </w:tc>
      </w:tr>
      <w:tr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D03 / 17.10.2026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Две модели сравнивать с простыми оценками по прошлым играм; при слабом результате оставить предварительную оценку.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Нельзя считать нейросеть улучшением без данных и проверки.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В ТЗ нужны метрики и запасной способ расчета. Рабочее решение.</w:t>
            </w:r>
          </w:p>
        </w:tc>
      </w:tr>
      <w:tr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D04 / 17.10.2026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MVP локальный; подписка и платежи после пилота.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Сначала проверить пользу отчета и качество прогноза.</w:t>
            </w:r>
          </w:p>
        </w:tc>
        <w:tc>
          <w:tcPr>
            <w:tcW w:type="dxa" w:w="3699"/>
          </w:tcPr>
          <w:p>
            <w:pPr>
              <w:spacing w:after="40"/>
            </w:pPr>
            <w:r>
              <w:rPr>
                <w:rFonts w:ascii="Calibri" w:hAnsi="Calibri"/>
                <w:sz w:val="16"/>
              </w:rPr>
              <w:t>Нет работ по оплате в WBS. Рабочее решение.</w:t>
            </w:r>
          </w:p>
        </w:tc>
      </w:tr>
    </w:tbl>
    <w:p/>
    <w:p>
      <w:r>
        <w:t>Если меняются границы проекта, нужно обновить список работ, сроки, ответственных и связанные требования.</w:t>
      </w:r>
    </w:p>
    <w:sectPr w:rsidR="00FC693F" w:rsidRPr="0006063C" w:rsidSect="00034616">
      <w:footerReference w:type="default" r:id="rId9"/>
      <w:pgSz w:w="16838" w:h="11906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pulse! | Версия 0.2 | 17.10.2026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