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Матрица стейкхолдеров</w:t>
      </w:r>
    </w:p>
    <w:p>
      <w:r>
        <w:t>pulse! - предварительная оценка для учебного проекта</w:t>
      </w:r>
    </w:p>
    <w:p>
      <w:r>
        <w:t>Влияние - способность изменить рамки проекта, доступ к данным или приемку. Интерес - насколько роль заинтересована в результате. Оценки нужно подтвердить на интервью; внешнего коммерческого заказчика пока нет.</w:t>
      </w:r>
    </w:p>
    <w:p>
      <w:pPr>
        <w:pStyle w:val="Heading1"/>
      </w:pPr>
      <w:r>
        <w:t>Матрица влияния и интереса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r>
              <w:rPr>
                <w:b/>
              </w:rPr>
              <w:t>Влияние / интерес</w:t>
            </w:r>
          </w:p>
        </w:tc>
        <w:tc>
          <w:tcPr>
            <w:tcW w:type="dxa" w:w="5008"/>
          </w:tcPr>
          <w:p>
            <w:r>
              <w:rPr>
                <w:b/>
              </w:rPr>
              <w:t>Низкий интерес</w:t>
            </w:r>
          </w:p>
        </w:tc>
        <w:tc>
          <w:tcPr>
            <w:tcW w:type="dxa" w:w="5008"/>
          </w:tcPr>
          <w:p>
            <w:r>
              <w:rPr>
                <w:b/>
              </w:rPr>
              <w:t>Высокий интерес</w:t>
            </w:r>
          </w:p>
        </w:tc>
      </w:tr>
      <w:tr>
        <w:tc>
          <w:tcPr>
            <w:tcW w:type="dxa" w:w="5008"/>
            <w:vAlign w:val="center"/>
          </w:tcPr>
          <w:p>
            <w:r>
              <w:t>Высокое влияние</w:t>
            </w:r>
          </w:p>
        </w:tc>
        <w:tc>
          <w:tcPr>
            <w:tcW w:type="dxa" w:w="5008"/>
            <w:vAlign w:val="center"/>
          </w:tcPr>
          <w:p>
            <w:r>
              <w:t>Команда osu! и правила API; Hinamizawa как источник данных. Держать удовлетворенными: следить за условиями и доступностью.</w:t>
            </w:r>
          </w:p>
        </w:tc>
        <w:tc>
          <w:tcPr>
            <w:tcW w:type="dxa" w:w="5008"/>
            <w:vAlign w:val="center"/>
          </w:tcPr>
          <w:p>
            <w:r>
              <w:t>Преподаватель; команда проекта. Управлять тесно: согласовывать scope и приемку. Потенциальный владелец сервиса - после назначения.</w:t>
            </w:r>
          </w:p>
        </w:tc>
      </w:tr>
      <w:tr>
        <w:tc>
          <w:tcPr>
            <w:tcW w:type="dxa" w:w="5008"/>
            <w:vAlign w:val="center"/>
          </w:tcPr>
          <w:p>
            <w:r>
              <w:t>Низкое влияние</w:t>
            </w:r>
          </w:p>
        </w:tc>
        <w:tc>
          <w:tcPr>
            <w:tcW w:type="dxa" w:w="5008"/>
            <w:vAlign w:val="center"/>
          </w:tcPr>
          <w:p>
            <w:r>
              <w:t>Широкое сообщество вне пилота. Наблюдать за реакцией.</w:t>
            </w:r>
          </w:p>
        </w:tc>
        <w:tc>
          <w:tcPr>
            <w:tcW w:type="dxa" w:w="5008"/>
            <w:vAlign w:val="center"/>
          </w:tcPr>
          <w:p>
            <w:r>
              <w:t>Игроки разных уровней; добровольцы; тренеры. Держать в курсе и собирать обратную связь.</w:t>
            </w:r>
          </w:p>
        </w:tc>
      </w:tr>
    </w:tbl>
    <w:p>
      <w:pPr>
        <w:pStyle w:val="Heading1"/>
      </w:pPr>
      <w:r>
        <w:t>Роли и работа с ними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3005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005"/>
          </w:tcPr>
          <w:p>
            <w:r>
              <w:rPr>
                <w:b/>
              </w:rPr>
              <w:t>Влияние</w:t>
            </w:r>
          </w:p>
        </w:tc>
        <w:tc>
          <w:tcPr>
            <w:tcW w:type="dxa" w:w="3005"/>
          </w:tcPr>
          <w:p>
            <w:r>
              <w:rPr>
                <w:b/>
              </w:rPr>
              <w:t>Интерес</w:t>
            </w:r>
          </w:p>
        </w:tc>
        <w:tc>
          <w:tcPr>
            <w:tcW w:type="dxa" w:w="3005"/>
          </w:tcPr>
          <w:p>
            <w:r>
              <w:rPr>
                <w:b/>
              </w:rPr>
              <w:t>Что важно</w:t>
            </w:r>
          </w:p>
        </w:tc>
        <w:tc>
          <w:tcPr>
            <w:tcW w:type="dxa" w:w="3005"/>
          </w:tcPr>
          <w:p>
            <w:r>
              <w:rPr>
                <w:b/>
              </w:rPr>
              <w:t>Как работать</w:t>
            </w:r>
          </w:p>
        </w:tc>
      </w:tr>
      <w:tr>
        <w:tc>
          <w:tcPr>
            <w:tcW w:type="dxa" w:w="3005"/>
            <w:vAlign w:val="center"/>
          </w:tcPr>
          <w:p>
            <w:r>
              <w:t>Преподаватель</w:t>
            </w:r>
          </w:p>
        </w:tc>
        <w:tc>
          <w:tcPr>
            <w:tcW w:type="dxa" w:w="3005"/>
            <w:vAlign w:val="center"/>
          </w:tcPr>
          <w:p>
            <w:r>
              <w:t>Высокое</w:t>
            </w:r>
          </w:p>
        </w:tc>
        <w:tc>
          <w:tcPr>
            <w:tcW w:type="dxa" w:w="3005"/>
            <w:vAlign w:val="center"/>
          </w:tcPr>
          <w:p>
            <w:r>
              <w:t>Высокий</w:t>
            </w:r>
          </w:p>
        </w:tc>
        <w:tc>
          <w:tcPr>
            <w:tcW w:type="dxa" w:w="3005"/>
            <w:vAlign w:val="center"/>
          </w:tcPr>
          <w:p>
            <w:r>
              <w:t>Согласованный кейс, проверяемая цель, критерии приемки.</w:t>
            </w:r>
          </w:p>
        </w:tc>
        <w:tc>
          <w:tcPr>
            <w:tcW w:type="dxa" w:w="3005"/>
            <w:vAlign w:val="center"/>
          </w:tcPr>
          <w:p>
            <w:r>
              <w:t>Короткий отчет перед каждой контрольной точкой; согласование спорных решений.</w:t>
            </w:r>
          </w:p>
        </w:tc>
      </w:tr>
      <w:tr>
        <w:tc>
          <w:tcPr>
            <w:tcW w:type="dxa" w:w="3005"/>
            <w:vAlign w:val="center"/>
          </w:tcPr>
          <w:p>
            <w:r>
              <w:t>Команда проекта</w:t>
            </w:r>
          </w:p>
        </w:tc>
        <w:tc>
          <w:tcPr>
            <w:tcW w:type="dxa" w:w="3005"/>
            <w:vAlign w:val="center"/>
          </w:tcPr>
          <w:p>
            <w:r>
              <w:t>Высокое</w:t>
            </w:r>
          </w:p>
        </w:tc>
        <w:tc>
          <w:tcPr>
            <w:tcW w:type="dxa" w:w="3005"/>
            <w:vAlign w:val="center"/>
          </w:tcPr>
          <w:p>
            <w:r>
              <w:t>Высокий</w:t>
            </w:r>
          </w:p>
        </w:tc>
        <w:tc>
          <w:tcPr>
            <w:tcW w:type="dxa" w:w="3005"/>
            <w:vAlign w:val="center"/>
          </w:tcPr>
          <w:p>
            <w:r>
              <w:t>Реализуемый MVP и доступные данные.</w:t>
            </w:r>
          </w:p>
        </w:tc>
        <w:tc>
          <w:tcPr>
            <w:tcW w:type="dxa" w:w="3005"/>
            <w:vAlign w:val="center"/>
          </w:tcPr>
          <w:p>
            <w:r>
              <w:t>Еженедельно проверять риски, объем работ и результаты тестов.</w:t>
            </w:r>
          </w:p>
        </w:tc>
      </w:tr>
      <w:tr>
        <w:tc>
          <w:tcPr>
            <w:tcW w:type="dxa" w:w="3005"/>
            <w:vAlign w:val="center"/>
          </w:tcPr>
          <w:p>
            <w:r>
              <w:t>Новички 6-7 digit</w:t>
            </w:r>
          </w:p>
        </w:tc>
        <w:tc>
          <w:tcPr>
            <w:tcW w:type="dxa" w:w="3005"/>
            <w:vAlign w:val="center"/>
          </w:tcPr>
          <w:p>
            <w:r>
              <w:t>Низкое</w:t>
            </w:r>
          </w:p>
        </w:tc>
        <w:tc>
          <w:tcPr>
            <w:tcW w:type="dxa" w:w="3005"/>
            <w:vAlign w:val="center"/>
          </w:tcPr>
          <w:p>
            <w:r>
              <w:t>Высокий</w:t>
            </w:r>
          </w:p>
        </w:tc>
        <w:tc>
          <w:tcPr>
            <w:tcW w:type="dxa" w:w="3005"/>
            <w:vAlign w:val="center"/>
          </w:tcPr>
          <w:p>
            <w:r>
              <w:t>Понятно, что играть и почему карта сложна.</w:t>
            </w:r>
          </w:p>
        </w:tc>
        <w:tc>
          <w:tcPr>
            <w:tcW w:type="dxa" w:w="3005"/>
            <w:vAlign w:val="center"/>
          </w:tcPr>
          <w:p>
            <w:r>
              <w:t>Интервью и наблюдение за выбором карты в пилоте.</w:t>
            </w:r>
          </w:p>
        </w:tc>
      </w:tr>
      <w:tr>
        <w:tc>
          <w:tcPr>
            <w:tcW w:type="dxa" w:w="3005"/>
            <w:vAlign w:val="center"/>
          </w:tcPr>
          <w:p>
            <w:r>
              <w:t>Игроки 5 digit и участники турниров</w:t>
            </w:r>
          </w:p>
        </w:tc>
        <w:tc>
          <w:tcPr>
            <w:tcW w:type="dxa" w:w="3005"/>
            <w:vAlign w:val="center"/>
          </w:tcPr>
          <w:p>
            <w:r>
              <w:t>Низкое</w:t>
            </w:r>
          </w:p>
        </w:tc>
        <w:tc>
          <w:tcPr>
            <w:tcW w:type="dxa" w:w="3005"/>
            <w:vAlign w:val="center"/>
          </w:tcPr>
          <w:p>
            <w:r>
              <w:t>Высокий</w:t>
            </w:r>
          </w:p>
        </w:tc>
        <w:tc>
          <w:tcPr>
            <w:tcW w:type="dxa" w:w="3005"/>
            <w:vAlign w:val="center"/>
          </w:tcPr>
          <w:p>
            <w:r>
              <w:t>Точный профиль сильных и слабых скиллсетов.</w:t>
            </w:r>
          </w:p>
        </w:tc>
        <w:tc>
          <w:tcPr>
            <w:tcW w:type="dxa" w:w="3005"/>
            <w:vAlign w:val="center"/>
          </w:tcPr>
          <w:p>
            <w:r>
              <w:t>Показ прототипа и проверка объяснения отчета.</w:t>
            </w:r>
          </w:p>
        </w:tc>
      </w:tr>
      <w:tr>
        <w:tc>
          <w:tcPr>
            <w:tcW w:type="dxa" w:w="3005"/>
            <w:vAlign w:val="center"/>
          </w:tcPr>
          <w:p>
            <w:r>
              <w:t>Добровольцы с историей игр</w:t>
            </w:r>
          </w:p>
        </w:tc>
        <w:tc>
          <w:tcPr>
            <w:tcW w:type="dxa" w:w="3005"/>
            <w:vAlign w:val="center"/>
          </w:tcPr>
          <w:p>
            <w:r>
              <w:t>Низкое</w:t>
            </w:r>
          </w:p>
        </w:tc>
        <w:tc>
          <w:tcPr>
            <w:tcW w:type="dxa" w:w="3005"/>
            <w:vAlign w:val="center"/>
          </w:tcPr>
          <w:p>
            <w:r>
              <w:t>Высокий</w:t>
            </w:r>
          </w:p>
        </w:tc>
        <w:tc>
          <w:tcPr>
            <w:tcW w:type="dxa" w:w="3005"/>
            <w:vAlign w:val="center"/>
          </w:tcPr>
          <w:p>
            <w:r>
              <w:t>Контроль своих данных и полезный результат.</w:t>
            </w:r>
          </w:p>
        </w:tc>
        <w:tc>
          <w:tcPr>
            <w:tcW w:type="dxa" w:w="3005"/>
            <w:vAlign w:val="center"/>
          </w:tcPr>
          <w:p>
            <w:r>
              <w:t>Явное согласие на передачу попыток; сообщить, что сохранено.</w:t>
            </w:r>
          </w:p>
        </w:tc>
      </w:tr>
      <w:tr>
        <w:tc>
          <w:tcPr>
            <w:tcW w:type="dxa" w:w="3005"/>
            <w:vAlign w:val="center"/>
          </w:tcPr>
          <w:p>
            <w:r>
              <w:t>Тренеры osu!</w:t>
            </w:r>
          </w:p>
        </w:tc>
        <w:tc>
          <w:tcPr>
            <w:tcW w:type="dxa" w:w="3005"/>
            <w:vAlign w:val="center"/>
          </w:tcPr>
          <w:p>
            <w:r>
              <w:t>Низкое</w:t>
            </w:r>
          </w:p>
        </w:tc>
        <w:tc>
          <w:tcPr>
            <w:tcW w:type="dxa" w:w="3005"/>
            <w:vAlign w:val="center"/>
          </w:tcPr>
          <w:p>
            <w:r>
              <w:t>Высокий</w:t>
            </w:r>
          </w:p>
        </w:tc>
        <w:tc>
          <w:tcPr>
            <w:tcW w:type="dxa" w:w="3005"/>
            <w:vAlign w:val="center"/>
          </w:tcPr>
          <w:p>
            <w:r>
              <w:t>Оценка навыков, которую можно использовать в тренировке.</w:t>
            </w:r>
          </w:p>
        </w:tc>
        <w:tc>
          <w:tcPr>
            <w:tcW w:type="dxa" w:w="3005"/>
            <w:vAlign w:val="center"/>
          </w:tcPr>
          <w:p>
            <w:r>
              <w:t>Экспертное интервью о скиллсетах и примерах карт.</w:t>
            </w:r>
          </w:p>
        </w:tc>
      </w:tr>
      <w:tr>
        <w:tc>
          <w:tcPr>
            <w:tcW w:type="dxa" w:w="3005"/>
            <w:vAlign w:val="center"/>
          </w:tcPr>
          <w:p>
            <w:r>
              <w:t>Команда osu! / правила API</w:t>
            </w:r>
          </w:p>
        </w:tc>
        <w:tc>
          <w:tcPr>
            <w:tcW w:type="dxa" w:w="3005"/>
            <w:vAlign w:val="center"/>
          </w:tcPr>
          <w:p>
            <w:r>
              <w:t>Высокое</w:t>
            </w:r>
          </w:p>
        </w:tc>
        <w:tc>
          <w:tcPr>
            <w:tcW w:type="dxa" w:w="3005"/>
            <w:vAlign w:val="center"/>
          </w:tcPr>
          <w:p>
            <w:r>
              <w:t>Низкий</w:t>
            </w:r>
          </w:p>
        </w:tc>
        <w:tc>
          <w:tcPr>
            <w:tcW w:type="dxa" w:w="3005"/>
            <w:vAlign w:val="center"/>
          </w:tcPr>
          <w:p>
            <w:r>
              <w:t>Корректное использование публичных данных и лимитов.</w:t>
            </w:r>
          </w:p>
        </w:tc>
        <w:tc>
          <w:tcPr>
            <w:tcW w:type="dxa" w:w="3005"/>
            <w:vAlign w:val="center"/>
          </w:tcPr>
          <w:p>
            <w:r>
              <w:t>Мониторить документацию и ограничения API.</w:t>
            </w:r>
          </w:p>
        </w:tc>
      </w:tr>
      <w:tr>
        <w:tc>
          <w:tcPr>
            <w:tcW w:type="dxa" w:w="3005"/>
            <w:vAlign w:val="center"/>
          </w:tcPr>
          <w:p>
            <w:r>
              <w:t>Hinamizawa</w:t>
            </w:r>
          </w:p>
        </w:tc>
        <w:tc>
          <w:tcPr>
            <w:tcW w:type="dxa" w:w="3005"/>
            <w:vAlign w:val="center"/>
          </w:tcPr>
          <w:p>
            <w:r>
              <w:t>Высокое</w:t>
            </w:r>
          </w:p>
        </w:tc>
        <w:tc>
          <w:tcPr>
            <w:tcW w:type="dxa" w:w="3005"/>
            <w:vAlign w:val="center"/>
          </w:tcPr>
          <w:p>
            <w:r>
              <w:t>Низкий</w:t>
            </w:r>
          </w:p>
        </w:tc>
        <w:tc>
          <w:tcPr>
            <w:tcW w:type="dxa" w:w="3005"/>
            <w:vAlign w:val="center"/>
          </w:tcPr>
          <w:p>
            <w:r>
              <w:t>Нагрузка и стабильность публичного API.</w:t>
            </w:r>
          </w:p>
        </w:tc>
        <w:tc>
          <w:tcPr>
            <w:tcW w:type="dxa" w:w="3005"/>
            <w:vAlign w:val="center"/>
          </w:tcPr>
          <w:p>
            <w:r>
              <w:t>Низкая частота запросов, кэширование, план на случай сбоя.</w:t>
            </w:r>
          </w:p>
        </w:tc>
      </w:tr>
      <w:tr>
        <w:tc>
          <w:tcPr>
            <w:tcW w:type="dxa" w:w="3005"/>
            <w:vAlign w:val="center"/>
          </w:tcPr>
          <w:p>
            <w:r>
              <w:t>Будущий владелец сервиса</w:t>
            </w:r>
          </w:p>
        </w:tc>
        <w:tc>
          <w:tcPr>
            <w:tcW w:type="dxa" w:w="3005"/>
            <w:vAlign w:val="center"/>
          </w:tcPr>
          <w:p>
            <w:r>
              <w:t>Высокое</w:t>
            </w:r>
          </w:p>
        </w:tc>
        <w:tc>
          <w:tcPr>
            <w:tcW w:type="dxa" w:w="3005"/>
            <w:vAlign w:val="center"/>
          </w:tcPr>
          <w:p>
            <w:r>
              <w:t>Пока неясен</w:t>
            </w:r>
          </w:p>
        </w:tc>
        <w:tc>
          <w:tcPr>
            <w:tcW w:type="dxa" w:w="3005"/>
            <w:vAlign w:val="center"/>
          </w:tcPr>
          <w:p>
            <w:r>
              <w:t>Ценность для игроков и жизнеспособность подписки.</w:t>
            </w:r>
          </w:p>
        </w:tc>
        <w:tc>
          <w:tcPr>
            <w:tcW w:type="dxa" w:w="3005"/>
            <w:vAlign w:val="center"/>
          </w:tcPr>
          <w:p>
            <w:r>
              <w:t>Назначить и провести интервью до утверждения бизнес-метрик.</w:t>
            </w:r>
          </w:p>
        </w:tc>
      </w:tr>
    </w:tbl>
    <w:p>
      <w:pPr>
        <w:pStyle w:val="Heading1"/>
      </w:pPr>
      <w:r>
        <w:t>Два плана коммуникации</w:t>
      </w:r>
    </w:p>
    <w:p>
      <w:r>
        <w:t>Преподаватель: команда показывает обновленный паспорт и решения по scope на каждой контрольной точке. Ответственная сторона - команда проекта.</w:t>
      </w:r>
    </w:p>
    <w:p>
      <w:r>
        <w:t>Игроки пилота: после сценария с профилем и картой команда собирает короткий отзыв о понятности и полезности результата. Ответственная сторона - команда проекта.</w:t>
      </w:r>
    </w:p>
    <w:sectPr w:rsidR="00FC693F" w:rsidRPr="0006063C" w:rsidSect="00034616">
      <w:footerReference w:type="default" r:id="rId9"/>
      <w:headerReference w:type="default" r:id="rId10"/>
      <w:pgSz w:w="16838" w:h="11906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Университет Иннополис | pulse!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