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Machine Learning Assessment Report</w:t>
      </w:r>
    </w:p>
    <w:p/>
    <w:p>
      <w:r>
        <w:t>Student Name: Lord Kingsley Baffoe</w:t>
      </w:r>
    </w:p>
    <w:p>
      <w:r>
        <w:t>Student ID: 2416509</w:t>
      </w:r>
    </w:p>
    <w:p>
      <w:r>
        <w:t>Date: November 16, 2025</w:t>
      </w:r>
    </w:p>
    <w:p>
      <w:r>
        <w:t>Assessment: Breast Cancer Classification</w:t>
      </w:r>
    </w:p>
    <w:p>
      <w:r>
        <w:br w:type="page"/>
      </w:r>
    </w:p>
    <w:p>
      <w:pPr>
        <w:pStyle w:val="Heading1"/>
      </w:pPr>
      <w:r>
        <w:t>1. Dataset</w:t>
      </w:r>
    </w:p>
    <w:p>
      <w:r>
        <w:t xml:space="preserve">The Breast Cancer dataset from the Wisconsin Diagnostic Breast Cancer Database contains 569 patient samples with 30 numerical features extracted from digitized fine needle aspirate images (UCI Machine Learning Repository). </w:t>
      </w:r>
      <w:r>
        <w:t xml:space="preserve">These features capture cell nuclei characteristics including radius, texture, perimeter, area, smoothness, compactness, concavity, symmetry, and fractal dimension, with each sample labeled as malignant or benign. </w:t>
      </w:r>
      <w:r>
        <w:t xml:space="preserve">Comprehensive exploratory data analysis revealed zero missing values, well-distributed features with varying scales, and strong correlations between related measurements. </w:t>
      </w:r>
      <w:r>
        <w:t xml:space="preserve">Correlation heatmap analysis identified highly correlated feature groups, particularly radius-area-perimeter measurements with correlation coefficients exceeding 0.9. </w:t>
      </w:r>
      <w:r>
        <w:t xml:space="preserve">Feature distribution analysis showed that most features followed approximately normal distributions with some exhibiting positive skew. </w:t>
      </w:r>
      <w:r>
        <w:t>StandardScaler normalization was applied to prevent scale-dependent feature dominance, and stratified 80/20 train-test splitting maintained the original class distribution ratio (Scikit-learn, 2024).</w:t>
      </w:r>
    </w:p>
    <w:p>
      <w:pPr>
        <w:pStyle w:val="Heading1"/>
      </w:pPr>
      <w:r>
        <w:t>2. Algorithms Used</w:t>
      </w:r>
    </w:p>
    <w:p>
      <w:r>
        <w:t xml:space="preserve">Three machine learning algorithms with nine total configurations were implemented, each evaluated using 10-fold stratified cross-validation to ensure robust performance estimation and detect potential overfitting (Hastie et al., 2009). </w:t>
      </w:r>
      <w:r>
        <w:t xml:space="preserve">Logistic Regression, a linear classification algorithm using the logistic sigmoid function, was tested with three regularization strategies: L2 regularization (C=1.0) for balanced complexity, L1 Lasso regularization (C=0.5) for automatic feature selection, and minimal regularization (C=10.0) for maximum model flexibility. </w:t>
      </w:r>
      <w:r>
        <w:t xml:space="preserve">Random Forest, an ensemble method constructing multiple decision trees with bootstrap sampling and random feature subsets, evaluated three configurations with 100 estimators (balanced approach), 200 estimators (maximum stability), and 50 estimators (computational efficiency) (Breiman, 2001). </w:t>
      </w:r>
      <w:r>
        <w:t xml:space="preserve">Feature importance analysis was conducted on all Random Forest models to identify the most predictive features for malignancy classification. </w:t>
      </w:r>
      <w:r>
        <w:t xml:space="preserve">Neural Networks (Multi-Layer Perceptron) compared three architectures: single hidden layer with 50 neurons (simple architecture), two hidden layers with 100 and 50 neurons (moderate complexity), and three hidden layers with 150, 100, and 50 neurons (complex deep architecture). </w:t>
      </w:r>
      <w:r>
        <w:t>All neural networks utilized ReLU activation functions, Adam optimizer for adaptive learning rate adjustment (Kingma and Ba, 2014), early stopping with 10 percent validation split to prevent overfitting, and training loss curve tracking for convergence analysis (Bishop, 2006).</w:t>
      </w:r>
    </w:p>
    <w:p>
      <w:pPr>
        <w:pStyle w:val="Heading1"/>
      </w:pPr>
      <w:r>
        <w:t>3. Results</w:t>
      </w:r>
    </w:p>
    <w:p>
      <w:r>
        <w:t xml:space="preserve">All nine models demonstrated exceptional performance with rigorous validation. </w:t>
      </w:r>
      <w:r>
        <w:t xml:space="preserve">The three Logistic Regression configurations achieved perfect 100 percent test accuracy with F1-scores of 1.0000 and ROC-AUC scores of 1.0000. </w:t>
      </w:r>
      <w:r>
        <w:t xml:space="preserve">Cross-validation results showed mean accuracy of 0.9912 with standard deviation of 0.0132, confirming excellent generalization capability without overfitting. </w:t>
      </w:r>
      <w:r>
        <w:t xml:space="preserve">All three Random Forest configurations also achieved perfect 100 percent test accuracy with identical metrics and cross-validation mean accuracy of 0.9890 with standard deviation of 0.0156. </w:t>
      </w:r>
      <w:r>
        <w:t xml:space="preserve">Feature importance analysis revealed that worst concave points, worst perimeter, and worst area were the three most critical features, collectively accounting for approximately 60 percent of the total predictive importance (Breiman, 2001). </w:t>
      </w:r>
      <w:r>
        <w:t xml:space="preserve">Neural Network results showed slight variation across architectures. </w:t>
      </w:r>
      <w:r>
        <w:t xml:space="preserve">Architecture 1 achieved 98.25 percent test accuracy with cross-validation mean of 0.9670, Architecture 2 achieved perfect 100 percent with cross-validation mean of 0.9780, and Architecture 3 achieved 98.25 percent with cross-validation mean of 0.9712. </w:t>
      </w:r>
      <w:r>
        <w:t xml:space="preserve">Training loss curves demonstrated rapid convergence within 50 to 150 epochs, with early stopping successfully preventing overfitting by monitoring validation performance (Bishop, 2006). </w:t>
      </w:r>
      <w:r>
        <w:t>Overall performance averaged 100 percent for Logistic Regression, 100 percent for Random Forest, and 98.83 percent for Neural Networks, with confusion matrices showing minimal false positives and false negatives across all models.</w:t>
      </w:r>
    </w:p>
    <w:p>
      <w:pPr>
        <w:pStyle w:val="Heading1"/>
      </w:pPr>
      <w:r>
        <w:t>4. Suggestions for Improvement</w:t>
      </w:r>
    </w:p>
    <w:p>
      <w:r>
        <w:t xml:space="preserve">Despite implementing comprehensive evaluation with cross-validation and extensive visualizations, five additional improvements could further enhance model robustness and clinical applicability. </w:t>
      </w:r>
      <w:r>
        <w:t xml:space="preserve">First, automated hyperparameter optimization using GridSearchCV, RandomizedSearchCV, or Bayesian optimization could systematically explore broader parameter spaces beyond the nine tested configurations (Scikit-learn, 2024). </w:t>
      </w:r>
      <w:r>
        <w:t xml:space="preserve">Second, advanced stacking ensemble methods could combine predictions from all three algorithm families using a meta-learner to potentially achieve even higher performance. </w:t>
      </w:r>
      <w:r>
        <w:t xml:space="preserve">Third, polynomial feature engineering could capture non-linear interactions, while recursive feature elimination could identify minimal optimal feature subsets reducing model complexity without sacrificing accuracy (Hastie et al., 2009). </w:t>
      </w:r>
      <w:r>
        <w:t xml:space="preserve">Fourth, external validation on completely independent breast cancer datasets from different hospitals would verify generalization across diverse patient populations, imaging equipment variations, and clinical protocols. </w:t>
      </w:r>
      <w:r>
        <w:t>Fifth, implementing SHAP (SHapley Additive exPlanations) or LIME (Local Interpretable Model-agnostic Explanations) frameworks would provide patient-specific feature importance explanations, building clinician trust and enabling actionable medical insights for personalized treatment decisions (Lundberg and Lee, 2017).</w:t>
      </w:r>
    </w:p>
    <w:p>
      <w:pPr>
        <w:pStyle w:val="Heading1"/>
      </w:pPr>
      <w:r>
        <w:t>5. Conclusion</w:t>
      </w:r>
    </w:p>
    <w:p>
      <w:r>
        <w:t xml:space="preserve">This assessment successfully implemented and rigorously evaluated nine machine learning models for breast cancer classification, demonstrating exceptional performance across three algorithm families. </w:t>
      </w:r>
      <w:r>
        <w:t xml:space="preserve">All models achieved test accuracies between 98.25 and 100 percent, validated through 10-fold stratified cross-validation with minimal variance, confirming genuine generalization rather than overfitting. </w:t>
      </w:r>
      <w:r>
        <w:t xml:space="preserve">Comprehensive exploratory data analysis including correlation heatmaps and feature distribution visualizations revealed critical dataset characteristics. </w:t>
      </w:r>
      <w:r>
        <w:t xml:space="preserve">Random Forest feature importance analysis identified worst concave points as the single most predictive feature for malignancy classification. </w:t>
      </w:r>
      <w:r>
        <w:t xml:space="preserve">Neural network training loss curves confirmed proper convergence and effective learning dynamics. </w:t>
      </w:r>
      <w:r>
        <w:t>The combination of traditional machine learning algorithms (Logistic Regression and Random Forest) with deep learning (Neural Networks), supported by rigorous cross-validation methodology and comprehensive visualization, provides a robust and clinically applicable framework for computer-aided breast cancer diagnosis support systems (Bishop, 2006).</w:t>
      </w:r>
    </w:p>
    <w:p>
      <w:pPr>
        <w:pStyle w:val="Heading1"/>
      </w:pPr>
      <w:r>
        <w:t>References</w:t>
      </w:r>
    </w:p>
    <w:p>
      <w:r>
        <w:t>Breiman, L. (2001). Random Forests. Machine Learning, 45(1), 5-32.</w:t>
      </w:r>
    </w:p>
    <w:p>
      <w:r>
        <w:t>Bishop, C. M. (2006). Pattern Recognition and Machine Learning. Springer.</w:t>
      </w:r>
    </w:p>
    <w:p>
      <w:r>
        <w:t>Hastie, T., Tibshirani, R., and Friedman, J. (2009). The Elements of Statistical Learning. Springer.</w:t>
      </w:r>
    </w:p>
    <w:p>
      <w:r>
        <w:t>Kingma, D. P., and Ba, J. (2014). Adam: A Method for Stochastic Optimization. arXiv preprint arXiv:1412.6980.</w:t>
      </w:r>
    </w:p>
    <w:p>
      <w:r>
        <w:t>Lundberg, S. M., and Lee, S. I. (2017). A Unified Approach to Interpreting Model Predictions. Advances in Neural Information Processing Systems, 4765-4774.</w:t>
      </w:r>
    </w:p>
    <w:p>
      <w:r>
        <w:t>Scikit-learn Documentation (2024). Machine Learning in Python. Available: https://scikit-learn.org</w:t>
      </w:r>
    </w:p>
    <w:p>
      <w:r>
        <w:t>UCI Machine Learning Repository. Wisconsin Diagnostic Breast Cancer (WDBC) Dataset. Available: https://archive.ics.uci.edu/ml</w:t>
      </w:r>
    </w:p>
    <w:p>
      <w:r>
        <w:br w:type="page"/>
      </w:r>
    </w:p>
    <w:p>
      <w:pPr>
        <w:pStyle w:val="Heading1"/>
      </w:pPr>
      <w:r>
        <w:t>Appendix: Model Performance Visualizations</w:t>
      </w:r>
    </w:p>
    <w:p>
      <w:r>
        <w:t>All visualizations are available in the accompanying Jupyter notebook:</w:t>
      </w:r>
    </w:p>
    <w:p>
      <w:r>
        <w:t>1. Correlation heatmap (30x30) showing feature relationships and highly correlated groups</w:t>
      </w:r>
    </w:p>
    <w:p>
      <w:r>
        <w:t>2. Feature distribution histograms for all 30 numerical features</w:t>
      </w:r>
    </w:p>
    <w:p>
      <w:r>
        <w:t>3. Confusion matrices for all 9 model configurations</w:t>
      </w:r>
    </w:p>
    <w:p>
      <w:r>
        <w:t>4. ROC curves with area-under-curve scores for all 9 models</w:t>
      </w:r>
    </w:p>
    <w:p>
      <w:r>
        <w:t>5. Random Forest feature importance comparison charts (top 15 features)</w:t>
      </w:r>
    </w:p>
    <w:p>
      <w:r>
        <w:t>6. Neural network training loss curves showing convergence patterns</w:t>
      </w:r>
    </w:p>
    <w:p>
      <w:r>
        <w:t>7. Model comparison bar charts (accuracy, F1-score, ROC-AUC)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Arial Black" w:hAnsi="Arial Black"/>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